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1B14E">
      <w:pPr>
        <w:spacing w:before="143" w:line="219" w:lineRule="auto"/>
        <w:jc w:val="left"/>
        <w:outlineLvl w:val="0"/>
        <w:rPr>
          <w:rFonts w:hint="eastAsia" w:ascii="仿宋" w:hAnsi="仿宋" w:eastAsia="仿宋" w:cs="仿宋"/>
          <w:color w:val="auto"/>
          <w:spacing w:val="11"/>
          <w:sz w:val="44"/>
          <w:szCs w:val="44"/>
        </w:rPr>
      </w:pPr>
      <w:r>
        <w:rPr>
          <w:rFonts w:hint="eastAsia" w:ascii="仿宋" w:hAnsi="仿宋" w:eastAsia="仿宋" w:cs="仿宋"/>
          <w:color w:val="auto"/>
          <w:spacing w:val="-7"/>
          <w:sz w:val="30"/>
          <w:szCs w:val="30"/>
        </w:rPr>
        <w:t>合同编号：</w:t>
      </w:r>
    </w:p>
    <w:p w14:paraId="4BF332AC">
      <w:pPr>
        <w:spacing w:before="143" w:line="219" w:lineRule="auto"/>
        <w:jc w:val="center"/>
        <w:outlineLvl w:val="0"/>
        <w:rPr>
          <w:rFonts w:hint="eastAsia" w:ascii="仿宋" w:hAnsi="仿宋" w:eastAsia="仿宋" w:cs="仿宋"/>
          <w:color w:val="auto"/>
          <w:spacing w:val="11"/>
          <w:sz w:val="44"/>
          <w:szCs w:val="44"/>
        </w:rPr>
      </w:pPr>
    </w:p>
    <w:p w14:paraId="213C7E15">
      <w:pPr>
        <w:spacing w:before="143" w:line="219" w:lineRule="auto"/>
        <w:jc w:val="center"/>
        <w:outlineLvl w:val="0"/>
        <w:rPr>
          <w:rFonts w:hint="eastAsia" w:ascii="仿宋" w:hAnsi="仿宋" w:eastAsia="仿宋" w:cs="仿宋"/>
          <w:color w:val="auto"/>
          <w:spacing w:val="11"/>
          <w:sz w:val="44"/>
          <w:szCs w:val="44"/>
        </w:rPr>
      </w:pPr>
    </w:p>
    <w:p w14:paraId="1371E346">
      <w:pPr>
        <w:spacing w:before="143" w:line="219" w:lineRule="auto"/>
        <w:ind w:firstLine="342" w:firstLineChars="100"/>
        <w:jc w:val="center"/>
        <w:outlineLvl w:val="0"/>
        <w:rPr>
          <w:rFonts w:hint="eastAsia" w:ascii="仿宋" w:hAnsi="仿宋" w:eastAsia="仿宋" w:cs="仿宋"/>
          <w:color w:val="auto"/>
          <w:spacing w:val="11"/>
          <w:sz w:val="32"/>
          <w:szCs w:val="32"/>
        </w:rPr>
      </w:pPr>
      <w:bookmarkStart w:id="0" w:name="_GoBack"/>
      <w:r>
        <w:rPr>
          <w:rFonts w:hint="eastAsia" w:ascii="仿宋" w:hAnsi="仿宋" w:eastAsia="仿宋" w:cs="仿宋"/>
          <w:color w:val="auto"/>
          <w:spacing w:val="11"/>
          <w:sz w:val="32"/>
          <w:szCs w:val="32"/>
          <w:lang w:val="en-US" w:eastAsia="zh-CN"/>
        </w:rPr>
        <w:t>2026年城市道路积尘负荷值检测服务</w:t>
      </w:r>
      <w:r>
        <w:rPr>
          <w:rFonts w:hint="eastAsia" w:ascii="仿宋" w:hAnsi="仿宋" w:eastAsia="仿宋" w:cs="仿宋"/>
          <w:color w:val="auto"/>
          <w:spacing w:val="11"/>
          <w:sz w:val="32"/>
          <w:szCs w:val="32"/>
        </w:rPr>
        <w:t>合同</w:t>
      </w:r>
    </w:p>
    <w:bookmarkEnd w:id="0"/>
    <w:p w14:paraId="704CE10E">
      <w:pPr>
        <w:pStyle w:val="2"/>
        <w:rPr>
          <w:rFonts w:hint="eastAsia" w:ascii="仿宋" w:hAnsi="仿宋" w:eastAsia="仿宋" w:cs="仿宋"/>
          <w:color w:val="auto"/>
          <w:spacing w:val="11"/>
          <w:sz w:val="44"/>
          <w:szCs w:val="44"/>
        </w:rPr>
      </w:pPr>
    </w:p>
    <w:p w14:paraId="4182FE92">
      <w:pPr>
        <w:spacing w:before="84" w:line="221" w:lineRule="auto"/>
        <w:ind w:firstLine="1152" w:firstLineChars="300"/>
        <w:jc w:val="left"/>
        <w:rPr>
          <w:rFonts w:hint="eastAsia" w:ascii="仿宋" w:hAnsi="仿宋" w:eastAsia="仿宋" w:cs="仿宋"/>
          <w:color w:val="auto"/>
          <w:spacing w:val="42"/>
          <w:sz w:val="30"/>
          <w:szCs w:val="30"/>
        </w:rPr>
      </w:pPr>
    </w:p>
    <w:p w14:paraId="69548780">
      <w:pPr>
        <w:spacing w:before="84" w:line="221" w:lineRule="auto"/>
        <w:ind w:firstLine="1152" w:firstLineChars="300"/>
        <w:jc w:val="left"/>
        <w:rPr>
          <w:rFonts w:hint="eastAsia" w:ascii="仿宋" w:hAnsi="仿宋" w:eastAsia="仿宋" w:cs="仿宋"/>
          <w:color w:val="auto"/>
          <w:spacing w:val="42"/>
          <w:sz w:val="30"/>
          <w:szCs w:val="30"/>
        </w:rPr>
      </w:pPr>
    </w:p>
    <w:p w14:paraId="6D73125F">
      <w:pPr>
        <w:spacing w:before="84" w:line="221" w:lineRule="auto"/>
        <w:ind w:firstLine="1152" w:firstLineChars="300"/>
        <w:jc w:val="left"/>
        <w:rPr>
          <w:rFonts w:hint="eastAsia" w:ascii="仿宋" w:hAnsi="仿宋" w:eastAsia="仿宋" w:cs="仿宋"/>
          <w:color w:val="auto"/>
          <w:spacing w:val="42"/>
          <w:sz w:val="30"/>
          <w:szCs w:val="30"/>
        </w:rPr>
      </w:pPr>
    </w:p>
    <w:p w14:paraId="408D2FD7">
      <w:pPr>
        <w:spacing w:before="84" w:line="221" w:lineRule="auto"/>
        <w:ind w:firstLine="1152" w:firstLineChars="300"/>
        <w:jc w:val="left"/>
        <w:rPr>
          <w:rFonts w:hint="eastAsia" w:ascii="仿宋" w:hAnsi="仿宋" w:eastAsia="仿宋" w:cs="仿宋"/>
          <w:color w:val="auto"/>
          <w:spacing w:val="42"/>
          <w:sz w:val="30"/>
          <w:szCs w:val="30"/>
        </w:rPr>
      </w:pPr>
    </w:p>
    <w:p w14:paraId="533D0E3C">
      <w:pPr>
        <w:spacing w:before="84" w:line="221" w:lineRule="auto"/>
        <w:ind w:firstLine="1152" w:firstLineChars="300"/>
        <w:jc w:val="left"/>
        <w:rPr>
          <w:rFonts w:hint="eastAsia" w:ascii="仿宋" w:hAnsi="仿宋" w:eastAsia="仿宋" w:cs="仿宋"/>
          <w:color w:val="auto"/>
          <w:spacing w:val="42"/>
          <w:sz w:val="30"/>
          <w:szCs w:val="30"/>
        </w:rPr>
      </w:pPr>
    </w:p>
    <w:p w14:paraId="43B335AB">
      <w:pPr>
        <w:spacing w:before="84" w:line="221" w:lineRule="auto"/>
        <w:ind w:firstLine="1152" w:firstLineChars="300"/>
        <w:jc w:val="left"/>
        <w:rPr>
          <w:rFonts w:hint="eastAsia" w:ascii="仿宋" w:hAnsi="仿宋" w:eastAsia="仿宋" w:cs="仿宋"/>
          <w:color w:val="auto"/>
          <w:spacing w:val="42"/>
          <w:sz w:val="30"/>
          <w:szCs w:val="30"/>
        </w:rPr>
      </w:pPr>
    </w:p>
    <w:p w14:paraId="7AB9091D">
      <w:pPr>
        <w:spacing w:before="84" w:line="221" w:lineRule="auto"/>
        <w:ind w:firstLine="1152" w:firstLineChars="300"/>
        <w:jc w:val="left"/>
        <w:rPr>
          <w:rFonts w:hint="eastAsia" w:ascii="仿宋" w:hAnsi="仿宋" w:eastAsia="仿宋" w:cs="仿宋"/>
          <w:color w:val="auto"/>
          <w:spacing w:val="42"/>
          <w:sz w:val="30"/>
          <w:szCs w:val="30"/>
        </w:rPr>
      </w:pPr>
    </w:p>
    <w:p w14:paraId="0816EE6E">
      <w:pPr>
        <w:spacing w:before="84" w:line="221" w:lineRule="auto"/>
        <w:ind w:firstLine="1152" w:firstLineChars="300"/>
        <w:jc w:val="left"/>
        <w:rPr>
          <w:rFonts w:hint="eastAsia" w:ascii="仿宋" w:hAnsi="仿宋" w:eastAsia="仿宋" w:cs="仿宋"/>
          <w:color w:val="auto"/>
          <w:spacing w:val="42"/>
          <w:sz w:val="30"/>
          <w:szCs w:val="30"/>
        </w:rPr>
      </w:pPr>
    </w:p>
    <w:p w14:paraId="6716A8A1">
      <w:pPr>
        <w:spacing w:before="84" w:line="221" w:lineRule="auto"/>
        <w:ind w:firstLine="1152" w:firstLineChars="300"/>
        <w:jc w:val="left"/>
        <w:rPr>
          <w:rFonts w:hint="eastAsia" w:ascii="仿宋" w:hAnsi="仿宋" w:eastAsia="仿宋" w:cs="仿宋"/>
          <w:color w:val="auto"/>
          <w:sz w:val="30"/>
          <w:szCs w:val="30"/>
        </w:rPr>
      </w:pPr>
      <w:r>
        <w:rPr>
          <w:rFonts w:hint="eastAsia" w:ascii="仿宋" w:hAnsi="仿宋" w:eastAsia="仿宋" w:cs="仿宋"/>
          <w:color w:val="auto"/>
          <w:spacing w:val="42"/>
          <w:sz w:val="30"/>
          <w:szCs w:val="30"/>
        </w:rPr>
        <w:t>甲方:</w:t>
      </w:r>
      <w:r>
        <w:rPr>
          <w:rFonts w:hint="eastAsia" w:ascii="仿宋" w:hAnsi="仿宋" w:eastAsia="仿宋" w:cs="仿宋"/>
          <w:color w:val="auto"/>
          <w:spacing w:val="1"/>
          <w:sz w:val="30"/>
          <w:szCs w:val="30"/>
        </w:rPr>
        <w:t xml:space="preserve"> </w:t>
      </w:r>
    </w:p>
    <w:p w14:paraId="16F67A49">
      <w:pPr>
        <w:spacing w:before="84" w:line="221" w:lineRule="auto"/>
        <w:ind w:firstLine="1152" w:firstLineChars="300"/>
        <w:jc w:val="left"/>
        <w:rPr>
          <w:rFonts w:hint="eastAsia" w:ascii="仿宋" w:hAnsi="仿宋" w:eastAsia="仿宋" w:cs="仿宋"/>
          <w:color w:val="auto"/>
          <w:spacing w:val="42"/>
          <w:sz w:val="32"/>
          <w:szCs w:val="32"/>
          <w:u w:val="single"/>
        </w:rPr>
      </w:pPr>
      <w:r>
        <w:rPr>
          <w:rFonts w:hint="eastAsia" w:ascii="仿宋" w:hAnsi="仿宋" w:eastAsia="仿宋" w:cs="仿宋"/>
          <w:color w:val="auto"/>
          <w:spacing w:val="42"/>
          <w:sz w:val="30"/>
          <w:szCs w:val="30"/>
        </w:rPr>
        <w:t>乙方:</w:t>
      </w:r>
      <w:r>
        <w:rPr>
          <w:rFonts w:hint="eastAsia" w:ascii="仿宋" w:hAnsi="仿宋" w:eastAsia="仿宋" w:cs="仿宋"/>
          <w:color w:val="auto"/>
          <w:spacing w:val="19"/>
          <w:sz w:val="30"/>
          <w:szCs w:val="30"/>
        </w:rPr>
        <w:t xml:space="preserve"> </w:t>
      </w:r>
    </w:p>
    <w:p w14:paraId="2CA8DA93">
      <w:pPr>
        <w:jc w:val="left"/>
        <w:rPr>
          <w:rFonts w:hint="eastAsia" w:ascii="仿宋" w:hAnsi="仿宋" w:eastAsia="仿宋" w:cs="仿宋"/>
          <w:color w:val="auto"/>
          <w:spacing w:val="42"/>
          <w:sz w:val="32"/>
          <w:szCs w:val="32"/>
          <w:u w:val="single"/>
        </w:rPr>
      </w:pPr>
    </w:p>
    <w:p w14:paraId="328A1ACB">
      <w:pPr>
        <w:jc w:val="center"/>
        <w:rPr>
          <w:rFonts w:hint="eastAsia" w:ascii="仿宋" w:hAnsi="仿宋" w:eastAsia="仿宋" w:cs="仿宋"/>
          <w:color w:val="auto"/>
          <w:spacing w:val="42"/>
          <w:sz w:val="30"/>
          <w:szCs w:val="30"/>
        </w:rPr>
      </w:pPr>
    </w:p>
    <w:p w14:paraId="6688CCD9">
      <w:pPr>
        <w:jc w:val="center"/>
        <w:rPr>
          <w:rFonts w:hint="eastAsia" w:ascii="仿宋" w:hAnsi="仿宋" w:eastAsia="仿宋" w:cs="仿宋"/>
          <w:color w:val="auto"/>
          <w:spacing w:val="42"/>
          <w:sz w:val="30"/>
          <w:szCs w:val="30"/>
        </w:rPr>
      </w:pPr>
    </w:p>
    <w:p w14:paraId="06F7EEA4">
      <w:pPr>
        <w:jc w:val="center"/>
        <w:rPr>
          <w:rFonts w:hint="eastAsia" w:ascii="仿宋" w:hAnsi="仿宋" w:eastAsia="仿宋" w:cs="仿宋"/>
          <w:color w:val="auto"/>
          <w:spacing w:val="42"/>
          <w:sz w:val="30"/>
          <w:szCs w:val="30"/>
        </w:rPr>
      </w:pPr>
    </w:p>
    <w:p w14:paraId="1489AB90">
      <w:pPr>
        <w:jc w:val="center"/>
        <w:rPr>
          <w:rFonts w:hint="eastAsia" w:ascii="仿宋" w:hAnsi="仿宋" w:eastAsia="仿宋" w:cs="仿宋"/>
          <w:color w:val="auto"/>
          <w:spacing w:val="42"/>
          <w:sz w:val="30"/>
          <w:szCs w:val="30"/>
        </w:rPr>
      </w:pPr>
    </w:p>
    <w:p w14:paraId="71FF5835">
      <w:pPr>
        <w:jc w:val="both"/>
        <w:rPr>
          <w:rFonts w:hint="eastAsia" w:ascii="仿宋" w:hAnsi="仿宋" w:eastAsia="仿宋" w:cs="仿宋"/>
          <w:color w:val="auto"/>
          <w:spacing w:val="42"/>
          <w:sz w:val="30"/>
          <w:szCs w:val="30"/>
        </w:rPr>
      </w:pPr>
    </w:p>
    <w:p w14:paraId="41CAE11B">
      <w:pPr>
        <w:jc w:val="center"/>
        <w:rPr>
          <w:rFonts w:hint="eastAsia" w:ascii="仿宋" w:hAnsi="仿宋" w:eastAsia="仿宋" w:cs="仿宋"/>
          <w:color w:val="auto"/>
          <w:spacing w:val="42"/>
          <w:sz w:val="30"/>
          <w:szCs w:val="30"/>
        </w:rPr>
      </w:pPr>
    </w:p>
    <w:p w14:paraId="7C429988">
      <w:pPr>
        <w:jc w:val="center"/>
        <w:rPr>
          <w:rFonts w:hint="eastAsia" w:ascii="仿宋" w:hAnsi="仿宋" w:eastAsia="仿宋" w:cs="仿宋"/>
          <w:color w:val="auto"/>
          <w:spacing w:val="42"/>
          <w:sz w:val="30"/>
          <w:szCs w:val="30"/>
        </w:rPr>
      </w:pPr>
    </w:p>
    <w:p w14:paraId="69462D23">
      <w:pPr>
        <w:jc w:val="center"/>
        <w:rPr>
          <w:rFonts w:hint="eastAsia" w:ascii="仿宋" w:hAnsi="仿宋" w:eastAsia="仿宋" w:cs="仿宋"/>
          <w:color w:val="auto"/>
          <w:spacing w:val="42"/>
          <w:sz w:val="30"/>
          <w:szCs w:val="30"/>
        </w:rPr>
      </w:pPr>
    </w:p>
    <w:p w14:paraId="412CF52B">
      <w:pPr>
        <w:jc w:val="center"/>
        <w:rPr>
          <w:rFonts w:hint="eastAsia" w:ascii="仿宋" w:hAnsi="仿宋" w:eastAsia="仿宋" w:cs="仿宋"/>
          <w:color w:val="auto"/>
          <w:sz w:val="44"/>
          <w:szCs w:val="44"/>
        </w:rPr>
      </w:pPr>
      <w:r>
        <w:rPr>
          <w:rFonts w:hint="eastAsia" w:ascii="仿宋" w:hAnsi="仿宋" w:eastAsia="仿宋" w:cs="仿宋"/>
          <w:color w:val="auto"/>
          <w:spacing w:val="42"/>
          <w:sz w:val="30"/>
          <w:szCs w:val="30"/>
        </w:rPr>
        <w:t>二〇二</w:t>
      </w:r>
      <w:r>
        <w:rPr>
          <w:rFonts w:hint="eastAsia" w:ascii="仿宋" w:hAnsi="仿宋" w:eastAsia="仿宋" w:cs="仿宋"/>
          <w:color w:val="auto"/>
          <w:spacing w:val="42"/>
          <w:sz w:val="30"/>
          <w:szCs w:val="30"/>
          <w:lang w:val="en-US" w:eastAsia="zh-CN"/>
        </w:rPr>
        <w:t>六</w:t>
      </w:r>
      <w:r>
        <w:rPr>
          <w:rFonts w:hint="eastAsia" w:ascii="仿宋" w:hAnsi="仿宋" w:eastAsia="仿宋" w:cs="仿宋"/>
          <w:color w:val="auto"/>
          <w:spacing w:val="42"/>
          <w:sz w:val="30"/>
          <w:szCs w:val="30"/>
        </w:rPr>
        <w:t>年</w:t>
      </w:r>
      <w:r>
        <w:rPr>
          <w:rFonts w:hint="eastAsia" w:ascii="仿宋" w:hAnsi="仿宋" w:eastAsia="仿宋" w:cs="仿宋"/>
          <w:color w:val="auto"/>
          <w:spacing w:val="42"/>
          <w:sz w:val="30"/>
          <w:szCs w:val="30"/>
          <w:lang w:val="en-US" w:eastAsia="zh-CN"/>
        </w:rPr>
        <w:t xml:space="preserve">  </w:t>
      </w:r>
      <w:r>
        <w:rPr>
          <w:rFonts w:hint="eastAsia" w:ascii="仿宋" w:hAnsi="仿宋" w:eastAsia="仿宋" w:cs="仿宋"/>
          <w:color w:val="auto"/>
          <w:spacing w:val="42"/>
          <w:sz w:val="30"/>
          <w:szCs w:val="30"/>
        </w:rPr>
        <w:t>月</w:t>
      </w:r>
    </w:p>
    <w:p w14:paraId="4B19A84F">
      <w:pPr>
        <w:rPr>
          <w:rFonts w:hint="eastAsia" w:ascii="仿宋" w:hAnsi="仿宋" w:eastAsia="仿宋" w:cs="仿宋"/>
          <w:color w:val="auto"/>
          <w:sz w:val="32"/>
          <w:szCs w:val="32"/>
        </w:rPr>
      </w:pPr>
      <w:r>
        <w:rPr>
          <w:rFonts w:hint="eastAsia" w:ascii="仿宋" w:hAnsi="仿宋" w:eastAsia="仿宋" w:cs="仿宋"/>
          <w:color w:val="auto"/>
          <w:sz w:val="32"/>
          <w:szCs w:val="32"/>
        </w:rPr>
        <w:br w:type="page"/>
      </w:r>
    </w:p>
    <w:p w14:paraId="213A9727">
      <w:pPr>
        <w:pStyle w:val="3"/>
        <w:widowControl/>
        <w:kinsoku w:val="0"/>
        <w:autoSpaceDE w:val="0"/>
        <w:autoSpaceDN w:val="0"/>
        <w:adjustRightInd w:val="0"/>
        <w:snapToGrid w:val="0"/>
        <w:spacing w:line="540" w:lineRule="exact"/>
        <w:ind w:firstLine="0"/>
        <w:jc w:val="center"/>
        <w:textAlignment w:val="baseline"/>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2026年城市道路积尘负荷值检测服务</w:t>
      </w:r>
      <w:r>
        <w:rPr>
          <w:rFonts w:hint="eastAsia" w:ascii="仿宋" w:hAnsi="仿宋" w:eastAsia="仿宋" w:cs="仿宋"/>
          <w:color w:val="auto"/>
          <w:sz w:val="32"/>
          <w:szCs w:val="32"/>
        </w:rPr>
        <w:t>项目合同</w:t>
      </w:r>
    </w:p>
    <w:p w14:paraId="31CF65FA">
      <w:pPr>
        <w:pStyle w:val="3"/>
        <w:widowControl/>
        <w:kinsoku w:val="0"/>
        <w:autoSpaceDE w:val="0"/>
        <w:autoSpaceDN w:val="0"/>
        <w:adjustRightInd w:val="0"/>
        <w:snapToGrid w:val="0"/>
        <w:spacing w:line="540" w:lineRule="exact"/>
        <w:ind w:firstLine="560" w:firstLineChars="200"/>
        <w:textAlignment w:val="baseline"/>
        <w:rPr>
          <w:rFonts w:hint="eastAsia" w:ascii="仿宋" w:hAnsi="仿宋" w:eastAsia="仿宋" w:cs="仿宋"/>
          <w:color w:val="auto"/>
          <w:sz w:val="28"/>
          <w:szCs w:val="28"/>
        </w:rPr>
      </w:pPr>
    </w:p>
    <w:p w14:paraId="12FFE0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西安市城市管理和综合执法局城市</w:t>
      </w:r>
      <w:r>
        <w:rPr>
          <w:rFonts w:hint="eastAsia" w:ascii="仿宋" w:hAnsi="仿宋" w:eastAsia="仿宋" w:cs="仿宋"/>
          <w:color w:val="auto"/>
          <w:sz w:val="24"/>
          <w:szCs w:val="24"/>
          <w:lang w:eastAsia="zh-CN"/>
        </w:rPr>
        <w:t>道路积尘负荷值检测服务</w:t>
      </w:r>
      <w:r>
        <w:rPr>
          <w:rFonts w:hint="eastAsia" w:ascii="仿宋" w:hAnsi="仿宋" w:eastAsia="仿宋" w:cs="仿宋"/>
          <w:color w:val="auto"/>
          <w:sz w:val="24"/>
          <w:szCs w:val="24"/>
        </w:rPr>
        <w:t>的采购,在西安市财政局政府采购管理处的监督管理下,</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公司</w:t>
      </w:r>
      <w:r>
        <w:rPr>
          <w:rFonts w:hint="eastAsia" w:ascii="仿宋" w:hAnsi="仿宋" w:eastAsia="仿宋" w:cs="仿宋"/>
          <w:color w:val="auto"/>
          <w:sz w:val="24"/>
          <w:szCs w:val="24"/>
        </w:rPr>
        <w:t>受西安市城市管理和综合执法局的委托，经政府采购管理部门批准，按照政府采购程序，对西安市城市管理和综合执法局城市道路积尘负荷值检测服务进行公开招标，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公司为西安市城市管理和综合执法局城市</w:t>
      </w:r>
      <w:r>
        <w:rPr>
          <w:rFonts w:hint="eastAsia" w:ascii="仿宋" w:hAnsi="仿宋" w:eastAsia="仿宋" w:cs="仿宋"/>
          <w:color w:val="auto"/>
          <w:sz w:val="24"/>
          <w:szCs w:val="24"/>
          <w:lang w:eastAsia="zh-CN"/>
        </w:rPr>
        <w:t>道路积尘负荷值检测服务</w:t>
      </w:r>
      <w:r>
        <w:rPr>
          <w:rFonts w:hint="eastAsia" w:ascii="仿宋" w:hAnsi="仿宋" w:eastAsia="仿宋" w:cs="仿宋"/>
          <w:color w:val="auto"/>
          <w:sz w:val="24"/>
          <w:szCs w:val="24"/>
        </w:rPr>
        <w:t>成交单位。</w:t>
      </w:r>
    </w:p>
    <w:p w14:paraId="5B33D794">
      <w:pPr>
        <w:pStyle w:val="6"/>
        <w:keepNext w:val="0"/>
        <w:keepLines w:val="0"/>
        <w:pageBreakBefore w:val="0"/>
        <w:widowControl/>
        <w:kinsoku/>
        <w:wordWrap w:val="0"/>
        <w:overflowPunct/>
        <w:topLinePunct/>
        <w:autoSpaceDE/>
        <w:autoSpaceDN/>
        <w:bidi w:val="0"/>
        <w:adjustRightInd/>
        <w:snapToGrid/>
        <w:ind w:firstLine="482"/>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依据《中华人民共和国政府采购法》、《中华人民共和国招投标法》、《中华人民共和国民法典》、《城市道路积尘负荷值检测服务招标文件》、《</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投标文件》，经西安市城市管理和综合执法局(以下简称甲方）与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公司（以下简称乙方）共同协商，达成如下合同条款。</w:t>
      </w:r>
    </w:p>
    <w:p w14:paraId="2247218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一、服务内容、形式和要求</w:t>
      </w:r>
    </w:p>
    <w:p w14:paraId="11B1006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（一）服务内容</w:t>
      </w:r>
    </w:p>
    <w:p w14:paraId="2C10EE79">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道路积尘负荷值检测</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内容：西安市区域内1</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个区县、开发区所属市政道路路面积尘污染特征，并针对负荷值高的道路提出有针对性的积尘减量管控措施。</w:t>
      </w:r>
    </w:p>
    <w:p w14:paraId="222C30CA">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（二）服务形式</w:t>
      </w:r>
    </w:p>
    <w:p w14:paraId="4BEC404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乙方采用道路积尘负荷值检测车辆走航检测，每天开展走航检测工作，并向甲方提供道路积尘负荷值检测报表、检测数据、空间分布图、走航轨迹。在完成所有检测工作后向甲方提供检测报告。针对高负荷值路段，提出切实可行的整改措施。</w:t>
      </w:r>
    </w:p>
    <w:p w14:paraId="23048B1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（三）服务要求</w:t>
      </w:r>
    </w:p>
    <w:p w14:paraId="27CD0F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乙方提供的城市道路积尘负荷值走航检测服务，接受甲方随机安排的时段进行检测，每日对道路检测工作完成1个工作日内将检测报告提交至市城管局，每周提供重点检测路段数据，每月完成所有检测工作后向市城管局提供汇总检测报告，并对西安市城市道路积尘负荷情况进行分析，形成检测报告以及整改建议。</w:t>
      </w:r>
    </w:p>
    <w:p w14:paraId="7E1A0D7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2.乙方每日检测道路数合计不少于</w:t>
      </w:r>
      <w:r>
        <w:rPr>
          <w:rFonts w:hint="eastAsia" w:ascii="仿宋" w:hAnsi="仿宋" w:eastAsia="仿宋" w:cs="仿宋"/>
          <w:color w:val="auto"/>
          <w:sz w:val="24"/>
          <w:szCs w:val="24"/>
          <w:lang w:val="en-US" w:eastAsia="zh-CN"/>
        </w:rPr>
        <w:t>600</w:t>
      </w:r>
      <w:r>
        <w:rPr>
          <w:rFonts w:hint="eastAsia" w:ascii="仿宋" w:hAnsi="仿宋" w:eastAsia="仿宋" w:cs="仿宋"/>
          <w:color w:val="auto"/>
          <w:sz w:val="24"/>
          <w:szCs w:val="24"/>
        </w:rPr>
        <w:t>条，检测完成后，汇总每辆车当日检测数据（涵盖道路检测数据表格，道路名称及所在区县、空间分布图、走航轨迹图等）乙方每日对道路检测工作完成后于次日早10点前将检测报告送达至甲方。</w:t>
      </w:r>
    </w:p>
    <w:p w14:paraId="7889AD9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3.乙方每周对全市13个国家空气质量自动监测站周边3公里区域内1600余条道路进行走航检测不少于2次，对数据进行汇总分析，与上周数据进行对比总结。</w:t>
      </w:r>
    </w:p>
    <w:p w14:paraId="05EE28C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4.乙方每月对全市2</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00条市政道路全覆盖检测不少于2次，对数据进行汇总分析，与上月数据进行对比总结。</w:t>
      </w:r>
    </w:p>
    <w:p w14:paraId="2409D0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乙方每日对道路检测工作完成后于次日将检测报告送达至甲方；每周提供1600余条重点检测道路数据，每月完成所有检测工作后1日内向甲方提供汇总检测报告，并对西安市城市道路尘负荷值情况进行分析，形成书面检测报告以及整改建议，列举出各区县、开发区最差道路各40条。</w:t>
      </w:r>
    </w:p>
    <w:p w14:paraId="65806E9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6.乙方按照《西安市城市道路清扫保洁技术规范》质量标准，承担甲方临时交办的环境卫生检查工作，并及时提交（图文并茂）检查报告。</w:t>
      </w:r>
    </w:p>
    <w:p w14:paraId="196554B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二、配备检测仪器和车辆要求</w:t>
      </w:r>
    </w:p>
    <w:p w14:paraId="02B18E1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1.检测仪器要求</w:t>
      </w:r>
    </w:p>
    <w:p w14:paraId="5217339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乙方必须使用投标文件中所配备的道路积尘负荷值检测设备7套。</w:t>
      </w:r>
    </w:p>
    <w:p w14:paraId="65976C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2.走航车辆要求</w:t>
      </w:r>
    </w:p>
    <w:p w14:paraId="559B987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乙方必须使用</w:t>
      </w:r>
      <w:r>
        <w:rPr>
          <w:rFonts w:hint="eastAsia" w:ascii="仿宋" w:hAnsi="仿宋" w:eastAsia="仿宋" w:cs="仿宋"/>
          <w:color w:val="auto"/>
          <w:sz w:val="24"/>
          <w:szCs w:val="24"/>
          <w:lang w:val="en-US" w:eastAsia="zh-CN"/>
        </w:rPr>
        <w:t>投标文件</w:t>
      </w:r>
      <w:r>
        <w:rPr>
          <w:rFonts w:hint="eastAsia" w:ascii="仿宋" w:hAnsi="仿宋" w:eastAsia="仿宋" w:cs="仿宋"/>
          <w:color w:val="auto"/>
          <w:sz w:val="24"/>
          <w:szCs w:val="24"/>
        </w:rPr>
        <w:t>所配备的8台车辆，车牌号分别为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41E856FB">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3.服务人员要求</w:t>
      </w:r>
    </w:p>
    <w:p w14:paraId="41F67843">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乙方必须配备不少于1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人的服务团队。服务过程中需固定服务人员不得更换，确需更换的，乙方应当提前5个工作日向甲方书面报告，经过甲方同意后，乙方可更换服务人员。</w:t>
      </w:r>
    </w:p>
    <w:p w14:paraId="7DA76C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4.检测软件平台要求</w:t>
      </w:r>
    </w:p>
    <w:p w14:paraId="2FDC3C8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乙方使用的检测软件平台应达到招标文件中的要求。可展示道路积尘走航图及轨迹图，可绘制检测路段、所属区县及街办或保洁企业名称，可自动进行日、周、月、季度数据分析，按绘制路段展示数据，可按区县或保洁企业排名、可导出检测数据，可制定化导出检测报告。</w:t>
      </w:r>
    </w:p>
    <w:p w14:paraId="48A9F2E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三、服务期限及履行地点</w:t>
      </w:r>
    </w:p>
    <w:p w14:paraId="7A238C3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1.乙方服务期自202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日起至202</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日止，期限为12个月。</w:t>
      </w:r>
    </w:p>
    <w:p w14:paraId="12189FD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2.履行地点：西安市各区县、西咸新区及各开发区。</w:t>
      </w:r>
    </w:p>
    <w:p w14:paraId="2127BCD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四、服务费付款方式及验收</w:t>
      </w:r>
    </w:p>
    <w:p w14:paraId="6CE04EB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1.结算单位：甲方结算，结算前乙方须开具法律规定的相应发票给甲方，乙方未开具的，甲方有权拒绝结算。</w:t>
      </w:r>
    </w:p>
    <w:p w14:paraId="21FE04E5">
      <w:pPr>
        <w:pStyle w:val="6"/>
        <w:keepNext w:val="0"/>
        <w:keepLines w:val="0"/>
        <w:pageBreakBefore w:val="0"/>
        <w:widowControl/>
        <w:kinsoku/>
        <w:wordWrap w:val="0"/>
        <w:overflowPunct/>
        <w:topLinePunct w:val="0"/>
        <w:autoSpaceDE/>
        <w:autoSpaceDN/>
        <w:bidi w:val="0"/>
        <w:adjustRightInd/>
        <w:snapToGrid/>
        <w:ind w:firstLine="482"/>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2.支付方式：银行转账，西安市城市管理和综合执法局支付服务费总计人民币</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元，大写人民币：</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元）。合同签署后支付合同额40%（大写人民币：</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元）的预付款。剩余款项于202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11</w:t>
      </w:r>
      <w:r>
        <w:rPr>
          <w:rFonts w:hint="eastAsia" w:ascii="仿宋" w:hAnsi="仿宋" w:eastAsia="仿宋" w:cs="仿宋"/>
          <w:color w:val="auto"/>
          <w:sz w:val="24"/>
          <w:szCs w:val="24"/>
        </w:rPr>
        <w:t>月和</w:t>
      </w:r>
      <w:r>
        <w:rPr>
          <w:rFonts w:hint="eastAsia" w:ascii="仿宋" w:hAnsi="仿宋" w:eastAsia="仿宋" w:cs="仿宋"/>
          <w:color w:val="auto"/>
          <w:sz w:val="24"/>
          <w:szCs w:val="24"/>
          <w:lang w:val="en-US" w:eastAsia="zh-CN"/>
        </w:rPr>
        <w:t>次年8</w:t>
      </w:r>
      <w:r>
        <w:rPr>
          <w:rFonts w:hint="eastAsia" w:ascii="仿宋" w:hAnsi="仿宋" w:eastAsia="仿宋" w:cs="仿宋"/>
          <w:color w:val="auto"/>
          <w:sz w:val="24"/>
          <w:szCs w:val="24"/>
        </w:rPr>
        <w:t>月分</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次支付完成，每次支付：大写人民币：</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元。甲方每次付款前对乙方服务项目验收，需满足合同要求，否则甲方有权拒绝向乙方付款，且不承担任何责任。</w:t>
      </w:r>
    </w:p>
    <w:p w14:paraId="3B6358D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3.乙方应当给予甲方财政审批的时间，若因甲方财政审批流程延迟付款时间，乙方应当适当延迟收款时间，甲方延期付款不视为违约。</w:t>
      </w:r>
    </w:p>
    <w:p w14:paraId="71B42A2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4.项目验收</w:t>
      </w:r>
    </w:p>
    <w:p w14:paraId="7460AD5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（1）项目由甲方进行验收，每次验收乙方应提前提交书面申请，验收时乙方应无条件予以配合并提供验收所需的资料，若乙方不配合，甲方将拒绝验收。</w:t>
      </w:r>
    </w:p>
    <w:p w14:paraId="7561B17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（2）验收标准：日报告为前日走航轨迹图、检测道路名称、所属区县、检测道路积尘量数值（g/㎡），检测道路有效条数不少于</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00条;周报告涵盖13个国家空气质量自动监测站周边3公里区域内1600余条道路积尘量数值（g/㎡）、积尘量GIS地图分布情况、2次走航轨迹图、检测道路名称、所属区县及与上周数据对比报告，每月共4份报告；月报告为当月2</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00余条城市道路积尘量数值（g/㎡）、积尘量GIS地图分布情况、2次走航轨迹图、检测道路名称、所属区县、列举的各区县、开发区最差道路各40条、与上月数据对比图以及整改建议报告，全年共12份。</w:t>
      </w:r>
    </w:p>
    <w:p w14:paraId="3350F0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五、甲、乙双方的权利和义务</w:t>
      </w:r>
    </w:p>
    <w:p w14:paraId="0B6B3C6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1.乙方必须严格履行合同义务，满足本合同服务要求，所配走航车辆和积尘检测设备均为乙方产权。</w:t>
      </w:r>
    </w:p>
    <w:p w14:paraId="1569B39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2.乙方不得将本合同项目下权利义务转让给第三方，否则由此对甲方造成的损失应当由乙方承担。</w:t>
      </w:r>
    </w:p>
    <w:p w14:paraId="6083749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3.乙方配备的车辆如遇故障或交通事故需临时更换时，要及时书面告知甲方，提交证明资料和维修时长，并提供乙方产权的其它车辆进行替换。</w:t>
      </w:r>
    </w:p>
    <w:p w14:paraId="44D33894">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4.乙方有义务接受甲方以电话、微信、短信方式安排检查车辆的检查计划。</w:t>
      </w:r>
    </w:p>
    <w:p w14:paraId="49C9D06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5.雨雪天气时乙方可暂停检测服务，当天日报可不向甲方提供。</w:t>
      </w:r>
    </w:p>
    <w:p w14:paraId="6B7D7D5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6.甲方有义务需配合乙方完成各区县、开发区市政道路区域划分。</w:t>
      </w:r>
    </w:p>
    <w:p w14:paraId="24410308">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7.甲方有权要求乙方配合甲方完成项目每次验收工作。</w:t>
      </w:r>
    </w:p>
    <w:p w14:paraId="14C144B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8.甲方有权随时查验乙方履行合同所必需的走航车辆，乙方应无条件给予配合并提供证明材料。</w:t>
      </w:r>
    </w:p>
    <w:p w14:paraId="06F30F06">
      <w:pPr>
        <w:pStyle w:val="6"/>
        <w:ind w:firstLine="48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乙方在履行合同过程中应当遵守道路安全法规，造成乙方工作人员或第三人损失的，由乙方自行承担，甲方不承担任何责任。</w:t>
      </w:r>
    </w:p>
    <w:p w14:paraId="4D3DAC1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六、保密条款</w:t>
      </w:r>
    </w:p>
    <w:p w14:paraId="39B9953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1.保密信息系指甲乙双方之间互相披露的与本合同所述合作事项有关的任何数据和信息。</w:t>
      </w:r>
    </w:p>
    <w:p w14:paraId="48AD64D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除因法律、法规或其他监管机构的要求或规定而需要披露外，非经对方事先书面同意，相关保密信息仅被提供给为本合同所述合作事项之目的而需要了解、知悉该保密资料的合同一方，甲乙双方对所获悉的保密信息均负有保密义务。</w:t>
      </w:r>
    </w:p>
    <w:p w14:paraId="1609421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本保密条款不因双方合作的终止而无效。在双方合作期间内以及合作终止后，本保密条款对双方仍具有约束力。只要本合同所述的保密信息尚未成为公开信息，双方的保密义务持续有效，并不受本合同其他条款的限制。</w:t>
      </w:r>
    </w:p>
    <w:p w14:paraId="661220F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七、违约责任</w:t>
      </w:r>
    </w:p>
    <w:p w14:paraId="1916F14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乙方不得将本协议全部或部分服务内容、形式和要求转包或分包给任何第三方（包含个人车辆在内），否则甲方有权要求乙方退还甲方已支付乙方的费用，并书面通知乙方解除合同拒绝支付剩余款项，同时乙方应向甲方支付相当于本合同总价款10%的违约金。</w:t>
      </w:r>
    </w:p>
    <w:p w14:paraId="4F5CCE81">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乙方提供的检测服务不符合本合同约定的，甲方有权进行书面催告，乙方收到甲方书面催告文件后2日内没有改正或改正后仍不符合甲方要求的，甲方有权从尾款中扣除合同总价款的5%作为违约金。乙方发生该等违约行为超过两次，甲方有权书面通知乙方解除合同并拒绝支付剩余款项，同时乙方应向甲方支付相当于本合同总价款10%的违约金，并向甲方退还已支付的全部费用。</w:t>
      </w:r>
    </w:p>
    <w:p w14:paraId="21AF27C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乙方在服务期内必须按照合同内所列走航车辆服务于本项目，甲方有权查验，乙方应积极配合出具证明材料。不配合查验或者未经甲方同意擅自更换合同内所列走航车辆的，甲方有权书面通知乙方解除合同并拒绝支付剩余款项，同时乙方应向甲方支付相当于本合同总价款10%的违约金，并向甲方退还已支付的全部费用。</w:t>
      </w:r>
    </w:p>
    <w:p w14:paraId="3B5B3E5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4.乙方应按服务要求，按时提交日报、周报和月报。乙方未按甲方要求提交报告，经甲方书面催告后仍未提交的，针对未提交报告的情况，每次将从尾款中扣除本合同总价款1%的服务费。</w:t>
      </w:r>
    </w:p>
    <w:p w14:paraId="03ABE1F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5.乙方应按照服务期开展道路积尘负荷值检测服务，不得以任何理由逾期、阶段性和提前结束服务，甲方有权进行书面催告，乙方收到甲方书面催告文件后1日内没有整改的，甲方有权从服务费中扣除合同总价款的5%作为违约金，乙方服务期未满提前结束服务的，乙方应向甲方支付相当于本合同总价款10%的违约金。</w:t>
      </w:r>
    </w:p>
    <w:p w14:paraId="70A4434E">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6.乙方在履行本合同过程中所取得的与检测有关的数据、信息及甲方的非公开信息，乙方应承担保密义务，此保密义务自合同签订之日起永久有效。乙方违反本合同约定的保密义务的，应向甲方支付相当于本合同总价款10%的违约金。如乙方违反保密义务给甲方造成损失的，甲方有权书面通知乙方解除合同，乙方应退还甲方已支付的全部费用，乙方应向甲方支付相当于本合同总价款10%的违约金。</w:t>
      </w:r>
    </w:p>
    <w:p w14:paraId="293894F5">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7.乙方除应按照本合同约定支付违约金外，还应赔偿因违约给甲方造成的全部损失，该全部损失包括但不限于给甲方所造成的直接损失、可得利益损失、声誉损失、甲方另行委托第三方产生的费用、甲方支付给第三方的费用/违约金/罚款、调查取证费用、诉讼费用、律师代理费、保全费、保全保险费、鉴定费、公证费、公告费、差旅费以及因此而支付的其他合理费用。</w:t>
      </w:r>
    </w:p>
    <w:p w14:paraId="028608DF">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8.乙方因本合同需承担的违约金、损失赔偿等其他各项费用，甲方有权直接从尚未支付的款项中预先扣除。不足以抵扣的，乙方需补足。</w:t>
      </w:r>
    </w:p>
    <w:p w14:paraId="3FA483A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七、解决合同纠纷的方式</w:t>
      </w:r>
    </w:p>
    <w:p w14:paraId="53ACC687">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在履行本合同过程中发生争议，双方当事人和解或调解不成，双方同意任一方均可向甲方所在地人民法院起诉。</w:t>
      </w:r>
    </w:p>
    <w:p w14:paraId="5011176D">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八、其他事项</w:t>
      </w:r>
    </w:p>
    <w:p w14:paraId="1B437912">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1.投标文件、投标响应文件、澄清表、合同附件均成为合同不可分割的部分。乙方提交的书面报告均要加盖公章。</w:t>
      </w:r>
    </w:p>
    <w:p w14:paraId="1C60F680">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2.合同未尽事宜，由甲、乙双方协商，作为合同补充，与原合同具有同等法律效力。</w:t>
      </w:r>
    </w:p>
    <w:p w14:paraId="3D8EDADC">
      <w:pPr>
        <w:pStyle w:val="6"/>
        <w:ind w:firstLine="480"/>
        <w:rPr>
          <w:rFonts w:hint="eastAsia" w:ascii="仿宋" w:hAnsi="仿宋" w:eastAsia="仿宋" w:cs="仿宋"/>
          <w:color w:val="auto"/>
          <w:sz w:val="24"/>
          <w:szCs w:val="24"/>
        </w:rPr>
      </w:pPr>
      <w:r>
        <w:rPr>
          <w:rFonts w:hint="eastAsia" w:ascii="仿宋" w:hAnsi="仿宋" w:eastAsia="仿宋" w:cs="仿宋"/>
          <w:color w:val="auto"/>
          <w:sz w:val="24"/>
          <w:szCs w:val="24"/>
        </w:rPr>
        <w:t>3.本合同一式六份，成交供应商执两份，采购人执四份。甲、乙双方确认签字盖章后生效，合同执行完毕后，自动失效。</w:t>
      </w:r>
    </w:p>
    <w:p w14:paraId="72ACDE3B">
      <w:pPr>
        <w:pStyle w:val="6"/>
        <w:ind w:firstLine="480"/>
        <w:rPr>
          <w:rFonts w:hint="eastAsia" w:ascii="仿宋" w:hAnsi="仿宋" w:eastAsia="仿宋" w:cs="仿宋"/>
          <w:color w:val="auto"/>
        </w:rPr>
      </w:pPr>
    </w:p>
    <w:p w14:paraId="2B47EF37">
      <w:pPr>
        <w:pStyle w:val="6"/>
        <w:ind w:firstLine="480"/>
        <w:rPr>
          <w:rFonts w:hint="eastAsia" w:ascii="仿宋" w:hAnsi="仿宋" w:eastAsia="仿宋" w:cs="仿宋"/>
          <w:color w:val="auto"/>
        </w:rPr>
      </w:pPr>
    </w:p>
    <w:p w14:paraId="4BF8755A">
      <w:pPr>
        <w:pStyle w:val="2"/>
        <w:spacing w:line="560" w:lineRule="exact"/>
        <w:rPr>
          <w:rFonts w:hint="eastAsia" w:ascii="仿宋" w:hAnsi="仿宋" w:eastAsia="仿宋" w:cs="仿宋"/>
          <w:color w:val="auto"/>
          <w:sz w:val="24"/>
          <w:szCs w:val="24"/>
        </w:rPr>
      </w:pPr>
      <w:r>
        <w:rPr>
          <w:rFonts w:hint="eastAsia" w:ascii="仿宋" w:hAnsi="仿宋" w:eastAsia="仿宋" w:cs="仿宋"/>
          <w:color w:val="auto"/>
          <w:sz w:val="24"/>
          <w:szCs w:val="24"/>
        </w:rPr>
        <w:t>（以</w:t>
      </w:r>
      <w:r>
        <w:rPr>
          <w:rFonts w:hint="eastAsia" w:ascii="仿宋" w:hAnsi="仿宋" w:eastAsia="仿宋" w:cs="仿宋"/>
          <w:color w:val="auto"/>
          <w:sz w:val="24"/>
          <w:szCs w:val="24"/>
          <w:lang w:val="en-US" w:eastAsia="zh-CN"/>
        </w:rPr>
        <w:t>下</w:t>
      </w:r>
      <w:r>
        <w:rPr>
          <w:rFonts w:hint="eastAsia" w:ascii="仿宋" w:hAnsi="仿宋" w:eastAsia="仿宋" w:cs="仿宋"/>
          <w:color w:val="auto"/>
          <w:sz w:val="24"/>
          <w:szCs w:val="24"/>
        </w:rPr>
        <w:t>无正文）</w:t>
      </w:r>
    </w:p>
    <w:p w14:paraId="481ED05F">
      <w:pPr>
        <w:pStyle w:val="2"/>
        <w:rPr>
          <w:rFonts w:hint="eastAsia" w:ascii="仿宋" w:hAnsi="仿宋" w:eastAsia="仿宋" w:cs="仿宋"/>
          <w:color w:val="auto"/>
          <w:sz w:val="24"/>
          <w:szCs w:val="24"/>
        </w:rPr>
      </w:pPr>
    </w:p>
    <w:p w14:paraId="19FC1981">
      <w:pPr>
        <w:pStyle w:val="2"/>
        <w:rPr>
          <w:rFonts w:hint="eastAsia" w:ascii="仿宋" w:hAnsi="仿宋" w:eastAsia="仿宋" w:cs="仿宋"/>
          <w:color w:val="auto"/>
          <w:sz w:val="24"/>
          <w:szCs w:val="24"/>
        </w:rPr>
      </w:pPr>
    </w:p>
    <w:p w14:paraId="6D50FFD4">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35CB1C99">
      <w:pPr>
        <w:pStyle w:val="2"/>
        <w:spacing w:line="560" w:lineRule="exact"/>
        <w:rPr>
          <w:rFonts w:hint="eastAsia" w:ascii="仿宋" w:hAnsi="仿宋" w:eastAsia="仿宋" w:cs="仿宋"/>
          <w:color w:val="auto"/>
          <w:sz w:val="24"/>
          <w:szCs w:val="24"/>
        </w:rPr>
      </w:pPr>
    </w:p>
    <w:tbl>
      <w:tblPr>
        <w:tblStyle w:val="4"/>
        <w:tblpPr w:leftFromText="180" w:rightFromText="180" w:vertAnchor="text" w:horzAnchor="page" w:tblpX="1600" w:tblpY="308"/>
        <w:tblOverlap w:val="never"/>
        <w:tblW w:w="8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9"/>
        <w:gridCol w:w="4456"/>
      </w:tblGrid>
      <w:tr w14:paraId="7A78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4499" w:type="dxa"/>
            <w:tcBorders>
              <w:top w:val="single" w:color="auto" w:sz="4" w:space="0"/>
              <w:left w:val="single" w:color="auto" w:sz="4" w:space="0"/>
              <w:bottom w:val="single" w:color="auto" w:sz="4" w:space="0"/>
              <w:right w:val="single" w:color="auto" w:sz="4" w:space="0"/>
            </w:tcBorders>
            <w:vAlign w:val="center"/>
          </w:tcPr>
          <w:p w14:paraId="60F205C6">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甲  方</w:t>
            </w:r>
          </w:p>
        </w:tc>
        <w:tc>
          <w:tcPr>
            <w:tcW w:w="4456" w:type="dxa"/>
            <w:tcBorders>
              <w:top w:val="single" w:color="auto" w:sz="4" w:space="0"/>
              <w:left w:val="single" w:color="auto" w:sz="4" w:space="0"/>
              <w:bottom w:val="single" w:color="auto" w:sz="4" w:space="0"/>
              <w:right w:val="single" w:color="auto" w:sz="4" w:space="0"/>
            </w:tcBorders>
            <w:vAlign w:val="center"/>
          </w:tcPr>
          <w:p w14:paraId="0F5327FA">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乙  方</w:t>
            </w:r>
          </w:p>
        </w:tc>
      </w:tr>
      <w:tr w14:paraId="033E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4499" w:type="dxa"/>
            <w:tcBorders>
              <w:top w:val="single" w:color="auto" w:sz="4" w:space="0"/>
              <w:left w:val="single" w:color="auto" w:sz="4" w:space="0"/>
              <w:bottom w:val="single" w:color="auto" w:sz="4" w:space="0"/>
              <w:right w:val="single" w:color="auto" w:sz="4" w:space="0"/>
            </w:tcBorders>
            <w:vAlign w:val="center"/>
          </w:tcPr>
          <w:p w14:paraId="3205D8E2">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采购人名称：西安市城市管理和综合执法局（盖章）</w:t>
            </w:r>
          </w:p>
        </w:tc>
        <w:tc>
          <w:tcPr>
            <w:tcW w:w="4456" w:type="dxa"/>
            <w:tcBorders>
              <w:top w:val="single" w:color="auto" w:sz="4" w:space="0"/>
              <w:left w:val="single" w:color="auto" w:sz="4" w:space="0"/>
              <w:bottom w:val="single" w:color="auto" w:sz="4" w:space="0"/>
              <w:right w:val="single" w:color="auto" w:sz="4" w:space="0"/>
            </w:tcBorders>
            <w:vAlign w:val="center"/>
          </w:tcPr>
          <w:p w14:paraId="07326B26">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服务供应商全称：（盖章）</w:t>
            </w:r>
          </w:p>
        </w:tc>
      </w:tr>
      <w:tr w14:paraId="6082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4499" w:type="dxa"/>
            <w:tcBorders>
              <w:top w:val="single" w:color="auto" w:sz="4" w:space="0"/>
              <w:left w:val="single" w:color="auto" w:sz="4" w:space="0"/>
              <w:bottom w:val="single" w:color="auto" w:sz="4" w:space="0"/>
              <w:right w:val="single" w:color="auto" w:sz="4" w:space="0"/>
            </w:tcBorders>
            <w:vAlign w:val="center"/>
          </w:tcPr>
          <w:p w14:paraId="2C481038">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地址：西安市凤城八路109号。</w:t>
            </w:r>
          </w:p>
        </w:tc>
        <w:tc>
          <w:tcPr>
            <w:tcW w:w="4456" w:type="dxa"/>
            <w:tcBorders>
              <w:top w:val="single" w:color="auto" w:sz="4" w:space="0"/>
              <w:left w:val="single" w:color="auto" w:sz="4" w:space="0"/>
              <w:bottom w:val="single" w:color="auto" w:sz="4" w:space="0"/>
              <w:right w:val="single" w:color="auto" w:sz="4" w:space="0"/>
            </w:tcBorders>
            <w:vAlign w:val="center"/>
          </w:tcPr>
          <w:p w14:paraId="1482535B">
            <w:pPr>
              <w:widowControl/>
              <w:kinsoku w:val="0"/>
              <w:autoSpaceDE w:val="0"/>
              <w:autoSpaceDN w:val="0"/>
              <w:adjustRightInd w:val="0"/>
              <w:snapToGrid w:val="0"/>
              <w:spacing w:line="540" w:lineRule="exact"/>
              <w:jc w:val="both"/>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地址：</w:t>
            </w:r>
          </w:p>
        </w:tc>
      </w:tr>
      <w:tr w14:paraId="38E5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4499" w:type="dxa"/>
            <w:tcBorders>
              <w:top w:val="single" w:color="auto" w:sz="4" w:space="0"/>
              <w:left w:val="single" w:color="auto" w:sz="4" w:space="0"/>
              <w:bottom w:val="single" w:color="auto" w:sz="4" w:space="0"/>
              <w:right w:val="single" w:color="auto" w:sz="4" w:space="0"/>
            </w:tcBorders>
            <w:vAlign w:val="center"/>
          </w:tcPr>
          <w:p w14:paraId="40667827">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6B7FEBC8">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c>
          <w:tcPr>
            <w:tcW w:w="4456" w:type="dxa"/>
            <w:tcBorders>
              <w:top w:val="single" w:color="auto" w:sz="4" w:space="0"/>
              <w:left w:val="single" w:color="auto" w:sz="4" w:space="0"/>
              <w:bottom w:val="single" w:color="auto" w:sz="4" w:space="0"/>
              <w:right w:val="single" w:color="auto" w:sz="4" w:space="0"/>
            </w:tcBorders>
            <w:vAlign w:val="center"/>
          </w:tcPr>
          <w:p w14:paraId="5FDB0FE1">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22B6A7F2">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r>
      <w:tr w14:paraId="4B7E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4499" w:type="dxa"/>
            <w:vMerge w:val="restart"/>
            <w:tcBorders>
              <w:top w:val="single" w:color="auto" w:sz="4" w:space="0"/>
              <w:left w:val="single" w:color="auto" w:sz="4" w:space="0"/>
              <w:right w:val="single" w:color="auto" w:sz="4" w:space="0"/>
            </w:tcBorders>
            <w:vAlign w:val="center"/>
          </w:tcPr>
          <w:p w14:paraId="0626D606">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委托代理人</w:t>
            </w:r>
            <w:r>
              <w:rPr>
                <w:rFonts w:hint="eastAsia" w:ascii="仿宋" w:hAnsi="仿宋" w:eastAsia="仿宋" w:cs="仿宋"/>
                <w:color w:val="auto"/>
                <w:sz w:val="24"/>
                <w:szCs w:val="24"/>
              </w:rPr>
              <w:t>：（签字）</w:t>
            </w:r>
          </w:p>
          <w:p w14:paraId="03265FEA">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c>
          <w:tcPr>
            <w:tcW w:w="4456" w:type="dxa"/>
            <w:tcBorders>
              <w:top w:val="single" w:color="auto" w:sz="4" w:space="0"/>
              <w:left w:val="single" w:color="auto" w:sz="4" w:space="0"/>
              <w:bottom w:val="single" w:color="auto" w:sz="4" w:space="0"/>
              <w:right w:val="single" w:color="auto" w:sz="4" w:space="0"/>
            </w:tcBorders>
            <w:vAlign w:val="center"/>
          </w:tcPr>
          <w:p w14:paraId="31C6675F">
            <w:pPr>
              <w:widowControl/>
              <w:kinsoku w:val="0"/>
              <w:autoSpaceDE w:val="0"/>
              <w:autoSpaceDN w:val="0"/>
              <w:adjustRightInd w:val="0"/>
              <w:snapToGrid w:val="0"/>
              <w:spacing w:line="54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电话：</w:t>
            </w:r>
          </w:p>
        </w:tc>
      </w:tr>
      <w:tr w14:paraId="1AB5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4499" w:type="dxa"/>
            <w:vMerge w:val="continue"/>
            <w:tcBorders>
              <w:left w:val="single" w:color="auto" w:sz="4" w:space="0"/>
              <w:right w:val="single" w:color="auto" w:sz="4" w:space="0"/>
            </w:tcBorders>
            <w:vAlign w:val="center"/>
          </w:tcPr>
          <w:p w14:paraId="304C5CCB">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c>
          <w:tcPr>
            <w:tcW w:w="4456" w:type="dxa"/>
            <w:vMerge w:val="restart"/>
            <w:tcBorders>
              <w:top w:val="single" w:color="auto" w:sz="4" w:space="0"/>
              <w:left w:val="single" w:color="auto" w:sz="4" w:space="0"/>
              <w:right w:val="single" w:color="auto" w:sz="4" w:space="0"/>
            </w:tcBorders>
            <w:vAlign w:val="center"/>
          </w:tcPr>
          <w:p w14:paraId="39023342">
            <w:pPr>
              <w:widowControl/>
              <w:kinsoku w:val="0"/>
              <w:autoSpaceDE w:val="0"/>
              <w:autoSpaceDN w:val="0"/>
              <w:adjustRightInd w:val="0"/>
              <w:snapToGrid w:val="0"/>
              <w:spacing w:line="540" w:lineRule="exact"/>
              <w:jc w:val="left"/>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开户行：</w:t>
            </w:r>
          </w:p>
        </w:tc>
      </w:tr>
      <w:tr w14:paraId="3B2C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499" w:type="dxa"/>
            <w:vMerge w:val="restart"/>
            <w:tcBorders>
              <w:left w:val="single" w:color="auto" w:sz="4" w:space="0"/>
              <w:right w:val="single" w:color="auto" w:sz="4" w:space="0"/>
            </w:tcBorders>
            <w:vAlign w:val="center"/>
          </w:tcPr>
          <w:p w14:paraId="088FE8B8">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c>
          <w:tcPr>
            <w:tcW w:w="4456" w:type="dxa"/>
            <w:vMerge w:val="continue"/>
            <w:tcBorders>
              <w:left w:val="single" w:color="auto" w:sz="4" w:space="0"/>
              <w:bottom w:val="single" w:color="auto" w:sz="4" w:space="0"/>
              <w:right w:val="single" w:color="auto" w:sz="4" w:space="0"/>
            </w:tcBorders>
            <w:vAlign w:val="center"/>
          </w:tcPr>
          <w:p w14:paraId="56CA23D8">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r>
      <w:tr w14:paraId="1A66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4499" w:type="dxa"/>
            <w:vMerge w:val="continue"/>
            <w:tcBorders>
              <w:left w:val="single" w:color="auto" w:sz="4" w:space="0"/>
              <w:right w:val="single" w:color="auto" w:sz="4" w:space="0"/>
            </w:tcBorders>
            <w:vAlign w:val="center"/>
          </w:tcPr>
          <w:p w14:paraId="0B46C087">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p>
        </w:tc>
        <w:tc>
          <w:tcPr>
            <w:tcW w:w="4456" w:type="dxa"/>
            <w:tcBorders>
              <w:top w:val="single" w:color="auto" w:sz="4" w:space="0"/>
              <w:left w:val="single" w:color="auto" w:sz="4" w:space="0"/>
              <w:bottom w:val="single" w:color="auto" w:sz="4" w:space="0"/>
              <w:right w:val="single" w:color="auto" w:sz="4" w:space="0"/>
            </w:tcBorders>
            <w:vAlign w:val="center"/>
          </w:tcPr>
          <w:p w14:paraId="3BC0DAE2">
            <w:pPr>
              <w:widowControl/>
              <w:kinsoku w:val="0"/>
              <w:autoSpaceDE w:val="0"/>
              <w:autoSpaceDN w:val="0"/>
              <w:adjustRightInd w:val="0"/>
              <w:snapToGrid w:val="0"/>
              <w:spacing w:line="540" w:lineRule="exact"/>
              <w:jc w:val="lef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账号：</w:t>
            </w:r>
          </w:p>
        </w:tc>
      </w:tr>
      <w:tr w14:paraId="2B08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4499" w:type="dxa"/>
            <w:tcBorders>
              <w:top w:val="single" w:color="auto" w:sz="4" w:space="0"/>
              <w:left w:val="single" w:color="auto" w:sz="4" w:space="0"/>
              <w:bottom w:val="single" w:color="auto" w:sz="4" w:space="0"/>
              <w:right w:val="single" w:color="auto" w:sz="4" w:space="0"/>
            </w:tcBorders>
            <w:vAlign w:val="center"/>
          </w:tcPr>
          <w:p w14:paraId="11D2E7AE">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日期：年   月    日</w:t>
            </w:r>
          </w:p>
        </w:tc>
        <w:tc>
          <w:tcPr>
            <w:tcW w:w="4456" w:type="dxa"/>
            <w:tcBorders>
              <w:top w:val="single" w:color="auto" w:sz="4" w:space="0"/>
              <w:left w:val="single" w:color="auto" w:sz="4" w:space="0"/>
              <w:bottom w:val="single" w:color="auto" w:sz="4" w:space="0"/>
              <w:right w:val="single" w:color="auto" w:sz="4" w:space="0"/>
            </w:tcBorders>
            <w:vAlign w:val="center"/>
          </w:tcPr>
          <w:p w14:paraId="5A5EC8E4">
            <w:pPr>
              <w:widowControl/>
              <w:kinsoku w:val="0"/>
              <w:autoSpaceDE w:val="0"/>
              <w:autoSpaceDN w:val="0"/>
              <w:adjustRightInd w:val="0"/>
              <w:snapToGrid w:val="0"/>
              <w:spacing w:line="54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日期：年  月   日</w:t>
            </w:r>
          </w:p>
        </w:tc>
      </w:tr>
    </w:tbl>
    <w:p w14:paraId="5137629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816B6A"/>
    <w:rsid w:val="47816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qFormat/>
    <w:uiPriority w:val="0"/>
    <w:pPr>
      <w:ind w:firstLine="4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2026-06-11T03:35:00Z</dcterms:created>
  <dc:creator>我有点烦</dc:creator>
  <cp:lastModifiedBy>我有点烦</cp:lastModifiedBy>
  <dcterms:modified xsi:type="dcterms:W3CDTF">2026-06-11T03:35:59Z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2643B0C3152C420FB807449FAD2E1DCE_11</vt:lpwstr>
  </property>
  <property fmtid="{D5CDD505-2E9C-101B-9397-08002B2CF9AE}" pid="4" name="KSOTemplateDocerSaveRecord">
    <vt:lpwstr>eyJoZGlkIjoiNDdlYmUwYjVlZjNiODgzNDlkMjc1MDQzYjZlYjcxYTQiLCJ1c2VySWQiOiI0MDE3ODg0NjIifQ==</vt:lpwstr>
  </property>
</Properties>
</file>