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D3D57A">
      <w:pPr>
        <w:keepNext w:val="0"/>
        <w:keepLines w:val="0"/>
        <w:widowControl/>
        <w:suppressLineNumbers w:val="0"/>
        <w:jc w:val="left"/>
      </w:pPr>
      <w:r>
        <w:rPr>
          <w:rFonts w:ascii="SourceHanSerifCNVF-Medium" w:hAnsi="SourceHanSerifCNVF-Medium" w:eastAsia="SourceHanSerifCNVF-Medium" w:cs="SourceHanSerifCNVF-Medium"/>
          <w:color w:val="000000"/>
          <w:kern w:val="0"/>
          <w:sz w:val="16"/>
          <w:szCs w:val="16"/>
          <w:lang w:val="en-US" w:eastAsia="zh-CN" w:bidi="ar"/>
        </w:rPr>
        <w:t xml:space="preserve">⼀、服务范围及要求 </w:t>
      </w:r>
    </w:p>
    <w:p w14:paraId="7C4C45F3">
      <w:pPr>
        <w:keepNext w:val="0"/>
        <w:keepLines w:val="0"/>
        <w:widowControl/>
        <w:suppressLineNumbers w:val="0"/>
        <w:jc w:val="left"/>
      </w:pPr>
      <w:r>
        <w:rPr>
          <w:rFonts w:hint="default" w:ascii="SourceHanSerifCNVF-Medium" w:hAnsi="SourceHanSerifCNVF-Medium" w:eastAsia="SourceHanSerifCNVF-Medium" w:cs="SourceHanSerifCNVF-Medium"/>
          <w:color w:val="000000"/>
          <w:kern w:val="0"/>
          <w:sz w:val="16"/>
          <w:szCs w:val="16"/>
          <w:lang w:val="en-US" w:eastAsia="zh-CN" w:bidi="ar"/>
        </w:rPr>
        <w:t xml:space="preserve">（⼀）赛项保障服务要求 </w:t>
      </w:r>
    </w:p>
    <w:p w14:paraId="4AF13217">
      <w:pPr>
        <w:keepNext w:val="0"/>
        <w:keepLines w:val="0"/>
        <w:widowControl/>
        <w:suppressLineNumbers w:val="0"/>
        <w:jc w:val="left"/>
      </w:pPr>
      <w:r>
        <w:rPr>
          <w:rFonts w:ascii="DejaVuSans" w:hAnsi="DejaVuSans" w:eastAsia="DejaVuSans" w:cs="DejaVuSans"/>
          <w:color w:val="000000"/>
          <w:kern w:val="0"/>
          <w:sz w:val="16"/>
          <w:szCs w:val="16"/>
          <w:lang w:val="en-US" w:eastAsia="zh-CN" w:bidi="ar"/>
        </w:rPr>
        <w:t>1.</w:t>
      </w:r>
      <w:r>
        <w:rPr>
          <w:rFonts w:hint="default" w:ascii="SourceHanSerifCNVF-Medium" w:hAnsi="SourceHanSerifCNVF-Medium" w:eastAsia="SourceHanSerifCNVF-Medium" w:cs="SourceHanSerifCNVF-Medium"/>
          <w:color w:val="000000"/>
          <w:kern w:val="0"/>
          <w:sz w:val="16"/>
          <w:szCs w:val="16"/>
          <w:lang w:val="en-US" w:eastAsia="zh-CN" w:bidi="ar"/>
        </w:rPr>
        <w:t>主赛场规划设计搭建负责⼤赛集中赛项的赛区平⾯布局规划、赛区观摩动线、赛项布局规划、赛项</w:t>
      </w:r>
      <w:r>
        <w:rPr>
          <w:rFonts w:hint="default" w:ascii="DejaVuSans" w:hAnsi="DejaVuSans" w:eastAsia="DejaVuSans" w:cs="DejaVuSans"/>
          <w:color w:val="000000"/>
          <w:kern w:val="0"/>
          <w:sz w:val="16"/>
          <w:szCs w:val="16"/>
          <w:lang w:val="en-US" w:eastAsia="zh-CN" w:bidi="ar"/>
        </w:rPr>
        <w:t>3D</w:t>
      </w:r>
      <w:r>
        <w:rPr>
          <w:rFonts w:hint="default" w:ascii="SourceHanSerifCNVF-Medium" w:hAnsi="SourceHanSerifCNVF-Medium" w:eastAsia="SourceHanSerifCNVF-Medium" w:cs="SourceHanSerifCNVF-Medium"/>
          <w:color w:val="000000"/>
          <w:kern w:val="0"/>
          <w:sz w:val="16"/>
          <w:szCs w:val="16"/>
          <w:lang w:val="en-US" w:eastAsia="zh-CN" w:bidi="ar"/>
        </w:rPr>
        <w:t xml:space="preserve">效果 </w:t>
      </w:r>
    </w:p>
    <w:p w14:paraId="754DE2B6">
      <w:pPr>
        <w:keepNext w:val="0"/>
        <w:keepLines w:val="0"/>
        <w:widowControl/>
        <w:suppressLineNumbers w:val="0"/>
        <w:jc w:val="left"/>
      </w:pPr>
      <w:r>
        <w:rPr>
          <w:rFonts w:hint="default" w:ascii="SourceHanSerifCNVF-Medium" w:hAnsi="SourceHanSerifCNVF-Medium" w:eastAsia="SourceHanSerifCNVF-Medium" w:cs="SourceHanSerifCNVF-Medium"/>
          <w:color w:val="000000"/>
          <w:kern w:val="0"/>
          <w:sz w:val="16"/>
          <w:szCs w:val="16"/>
          <w:lang w:val="en-US" w:eastAsia="zh-CN" w:bidi="ar"/>
        </w:rPr>
        <w:t xml:space="preserve">图、赛项⽔电⽹路布局图和监控点位图的设计规划，并根据设计图负责实施布置搭建及公共休息区就餐区、 </w:t>
      </w:r>
    </w:p>
    <w:p w14:paraId="7E418A5E">
      <w:pPr>
        <w:keepNext w:val="0"/>
        <w:keepLines w:val="0"/>
        <w:widowControl/>
        <w:suppressLineNumbers w:val="0"/>
        <w:jc w:val="left"/>
      </w:pPr>
      <w:r>
        <w:rPr>
          <w:rFonts w:hint="default" w:ascii="SourceHanSerifCNVF-Medium" w:hAnsi="SourceHanSerifCNVF-Medium" w:eastAsia="SourceHanSerifCNVF-Medium" w:cs="SourceHanSerifCNVF-Medium"/>
          <w:color w:val="000000"/>
          <w:kern w:val="0"/>
          <w:sz w:val="16"/>
          <w:szCs w:val="16"/>
          <w:lang w:val="en-US" w:eastAsia="zh-CN" w:bidi="ar"/>
        </w:rPr>
        <w:t xml:space="preserve">志愿者之家的布置。 </w:t>
      </w:r>
    </w:p>
    <w:p w14:paraId="588B4C91">
      <w:pPr>
        <w:keepNext w:val="0"/>
        <w:keepLines w:val="0"/>
        <w:widowControl/>
        <w:suppressLineNumbers w:val="0"/>
        <w:jc w:val="left"/>
      </w:pPr>
      <w:r>
        <w:rPr>
          <w:rFonts w:hint="default" w:ascii="DejaVuSans" w:hAnsi="DejaVuSans" w:eastAsia="DejaVuSans" w:cs="DejaVuSans"/>
          <w:color w:val="000000"/>
          <w:kern w:val="0"/>
          <w:sz w:val="16"/>
          <w:szCs w:val="16"/>
          <w:lang w:val="en-US" w:eastAsia="zh-CN" w:bidi="ar"/>
        </w:rPr>
        <w:t>1.1</w:t>
      </w:r>
      <w:r>
        <w:rPr>
          <w:rFonts w:hint="default" w:ascii="SourceHanSerifCNVF-Medium" w:hAnsi="SourceHanSerifCNVF-Medium" w:eastAsia="SourceHanSerifCNVF-Medium" w:cs="SourceHanSerifCNVF-Medium"/>
          <w:color w:val="000000"/>
          <w:kern w:val="0"/>
          <w:sz w:val="16"/>
          <w:szCs w:val="16"/>
          <w:lang w:val="en-US" w:eastAsia="zh-CN" w:bidi="ar"/>
        </w:rPr>
        <w:t xml:space="preserve">赛场公共物料根据执委会公布的技术⽂件满⾜配置。 </w:t>
      </w:r>
    </w:p>
    <w:p w14:paraId="2827F917">
      <w:pPr>
        <w:keepNext w:val="0"/>
        <w:keepLines w:val="0"/>
        <w:widowControl/>
        <w:suppressLineNumbers w:val="0"/>
        <w:jc w:val="left"/>
      </w:pPr>
      <w:r>
        <w:rPr>
          <w:rFonts w:hint="default" w:ascii="DejaVuSans" w:hAnsi="DejaVuSans" w:eastAsia="DejaVuSans" w:cs="DejaVuSans"/>
          <w:color w:val="000000"/>
          <w:kern w:val="0"/>
          <w:sz w:val="16"/>
          <w:szCs w:val="16"/>
          <w:lang w:val="en-US" w:eastAsia="zh-CN" w:bidi="ar"/>
        </w:rPr>
        <w:t>1.2</w:t>
      </w:r>
      <w:r>
        <w:rPr>
          <w:rFonts w:hint="default" w:ascii="SourceHanSerifCNVF-Medium" w:hAnsi="SourceHanSerifCNVF-Medium" w:eastAsia="SourceHanSerifCNVF-Medium" w:cs="SourceHanSerifCNVF-Medium"/>
          <w:color w:val="000000"/>
          <w:kern w:val="0"/>
          <w:sz w:val="16"/>
          <w:szCs w:val="16"/>
          <w:lang w:val="en-US" w:eastAsia="zh-CN" w:bidi="ar"/>
        </w:rPr>
        <w:t xml:space="preserve">竞赛场馆活动区布置等要求（设计⽅案经采购⼈同意后实施）： </w:t>
      </w:r>
    </w:p>
    <w:p w14:paraId="750156D6">
      <w:pPr>
        <w:keepNext w:val="0"/>
        <w:keepLines w:val="0"/>
        <w:widowControl/>
        <w:suppressLineNumbers w:val="0"/>
        <w:jc w:val="left"/>
      </w:pPr>
      <w:r>
        <w:rPr>
          <w:rFonts w:hint="default" w:ascii="SourceHanSerifCNVF-Medium" w:hAnsi="SourceHanSerifCNVF-Medium" w:eastAsia="SourceHanSerifCNVF-Medium" w:cs="SourceHanSerifCNVF-Medium"/>
          <w:color w:val="000000"/>
          <w:kern w:val="0"/>
          <w:sz w:val="19"/>
          <w:szCs w:val="19"/>
          <w:lang w:val="en-US" w:eastAsia="zh-CN" w:bidi="ar"/>
        </w:rPr>
        <w:t>（</w:t>
      </w:r>
      <w:r>
        <w:rPr>
          <w:rFonts w:hint="default" w:ascii="DejaVuSans" w:hAnsi="DejaVuSans" w:eastAsia="DejaVuSans" w:cs="DejaVuSans"/>
          <w:color w:val="000000"/>
          <w:kern w:val="0"/>
          <w:sz w:val="19"/>
          <w:szCs w:val="19"/>
          <w:lang w:val="en-US" w:eastAsia="zh-CN" w:bidi="ar"/>
        </w:rPr>
        <w:t>1</w:t>
      </w:r>
      <w:r>
        <w:rPr>
          <w:rFonts w:hint="default" w:ascii="SourceHanSerifCNVF-Medium" w:hAnsi="SourceHanSerifCNVF-Medium" w:eastAsia="SourceHanSerifCNVF-Medium" w:cs="SourceHanSerifCNVF-Medium"/>
          <w:color w:val="000000"/>
          <w:kern w:val="0"/>
          <w:sz w:val="19"/>
          <w:szCs w:val="19"/>
          <w:lang w:val="en-US" w:eastAsia="zh-CN" w:bidi="ar"/>
        </w:rPr>
        <w:t>）集中竞赛区域设</w:t>
      </w:r>
      <w:r>
        <w:rPr>
          <w:rFonts w:hint="default" w:ascii="DejaVuSans" w:hAnsi="DejaVuSans" w:eastAsia="DejaVuSans" w:cs="DejaVuSans"/>
          <w:color w:val="000000"/>
          <w:kern w:val="0"/>
          <w:sz w:val="19"/>
          <w:szCs w:val="19"/>
          <w:lang w:val="en-US" w:eastAsia="zh-CN" w:bidi="ar"/>
        </w:rPr>
        <w:t>22</w:t>
      </w:r>
      <w:r>
        <w:rPr>
          <w:rFonts w:hint="default" w:ascii="SourceHanSerifCNVF-Medium" w:hAnsi="SourceHanSerifCNVF-Medium" w:eastAsia="SourceHanSerifCNVF-Medium" w:cs="SourceHanSerifCNVF-Medium"/>
          <w:color w:val="000000"/>
          <w:kern w:val="0"/>
          <w:sz w:val="19"/>
          <w:szCs w:val="19"/>
          <w:lang w:val="en-US" w:eastAsia="zh-CN" w:bidi="ar"/>
        </w:rPr>
        <w:t xml:space="preserve">个竞赛项⽬，按各赛项按要求施⼯接⼊⽔电⽹⽓，满⾜供⽔、供电、 供⽓、供⽹的需求，并满⾜竞赛区域和公共区域的搭建及铺设。 </w:t>
      </w:r>
    </w:p>
    <w:p w14:paraId="2913CD67">
      <w:pPr>
        <w:keepNext w:val="0"/>
        <w:keepLines w:val="0"/>
        <w:widowControl/>
        <w:suppressLineNumbers w:val="0"/>
        <w:jc w:val="left"/>
        <w:rPr>
          <w:rFonts w:hint="default" w:ascii="SourceHanSerifCNVF-Medium" w:hAnsi="SourceHanSerifCNVF-Medium" w:eastAsia="SourceHanSerifCNVF-Medium" w:cs="SourceHanSerifCNVF-Medium"/>
          <w:color w:val="000000"/>
          <w:kern w:val="0"/>
          <w:sz w:val="19"/>
          <w:szCs w:val="19"/>
          <w:lang w:val="en-US" w:eastAsia="zh-CN" w:bidi="ar"/>
        </w:rPr>
      </w:pPr>
      <w:r>
        <w:rPr>
          <w:rFonts w:hint="default" w:ascii="SourceHanSerifCNVF-Medium" w:hAnsi="SourceHanSerifCNVF-Medium" w:eastAsia="SourceHanSerifCNVF-Medium" w:cs="SourceHanSerifCNVF-Medium"/>
          <w:color w:val="000000"/>
          <w:kern w:val="0"/>
          <w:sz w:val="19"/>
          <w:szCs w:val="19"/>
          <w:lang w:val="en-US" w:eastAsia="zh-CN" w:bidi="ar"/>
        </w:rPr>
        <w:t>（</w:t>
      </w:r>
      <w:r>
        <w:rPr>
          <w:rFonts w:hint="default" w:ascii="DejaVuSans" w:hAnsi="DejaVuSans" w:eastAsia="DejaVuSans" w:cs="DejaVuSans"/>
          <w:color w:val="000000"/>
          <w:kern w:val="0"/>
          <w:sz w:val="19"/>
          <w:szCs w:val="19"/>
          <w:lang w:val="en-US" w:eastAsia="zh-CN" w:bidi="ar"/>
        </w:rPr>
        <w:t>2</w:t>
      </w:r>
      <w:r>
        <w:rPr>
          <w:rFonts w:hint="default" w:ascii="SourceHanSerifCNVF-Medium" w:hAnsi="SourceHanSerifCNVF-Medium" w:eastAsia="SourceHanSerifCNVF-Medium" w:cs="SourceHanSerifCNVF-Medium"/>
          <w:color w:val="000000"/>
          <w:kern w:val="0"/>
          <w:sz w:val="19"/>
          <w:szCs w:val="19"/>
          <w:lang w:val="en-US" w:eastAsia="zh-CN" w:bidi="ar"/>
        </w:rPr>
        <w:t>）每个竞赛项⽬原则上统⼀分为竞赛区、裁判室、选⼿休息区、材料室、存储区、作品展⽰ 区、评录分室、仓储室等部分，根据各赛项要求做具体调整。每个竞赛项⽬有明显的项⽬标识，项⽬围挡或边⻆位有项⽬、参赛选⼿的基本介绍。每个项⽬按要求配备液晶显⽰屏，每个竞赛区配独⽴三级电控箱配套设施，接⼊不低于</w:t>
      </w:r>
      <w:r>
        <w:rPr>
          <w:rFonts w:hint="default" w:ascii="DejaVuSans" w:hAnsi="DejaVuSans" w:eastAsia="DejaVuSans" w:cs="DejaVuSans"/>
          <w:color w:val="000000"/>
          <w:kern w:val="0"/>
          <w:sz w:val="19"/>
          <w:szCs w:val="19"/>
          <w:lang w:val="en-US" w:eastAsia="zh-CN" w:bidi="ar"/>
        </w:rPr>
        <w:t>100M</w:t>
      </w:r>
      <w:r>
        <w:rPr>
          <w:rFonts w:hint="default" w:ascii="SourceHanSerifCNVF-Medium" w:hAnsi="SourceHanSerifCNVF-Medium" w:eastAsia="SourceHanSerifCNVF-Medium" w:cs="SourceHanSerifCNVF-Medium"/>
          <w:color w:val="000000"/>
          <w:kern w:val="0"/>
          <w:sz w:val="19"/>
          <w:szCs w:val="19"/>
          <w:lang w:val="en-US" w:eastAsia="zh-CN" w:bidi="ar"/>
        </w:rPr>
        <w:t>带宽的稳定⽹络，根据实际情况配置。每个竞赛项⽬之间需要有效隔离，并与观众区有效隔离（</w:t>
      </w:r>
      <w:r>
        <w:rPr>
          <w:rFonts w:hint="default" w:ascii="DejaVuSans" w:hAnsi="DejaVuSans" w:eastAsia="DejaVuSans" w:cs="DejaVuSans"/>
          <w:color w:val="000000"/>
          <w:kern w:val="0"/>
          <w:sz w:val="19"/>
          <w:szCs w:val="19"/>
          <w:lang w:val="en-US" w:eastAsia="zh-CN" w:bidi="ar"/>
        </w:rPr>
        <w:t>≥0.5m</w:t>
      </w:r>
      <w:r>
        <w:rPr>
          <w:rFonts w:hint="default" w:ascii="SourceHanSerifCNVF-Medium" w:hAnsi="SourceHanSerifCNVF-Medium" w:eastAsia="SourceHanSerifCNVF-Medium" w:cs="SourceHanSerifCNVF-Medium"/>
          <w:color w:val="000000"/>
          <w:kern w:val="0"/>
          <w:sz w:val="19"/>
          <w:szCs w:val="19"/>
          <w:lang w:val="en-US" w:eastAsia="zh-CN" w:bidi="ar"/>
        </w:rPr>
        <w:t>）。通⽤隔离要求符合整体布展 效果：各区为不低于</w:t>
      </w:r>
      <w:r>
        <w:rPr>
          <w:rFonts w:hint="default" w:ascii="DejaVuSans" w:hAnsi="DejaVuSans" w:eastAsia="DejaVuSans" w:cs="DejaVuSans"/>
          <w:color w:val="000000"/>
          <w:kern w:val="0"/>
          <w:sz w:val="19"/>
          <w:szCs w:val="19"/>
          <w:lang w:val="en-US" w:eastAsia="zh-CN" w:bidi="ar"/>
        </w:rPr>
        <w:t>1</w:t>
      </w:r>
      <w:r>
        <w:rPr>
          <w:rFonts w:hint="default" w:ascii="SourceHanSerifCNVF-Medium" w:hAnsi="SourceHanSerifCNVF-Medium" w:eastAsia="SourceHanSerifCNVF-Medium" w:cs="SourceHanSerifCNVF-Medium"/>
          <w:color w:val="000000"/>
          <w:kern w:val="0"/>
          <w:sz w:val="19"/>
          <w:szCs w:val="19"/>
          <w:lang w:val="en-US" w:eastAsia="zh-CN" w:bidi="ar"/>
        </w:rPr>
        <w:t>⽶稳固安全结构围栏，⼯位板材根据赛项要求需采⽤铝料⾦属结构间隔，四个⻆采⽤稳固安全结构造型，规格不低于</w:t>
      </w:r>
      <w:r>
        <w:rPr>
          <w:rFonts w:hint="default" w:ascii="DejaVuSans" w:hAnsi="DejaVuSans" w:eastAsia="DejaVuSans" w:cs="DejaVuSans"/>
          <w:color w:val="000000"/>
          <w:kern w:val="0"/>
          <w:sz w:val="19"/>
          <w:szCs w:val="19"/>
          <w:lang w:val="en-US" w:eastAsia="zh-CN" w:bidi="ar"/>
        </w:rPr>
        <w:t>2</w:t>
      </w:r>
      <w:r>
        <w:rPr>
          <w:rFonts w:hint="default" w:ascii="SourceHanSerifCNVF-Medium" w:hAnsi="SourceHanSerifCNVF-Medium" w:eastAsia="SourceHanSerifCNVF-Medium" w:cs="SourceHanSerifCNVF-Medium"/>
          <w:color w:val="000000"/>
          <w:kern w:val="0"/>
          <w:sz w:val="19"/>
          <w:szCs w:val="19"/>
          <w:lang w:val="en-US" w:eastAsia="zh-CN" w:bidi="ar"/>
        </w:rPr>
        <w:t>⽶⾼</w:t>
      </w:r>
      <w:r>
        <w:rPr>
          <w:rFonts w:hint="default" w:ascii="DejaVuSans" w:hAnsi="DejaVuSans" w:eastAsia="DejaVuSans" w:cs="DejaVuSans"/>
          <w:color w:val="000000"/>
          <w:kern w:val="0"/>
          <w:sz w:val="19"/>
          <w:szCs w:val="19"/>
          <w:lang w:val="en-US" w:eastAsia="zh-CN" w:bidi="ar"/>
        </w:rPr>
        <w:t>*1</w:t>
      </w:r>
      <w:r>
        <w:rPr>
          <w:rFonts w:hint="default" w:ascii="SourceHanSerifCNVF-Medium" w:hAnsi="SourceHanSerifCNVF-Medium" w:eastAsia="SourceHanSerifCNVF-Medium" w:cs="SourceHanSerifCNVF-Medium"/>
          <w:color w:val="000000"/>
          <w:kern w:val="0"/>
          <w:sz w:val="19"/>
          <w:szCs w:val="19"/>
          <w:lang w:val="en-US" w:eastAsia="zh-CN" w:bidi="ar"/>
        </w:rPr>
        <w:t>⽶宽，信息柱结合电脑喷绘。并且需要搭 建信息牌造型结构，结合电脑喷绘，展⽰赛项相关信息。各功能室隔离板的⾼度约为</w:t>
      </w:r>
      <w:r>
        <w:rPr>
          <w:rFonts w:hint="default" w:ascii="DejaVuSans" w:hAnsi="DejaVuSans" w:eastAsia="DejaVuSans" w:cs="DejaVuSans"/>
          <w:color w:val="000000"/>
          <w:kern w:val="0"/>
          <w:sz w:val="19"/>
          <w:szCs w:val="19"/>
          <w:lang w:val="en-US" w:eastAsia="zh-CN" w:bidi="ar"/>
        </w:rPr>
        <w:t>2</w:t>
      </w:r>
      <w:r>
        <w:rPr>
          <w:rFonts w:hint="default" w:ascii="SourceHanSerifCNVF-Medium" w:hAnsi="SourceHanSerifCNVF-Medium" w:eastAsia="SourceHanSerifCNVF-Medium" w:cs="SourceHanSerifCNVF-Medium"/>
          <w:color w:val="000000"/>
          <w:kern w:val="0"/>
          <w:sz w:val="19"/>
          <w:szCs w:val="19"/>
          <w:lang w:val="en-US" w:eastAsia="zh-CN" w:bidi="ar"/>
        </w:rPr>
        <w:t>⽶，并安</w:t>
      </w:r>
      <w:bookmarkStart w:id="0" w:name="_GoBack"/>
      <w:bookmarkEnd w:id="0"/>
      <w:r>
        <w:rPr>
          <w:rFonts w:hint="default" w:ascii="SourceHanSerifCNVF-Medium" w:hAnsi="SourceHanSerifCNVF-Medium" w:eastAsia="SourceHanSerifCNVF-Medium" w:cs="SourceHanSerifCNVF-Medium"/>
          <w:color w:val="000000"/>
          <w:kern w:val="0"/>
          <w:sz w:val="19"/>
          <w:szCs w:val="19"/>
          <w:lang w:val="en-US" w:eastAsia="zh-CN" w:bidi="ar"/>
        </w:rPr>
        <w:t>装⻔锁，所有更⾐室需封顶。根据场地实际情况调整。</w:t>
      </w:r>
    </w:p>
    <w:p w14:paraId="1AA3B86D">
      <w:pPr>
        <w:keepNext w:val="0"/>
        <w:keepLines w:val="0"/>
        <w:widowControl/>
        <w:suppressLineNumbers w:val="0"/>
        <w:jc w:val="left"/>
        <w:rPr>
          <w:rFonts w:hint="default" w:ascii="SourceHanSerifCNVF-Medium" w:hAnsi="SourceHanSerifCNVF-Medium" w:eastAsia="SourceHanSerifCNVF-Medium" w:cs="SourceHanSerifCNVF-Medium"/>
          <w:color w:val="000000"/>
          <w:kern w:val="0"/>
          <w:sz w:val="19"/>
          <w:szCs w:val="19"/>
          <w:lang w:val="en-US" w:eastAsia="zh-CN" w:bidi="ar"/>
        </w:rPr>
      </w:pPr>
    </w:p>
    <w:p w14:paraId="71D1691C">
      <w:pPr>
        <w:keepNext w:val="0"/>
        <w:keepLines w:val="0"/>
        <w:widowControl/>
        <w:suppressLineNumbers w:val="0"/>
        <w:jc w:val="left"/>
        <w:rPr>
          <w:rFonts w:hint="default" w:ascii="SourceHanSerifCNVF-Medium" w:hAnsi="SourceHanSerifCNVF-Medium" w:eastAsia="SourceHanSerifCNVF-Medium" w:cs="SourceHanSerifCNVF-Medium"/>
          <w:color w:val="000000"/>
          <w:kern w:val="0"/>
          <w:sz w:val="19"/>
          <w:szCs w:val="19"/>
          <w:lang w:val="en-US" w:eastAsia="zh-CN" w:bidi="ar"/>
        </w:rPr>
      </w:pPr>
      <w:r>
        <w:rPr>
          <w:rFonts w:hint="eastAsia" w:ascii="SourceHanSerifCNVF-Medium" w:hAnsi="SourceHanSerifCNVF-Medium" w:eastAsia="SourceHanSerifCNVF-Medium" w:cs="SourceHanSerifCNVF-Medium"/>
          <w:color w:val="000000"/>
          <w:kern w:val="0"/>
          <w:sz w:val="19"/>
          <w:szCs w:val="19"/>
          <w:lang w:val="en-US" w:eastAsia="zh-CN" w:bidi="ar"/>
        </w:rPr>
        <w:t>-------------------------------------------其他内容详见招标文件-------------------------------------------------</w:t>
      </w:r>
    </w:p>
    <w:p w14:paraId="64D727F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ourceHanSerifCNVF-Medium">
    <w:altName w:val="ksdb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db">
    <w:panose1 w:val="02000500000000000000"/>
    <w:charset w:val="00"/>
    <w:family w:val="auto"/>
    <w:pitch w:val="default"/>
    <w:sig w:usb0="00000001" w:usb1="00000000" w:usb2="00000000" w:usb3="00000000" w:csb0="00000001" w:csb1="00000000"/>
  </w:font>
  <w:font w:name="DejaVuSans">
    <w:altName w:val="ksdb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255470"/>
    <w:rsid w:val="095D7A6A"/>
    <w:rsid w:val="5825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2026-06-09T09:23:00Z</dcterms:created>
  <dc:creator>Wzi.A</dc:creator>
  <cp:lastModifiedBy>Wzi.A</cp:lastModifiedBy>
  <dcterms:modified xsi:type="dcterms:W3CDTF">2026-06-09T09:24:32Z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9D1AF8DC61BB4F61BE929E39C1A4CB8A_11</vt:lpwstr>
  </property>
  <property fmtid="{D5CDD505-2E9C-101B-9397-08002B2CF9AE}" pid="4" name="KSOTemplateDocerSaveRecord">
    <vt:lpwstr>eyJoZGlkIjoiMmE4NDU4NTJlMjg0N2JmZDZlNTZmYTgyYmY2ZjNjYWMiLCJ1c2VySWQiOiIzMDY2ODEzMDMifQ==</vt:lpwstr>
  </property>
</Properties>
</file>