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版本号：SX-JSZB(2026)-00720260623002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证照中心办公楼中央空调维修改造项目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SX-JSZB(2026)-007</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证照中心办公楼中央空调维修改造项目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SX-JSZB(2026)-007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证照中心办公楼中央空调维修改造项目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本项目为证照中心办公楼中央空调维修改造，升级改造水循环、排水、供电、室外机、室内风系统和空调末端设备部分等内容，具体详见磋商文件。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9、企业资质：投标供应商具有有效的机电工程施工总承包三级及以上资质或建筑机电安装工程专业承包三级及以上资质，具有有效的安全生产许可证；</w:t>
      </w:r>
    </w:p>
    <w:p>
      <w:pPr>
        <w:pStyle w:val="null3"/>
      </w:pPr>
      <w:r>
        <w:rPr>
          <w:rFonts w:ascii="仿宋_GB2312" w:hAnsi="仿宋_GB2312" w:cs="仿宋_GB2312" w:eastAsia="仿宋_GB2312"/>
        </w:rPr>
        <w:t>10、项目经理：拟派项目经理具备机电工程专业二级及以上注册建造执业证和有效的安全生产考核合格证书(B证)及无在建项目承诺；</w:t>
      </w:r>
    </w:p>
    <w:p>
      <w:pPr>
        <w:pStyle w:val="null3"/>
      </w:pPr>
      <w:r>
        <w:rPr>
          <w:rFonts w:ascii="仿宋_GB2312" w:hAnsi="仿宋_GB2312" w:cs="仿宋_GB2312" w:eastAsia="仿宋_GB2312"/>
        </w:rPr>
        <w:t>11、禁止投标期：投标供应商及项目经理在全国建筑市场监管公共服务平台均未处于禁止投标期限内（提供承诺或查询截图）；</w:t>
      </w:r>
    </w:p>
    <w:p>
      <w:pPr>
        <w:pStyle w:val="null3"/>
      </w:pPr>
      <w:r>
        <w:rPr>
          <w:rFonts w:ascii="仿宋_GB2312" w:hAnsi="仿宋_GB2312" w:cs="仿宋_GB2312" w:eastAsia="仿宋_GB2312"/>
        </w:rPr>
        <w:t>12、其他要求：本项目不接受联合体投标，单位负责人为同一人或者存在控股、管理关系的不同单位不得同时投标。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029-86166901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陕西省西安市经济技术开发区凤城八路158号20幢1单元6楼609室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董星、胡健健、郑凌汐、宋雯静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采购包1：954,400.00元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省公安厅机关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一、供应商需确保自身提供的服务、技术方案等相关内容，不侵犯任何第三方的知识产权（包括专利、商标、著作权等）； 二、若因知识产权问题产生纠纷，由供应商承担全部责任（包括但不限于赔偿损失、承担诉讼费、律师费等），给采购人造成损失的，需全额赔偿，采购人有权终止合同； 三、本次服务过程中产生的新的知识产权（如优化方案、技术成果等），归采购人所有。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本项目为对证照中心办公楼中央空调维修改造，升级改造水循环、排水、供电、室外机、室内风系统和空调末端设备部分等内容，具体详见磋商文件。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954,400.00</w:t>
      </w:r>
    </w:p>
    <w:p>
      <w:pPr>
        <w:pStyle w:val="null3"/>
      </w:pPr>
      <w:r>
        <w:rPr>
          <w:rFonts w:ascii="仿宋_GB2312" w:hAnsi="仿宋_GB2312" w:cs="仿宋_GB2312" w:eastAsia="仿宋_GB2312"/>
        </w:rPr>
        <w:t>采购包最高限价（元）: 954,400.00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954,400.00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本项目为对证照中心办公楼中央空调维修改造，升级改造水循环、排水、供电、室外机、室内风系统和空调末端设备部分等内容，具体详见磋商文件。</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1、本项目应按质按量完成工程全部内容。</w:t>
            </w:r>
          </w:p>
          <w:p>
            <w:pPr>
              <w:pStyle w:val="null3"/>
            </w:pPr>
            <w:r>
              <w:rPr>
                <w:rFonts w:ascii="仿宋_GB2312" w:hAnsi="仿宋_GB2312" w:cs="仿宋_GB2312" w:eastAsia="仿宋_GB2312"/>
              </w:rPr>
              <w:t>2、本工程验收标准应符合国家相关工程管理规定及行业相关标准要求。</w:t>
            </w:r>
          </w:p>
          <w:p>
            <w:pPr>
              <w:pStyle w:val="null3"/>
            </w:pPr>
            <w:r>
              <w:rPr>
                <w:rFonts w:ascii="仿宋_GB2312" w:hAnsi="仿宋_GB2312" w:cs="仿宋_GB2312" w:eastAsia="仿宋_GB2312"/>
              </w:rPr>
              <w:t>三、工程指标的具体要求：</w:t>
            </w:r>
          </w:p>
          <w:p>
            <w:pPr>
              <w:pStyle w:val="null3"/>
            </w:pPr>
            <w:r>
              <w:rPr>
                <w:rFonts w:ascii="仿宋_GB2312" w:hAnsi="仿宋_GB2312" w:cs="仿宋_GB2312" w:eastAsia="仿宋_GB2312"/>
              </w:rPr>
              <w:t>1、质量标准：合格。</w:t>
            </w:r>
          </w:p>
          <w:p>
            <w:pPr>
              <w:pStyle w:val="null3"/>
            </w:pPr>
            <w:r>
              <w:rPr>
                <w:rFonts w:ascii="仿宋_GB2312" w:hAnsi="仿宋_GB2312" w:cs="仿宋_GB2312" w:eastAsia="仿宋_GB2312"/>
              </w:rPr>
              <w:t>2、工期：自合同签订之日起30日内完成。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符合现行国家有关工程施工质量验收标准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10日内完成项目内容的30%，如乙方未达到合同约定的工程量，则按实际完成的工程量付款，乙方需同步提交进度资料、付款申请，甲方审核无误后安排付款，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20日内完成项目内容的60%，如乙方未达到合同约定的工程量，则按实际完成的工程量付款，乙方需同步提交进度资料、付款申请，甲方审核无误后安排付款，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进度款，工程全部完工，甲方现场验收合格后，达到付款条件起10个工作日内，支付合同总金额的20.0%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进度款，以审计审核结果调整总价款，达到付款条件起10个工作日内，支付合同总金额的17.0%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进度款，质保期满后，达到付款条件起10个工作日内，支付合同总金额的3.0%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1.本项目报价须采用广联达工程量清单计价系统GCCP7.0版报价，磋商响应文件需提供已标价工程量清单。 2.本项目收取造价咨询费 代理服务费用收取对象：中标/成交供应商 代理服务费收费标准：依据国家收费文件陕价行发（2014）88号文计费标准计取，向造价咨询公司交纳造价咨询服务费。 账号信息如下： 开户名称：河南省伟信招标管理咨询有限公司西安分公司 开户银行：中信银行股份有限公司西安经济技术开发区支行 银行账号：8111 7010 1290 0151 938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投标供应商具有有效的机电工程施工总承包三级及以上资质或建筑机电安装工程专业承包三级及以上资质，具有有效的安全生产许可证；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拟派项目经理具备机电工程专业二级及以上注册建造执业证和有效的安全生产考核合格证书(B证)及无在建项目承诺；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禁止投标期</w:t>
            </w:r>
          </w:p>
        </w:tc>
        <w:tc>
          <w:tcPr>
            <w:tcW w:type="dxa" w:w="3322"/>
          </w:tcPr>
          <w:p>
            <w:pPr>
              <w:pStyle w:val="null3"/>
            </w:pPr>
            <w:r>
              <w:rPr>
                <w:rFonts w:ascii="仿宋_GB2312" w:hAnsi="仿宋_GB2312" w:cs="仿宋_GB2312" w:eastAsia="仿宋_GB2312"/>
              </w:rPr>
              <w:t>投标供应商及项目经理在全国建筑市场监管公共服务平台均未处于禁止投标期限内（提供承诺或查询截图）；</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供应商名称应与营业执照等资料相一致</w:t>
            </w:r>
          </w:p>
        </w:tc>
        <w:tc>
          <w:tcPr>
            <w:tcW w:type="dxa" w:w="1661"/>
          </w:tcPr>
          <w:p>
            <w:pPr>
              <w:pStyle w:val="null3"/>
            </w:pPr>
            <w:r>
              <w:rPr>
                <w:rFonts w:ascii="仿宋_GB2312" w:hAnsi="仿宋_GB2312" w:cs="仿宋_GB2312" w:eastAsia="仿宋_GB2312"/>
              </w:rPr>
              <w:t>已标价工程量清单.docx 中小企业声明函 商务应答表 服务内容及服务要求应答表 报价表 响应文件封面 供应商资格要求.docx 磋商响应单位承诺书.docx 类似项目业绩.docx 残疾人福利性单位声明函 投标保证金缴纳凭证或担保机构出具的保函.docx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按照磋商文件要求签字盖章</w:t>
            </w:r>
          </w:p>
        </w:tc>
        <w:tc>
          <w:tcPr>
            <w:tcW w:type="dxa" w:w="1661"/>
          </w:tcPr>
          <w:p>
            <w:pPr>
              <w:pStyle w:val="null3"/>
            </w:pPr>
            <w:r>
              <w:rPr>
                <w:rFonts w:ascii="仿宋_GB2312" w:hAnsi="仿宋_GB2312" w:cs="仿宋_GB2312" w:eastAsia="仿宋_GB2312"/>
              </w:rPr>
              <w:t>已标价工程量清单.docx 中小企业声明函 商务应答表 服务内容及服务要求应答表 报价表 响应文件封面 供应商资格要求.docx 磋商响应单位承诺书.docx 类似项目业绩.docx 残疾人福利性单位声明函 投标保证金缴纳凭证或担保机构出具的保函.docx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服务期限、响应有效期等符合采购文件要求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按照磋商文件要求缴纳</w:t>
            </w:r>
          </w:p>
        </w:tc>
        <w:tc>
          <w:tcPr>
            <w:tcW w:type="dxa" w:w="1661"/>
          </w:tcPr>
          <w:p>
            <w:pPr>
              <w:pStyle w:val="null3"/>
            </w:pPr>
            <w:r>
              <w:rPr>
                <w:rFonts w:ascii="仿宋_GB2312" w:hAnsi="仿宋_GB2312" w:cs="仿宋_GB2312" w:eastAsia="仿宋_GB2312"/>
              </w:rPr>
              <w:t>投标保证金缴纳凭证或担保机构出具的保函.docx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已标价工程量清单.docx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已标价工程量清单.docx 中小企业声明函 商务应答表 服务内容及服务要求应答表 报价表 响应文件封面 供应商资格要求.docx 磋商响应单位承诺书.docx 类似项目业绩.docx 残疾人福利性单位声明函 投标保证金缴纳凭证或担保机构出具的保函.docx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1.对本项目了解透彻，制定针对本项目的施工方案、方法与技术措施内容全面，施工工艺先进，对施工具有高度指导性，得7分； 2.施工方案基本可行，方法、措施基本得当，得4分；3.施工方案、方法与技术措施的可行性、指导性较低的得1分。未提供不得分。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1.工期满足招标文件要求，施工进度、节点安排合理，进度计划横道图或网络图安排合理的得5分； 2.工期满足招标文件要求，施工进度、节点安排基本合理，进度计划横道图或网络图较完善的得3分； 3.工期满足招标文件要求，施工进度、节点安排较差，进度计划横道图或网络图不完善的得1分。未提供不得分。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1.质量目标明确，管理体系健全，控制措施完整的得5分； 2.质量目标基本明确，管理体系基本健全，控制措施较完整的得3分； 3.质量目标、管理体系不健全、控制措施较差的得1分。未提供不得分。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安全生产、文明施工管理体系及保证措施</w:t>
            </w:r>
          </w:p>
        </w:tc>
        <w:tc>
          <w:tcPr>
            <w:tcW w:type="dxa" w:w="2492"/>
          </w:tcPr>
          <w:p>
            <w:pPr>
              <w:pStyle w:val="null3"/>
            </w:pPr>
            <w:r>
              <w:rPr>
                <w:rFonts w:ascii="仿宋_GB2312" w:hAnsi="仿宋_GB2312" w:cs="仿宋_GB2312" w:eastAsia="仿宋_GB2312"/>
              </w:rPr>
              <w:t>1.安全生产目标明确，预防和动态控制措施及制度完整、到位，管理体系和组织措施功能完善，安全经费投入明确的得5分； 2.安全生产目标基本明确，控制措施及制度基本完整的得3分； 3.安全生产目标不明确，控制措施及制度较差的得1分。未提供不得分。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环境保护保证体系及保证措施</w:t>
            </w:r>
          </w:p>
        </w:tc>
        <w:tc>
          <w:tcPr>
            <w:tcW w:type="dxa" w:w="2492"/>
          </w:tcPr>
          <w:p>
            <w:pPr>
              <w:pStyle w:val="null3"/>
            </w:pPr>
            <w:r>
              <w:rPr>
                <w:rFonts w:ascii="仿宋_GB2312" w:hAnsi="仿宋_GB2312" w:cs="仿宋_GB2312" w:eastAsia="仿宋_GB2312"/>
              </w:rPr>
              <w:t>1.环境文明施工保证体系健全、完整，保证措施完善得4分； 2.环境文明施工保2分； 3.环境文明施工保证体系不健全、不完整得1分。未提供不得分。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1.劳动力及机具投入计划根据施工进度需求、工作量进行合理分配安排,并具有较强的实施性，满足施工要求得4分； 2.有基本的劳动力及机具投入得2分； 3.劳动力及机具投入较差得1分。未提供不得分。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1.项目风险预测与防范、事故应急预案考虑全面，切实可行操作性强，经济合理得4分； 2.项目风险预测与防范、事故应急预案考虑操作性较强得2分； 3.项目风险预测与防范、事故应急预案考虑操作性较差得1分。未提供不得分。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实质性承诺或合理化建议</w:t>
            </w:r>
          </w:p>
        </w:tc>
        <w:tc>
          <w:tcPr>
            <w:tcW w:type="dxa" w:w="2492"/>
          </w:tcPr>
          <w:p>
            <w:pPr>
              <w:pStyle w:val="null3"/>
            </w:pPr>
            <w:r>
              <w:rPr>
                <w:rFonts w:ascii="仿宋_GB2312" w:hAnsi="仿宋_GB2312" w:cs="仿宋_GB2312" w:eastAsia="仿宋_GB2312"/>
              </w:rPr>
              <w:t>1.针对本项目实际需求提供实质性承诺或合理化建议计4分；2.有实质性承诺或合理化建议但不适用于本项目计1分。未提供不得分。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具有高级职称证书的加3分，中级职称的加2分；本科及以上学历的加3分，大专学历的加2分；近 3 年内担任过与本项目类似工程项目经理业绩得2分。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组织机构配置</w:t>
            </w:r>
          </w:p>
        </w:tc>
        <w:tc>
          <w:tcPr>
            <w:tcW w:type="dxa" w:w="2492"/>
          </w:tcPr>
          <w:p>
            <w:pPr>
              <w:pStyle w:val="null3"/>
            </w:pPr>
            <w:r>
              <w:rPr>
                <w:rFonts w:ascii="仿宋_GB2312" w:hAnsi="仿宋_GB2312" w:cs="仿宋_GB2312" w:eastAsia="仿宋_GB2312"/>
              </w:rPr>
              <w:t>本项目管理机构除项目经理以外，还应当包括（安全员、材料员、施工员、资料员、预算员）等岗位。有相应岗位证书齐全的得15分，每缺少1个扣3分。未提供不得分。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供应商具有2023年1月至今（合同签订时间为准）类似项目业绩，响应文件中提供合同复印件加盖公章,每提供一个计3分，满分9分。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详见附件：投标保证金缴纳凭证或担保机构出具的保函.docx</w:t>
      </w:r>
    </w:p>
    <w:p>
      <w:pPr>
        <w:pStyle w:val="null3"/>
        <w:ind w:firstLine="960"/>
      </w:pPr>
      <w:r>
        <w:rPr>
          <w:rFonts w:ascii="仿宋_GB2312" w:hAnsi="仿宋_GB2312" w:cs="仿宋_GB2312" w:eastAsia="仿宋_GB2312"/>
        </w:rPr>
        <w:t>详见附件：磋商响应单位承诺书.docx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