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版本号：TZZB-HZ-2026148C.1B120260701001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镇巴县2026-2027年城区病媒生物防制服务项目(二次)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TZZB-HZ-2026148C.1B1</w:t>
      </w:r>
      <w:r>
        <w:br/>
      </w:r>
      <w:r>
        <w:br/>
      </w:r>
      <w:r>
        <w:br/>
      </w:r>
    </w:p>
    <w:p>
      <w:pPr>
        <w:pStyle w:val="null3"/>
        <w:jc w:val="center"/>
        <w:outlineLvl w:val="2"/>
      </w:pPr>
      <w:r>
        <w:rPr>
          <w:rFonts w:ascii="仿宋_GB2312" w:hAnsi="仿宋_GB2312" w:cs="仿宋_GB2312" w:eastAsia="仿宋_GB2312"/>
          <w:sz w:val="28"/>
          <w:b/>
        </w:rPr>
        <w:t>镇巴县卫生健康局</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镇巴县卫生健康局</w:t>
      </w:r>
      <w:r>
        <w:rPr>
          <w:rFonts w:ascii="仿宋_GB2312" w:hAnsi="仿宋_GB2312" w:cs="仿宋_GB2312" w:eastAsia="仿宋_GB2312"/>
        </w:rPr>
        <w:t>委托，拟对</w:t>
      </w:r>
      <w:r>
        <w:rPr>
          <w:rFonts w:ascii="仿宋_GB2312" w:hAnsi="仿宋_GB2312" w:cs="仿宋_GB2312" w:eastAsia="仿宋_GB2312"/>
        </w:rPr>
        <w:t>镇巴县2026-2027年城区病媒生物防制服务项目(二次)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TZZB-HZ-2026148C.1B1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镇巴县2026-2027年城区病媒生物防制服务项目(二次)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2026-2027年城区病媒生物防制服务项目，服务范围为县城主城区全域公共外环境，具体包含：城区主次干道、背街小巷、公园广场、绿化带、公共绿地、市政空地、城乡结合部、城中村、无物业老旧小区公共院落、公共厕所、垃圾收集点、垃圾中转站、果皮箱点位、城区河道、沟渠、水塘、雨水管网、下水道、窨井、化粪池、农贸市场外围公共区域、闲置空地、在建工地外围、党政机关、企事业单位等所有公共开放式区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采购包1（镇巴县2026-2027年城区病媒生物防制服务项目）：属于专门面向中小企业采购。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3、供应商资格要求：供应商须提供《汉中市政府采购供应商资格承诺函》。</w:t>
      </w:r>
    </w:p>
    <w:p>
      <w:pPr>
        <w:pStyle w:val="null3"/>
      </w:pPr>
      <w:r>
        <w:rPr>
          <w:rFonts w:ascii="仿宋_GB2312" w:hAnsi="仿宋_GB2312" w:cs="仿宋_GB2312" w:eastAsia="仿宋_GB2312"/>
        </w:rPr>
        <w:t>4、不接受联合体磋商：不接受联合体磋商，按照格式填写承诺书。（材料应清晰可辨并进行电子签章）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陕西省镇巴县泾洋街道办事处河西社区河滨南路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13359166111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代理服务费收费标准：代理服务费收费标准：采购代理服务费参照原国家计委《招标代理服务收费管理暂行办法》（计价格[2002]1980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号）及国家发展改革委《关于降低部分建设项目收费标准规范收费行为等有关问题的通知》（发改价格[2011]534号）规定的标准计取（以中标/成交金额结算）。代理服务费缴纳账号： 账户名称：同正项目管理有限公司汉中分公司 开户行：中国建设银行股份有限公司汉中北环路支行 银行账号：6105 0165 5200 0000 0101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镇巴县卫生健康局</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本项目服务过程中产生的所有作业记录、巡查台账、密度监测数据、影像资料、点位图纸等全部资料，知识产权及使用权归采购人所有，中标供应商不得擅自外泄、挪作他用。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严格按照GB/T 27770-2011《病媒生物密度控制水平 鼠类》、GB/T 27771-2011《病媒生物密度控制水平 蚊虫》、GB/T 27772-2011《病媒生物密度控制水平 蝇类》、GB/T 27773-2011《病媒生物密度控制水平 蜚蠊》、GB/T 27775-2011《病媒生物综合管理技术规范 城镇》、招标文件、投标文件及合同约定执行，病媒生物密度全部达标，孳生地治理全覆盖，作业规范、台账齐全、响应及时、无服务投诉，顺利通过各级检查验收，即为履约合格；未达到上述标准视为履约不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2026-2027年城区病媒生物防制服务项目，服务范围为县城主城区全域公共外环境，具体包含：城区主次干道、背街小巷、公园广场、绿化带、公共绿地、市政空地、城乡结合部、城中村、无物业老旧小区公共院落、公共厕所、垃圾收集点、垃圾中转站、果皮箱点位、城区河道、沟渠、水塘、雨水管网、下水道、窨井、化粪池、农贸市场外围公共区域、闲置空地、在建工地外围、党政机关、企事业单位等所有公共开放式区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790,000.00</w:t>
      </w:r>
    </w:p>
    <w:p>
      <w:pPr>
        <w:pStyle w:val="null3"/>
      </w:pPr>
      <w:r>
        <w:rPr>
          <w:rFonts w:ascii="仿宋_GB2312" w:hAnsi="仿宋_GB2312" w:cs="仿宋_GB2312" w:eastAsia="仿宋_GB2312"/>
        </w:rPr>
        <w:t>采购包最高限价（元）: 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病媒生物防制服务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标的名称：病媒生物防制服务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00" w:after="120"/>
              <w:ind w:firstLine="600"/>
              <w:jc w:val="left"/>
            </w:pPr>
            <w:r>
              <w:rPr>
                <w:rFonts w:ascii="仿宋_GB2312" w:hAnsi="仿宋_GB2312" w:cs="仿宋_GB2312" w:eastAsia="仿宋_GB2312"/>
                <w:sz w:val="21"/>
                <w:b/>
              </w:rPr>
              <w:t>一、服务区域范围</w:t>
            </w:r>
          </w:p>
          <w:p>
            <w:pPr>
              <w:pStyle w:val="null3"/>
              <w:spacing w:before="120" w:after="120"/>
              <w:ind w:firstLine="660"/>
              <w:jc w:val="left"/>
            </w:pPr>
            <w:r>
              <w:rPr>
                <w:rFonts w:ascii="仿宋_GB2312" w:hAnsi="仿宋_GB2312" w:cs="仿宋_GB2312" w:eastAsia="仿宋_GB2312"/>
                <w:sz w:val="21"/>
              </w:rPr>
              <w:t>服务范围为县城主城区全域公共外环境，具体包含：城区主次干道、背街小巷、公园广场、绿化带、公共绿地、市政空地、城乡结合部、城中村、无物业老旧小区公共院落、公共厕所、垃圾收集点、垃圾中转站、果皮箱点位、城区河道、沟渠、水塘、雨水管网、下水道、窨井、化粪池、农贸市场外围公共区域、闲置空地、在建工地外围</w:t>
            </w:r>
            <w:r>
              <w:rPr>
                <w:rFonts w:ascii="仿宋_GB2312" w:hAnsi="仿宋_GB2312" w:cs="仿宋_GB2312" w:eastAsia="仿宋_GB2312"/>
                <w:sz w:val="21"/>
              </w:rPr>
              <w:t>、</w:t>
            </w:r>
            <w:r>
              <w:rPr>
                <w:rFonts w:ascii="仿宋_GB2312" w:hAnsi="仿宋_GB2312" w:cs="仿宋_GB2312" w:eastAsia="仿宋_GB2312"/>
                <w:sz w:val="21"/>
              </w:rPr>
              <w:t>党政机关、</w:t>
            </w:r>
            <w:r>
              <w:rPr>
                <w:rFonts w:ascii="仿宋_GB2312" w:hAnsi="仿宋_GB2312" w:cs="仿宋_GB2312" w:eastAsia="仿宋_GB2312"/>
                <w:sz w:val="21"/>
              </w:rPr>
              <w:t>企事业</w:t>
            </w:r>
            <w:r>
              <w:rPr>
                <w:rFonts w:ascii="仿宋_GB2312" w:hAnsi="仿宋_GB2312" w:cs="仿宋_GB2312" w:eastAsia="仿宋_GB2312"/>
                <w:sz w:val="21"/>
              </w:rPr>
              <w:t>单位等所有公共开放式区域。</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300" w:after="120"/>
              <w:ind w:firstLine="600"/>
              <w:jc w:val="left"/>
            </w:pP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总体质量目标（实质性条款）</w:t>
            </w:r>
          </w:p>
          <w:p>
            <w:pPr>
              <w:pStyle w:val="null3"/>
              <w:spacing w:before="120" w:after="120"/>
              <w:ind w:firstLine="440"/>
              <w:jc w:val="left"/>
            </w:pPr>
            <w:r>
              <w:rPr>
                <w:rFonts w:ascii="仿宋_GB2312" w:hAnsi="仿宋_GB2312" w:cs="仿宋_GB2312" w:eastAsia="仿宋_GB2312"/>
                <w:sz w:val="21"/>
              </w:rPr>
              <w:t>服务期内，项目服务区域鼠、蚊、蝇、蟑螂四类病媒生物密度</w:t>
            </w:r>
            <w:r>
              <w:rPr>
                <w:rFonts w:ascii="仿宋_GB2312" w:hAnsi="仿宋_GB2312" w:cs="仿宋_GB2312" w:eastAsia="仿宋_GB2312"/>
                <w:sz w:val="21"/>
                <w:b/>
              </w:rPr>
              <w:t>全部达到国家标准</w:t>
            </w:r>
            <w:r>
              <w:rPr>
                <w:rFonts w:ascii="仿宋_GB2312" w:hAnsi="仿宋_GB2312" w:cs="仿宋_GB2312" w:eastAsia="仿宋_GB2312"/>
                <w:sz w:val="21"/>
                <w:b/>
              </w:rPr>
              <w:t>C</w:t>
            </w:r>
            <w:r>
              <w:rPr>
                <w:rFonts w:ascii="仿宋_GB2312" w:hAnsi="仿宋_GB2312" w:cs="仿宋_GB2312" w:eastAsia="仿宋_GB2312"/>
                <w:sz w:val="21"/>
                <w:b/>
              </w:rPr>
              <w:t>级及以上水平</w:t>
            </w:r>
            <w:r>
              <w:rPr>
                <w:rFonts w:ascii="仿宋_GB2312" w:hAnsi="仿宋_GB2312" w:cs="仿宋_GB2312" w:eastAsia="仿宋_GB2312"/>
                <w:sz w:val="21"/>
              </w:rPr>
              <w:t>，顺利通过</w:t>
            </w:r>
            <w:r>
              <w:rPr>
                <w:rFonts w:ascii="仿宋_GB2312" w:hAnsi="仿宋_GB2312" w:cs="仿宋_GB2312" w:eastAsia="仿宋_GB2312"/>
                <w:sz w:val="21"/>
              </w:rPr>
              <w:t>中、省、市有关</w:t>
            </w:r>
            <w:r>
              <w:rPr>
                <w:rFonts w:ascii="仿宋_GB2312" w:hAnsi="仿宋_GB2312" w:cs="仿宋_GB2312" w:eastAsia="仿宋_GB2312"/>
                <w:sz w:val="21"/>
              </w:rPr>
              <w:t>部门</w:t>
            </w:r>
            <w:r>
              <w:rPr>
                <w:rFonts w:ascii="仿宋_GB2312" w:hAnsi="仿宋_GB2312" w:cs="仿宋_GB2312" w:eastAsia="仿宋_GB2312"/>
                <w:sz w:val="21"/>
              </w:rPr>
              <w:t>创建国家健康县</w:t>
            </w:r>
            <w:r>
              <w:rPr>
                <w:rFonts w:ascii="仿宋_GB2312" w:hAnsi="仿宋_GB2312" w:cs="仿宋_GB2312" w:eastAsia="仿宋_GB2312"/>
                <w:sz w:val="21"/>
              </w:rPr>
              <w:t>常态化考核、专项验收及暗访检查；所有考核验收指标合格率</w:t>
            </w:r>
            <w:r>
              <w:rPr>
                <w:rFonts w:ascii="仿宋_GB2312" w:hAnsi="仿宋_GB2312" w:cs="仿宋_GB2312" w:eastAsia="仿宋_GB2312"/>
                <w:sz w:val="21"/>
              </w:rPr>
              <w:t>100%</w:t>
            </w:r>
            <w:r>
              <w:rPr>
                <w:rFonts w:ascii="仿宋_GB2312" w:hAnsi="仿宋_GB2312" w:cs="仿宋_GB2312" w:eastAsia="仿宋_GB2312"/>
                <w:sz w:val="21"/>
              </w:rPr>
              <w:t>。</w:t>
            </w:r>
          </w:p>
          <w:p>
            <w:pPr>
              <w:pStyle w:val="null3"/>
              <w:spacing w:before="120" w:after="120"/>
              <w:ind w:firstLine="440"/>
              <w:jc w:val="left"/>
            </w:pPr>
            <w:r>
              <w:rPr>
                <w:rFonts w:ascii="仿宋_GB2312" w:hAnsi="仿宋_GB2312" w:cs="仿宋_GB2312" w:eastAsia="仿宋_GB2312"/>
                <w:sz w:val="21"/>
              </w:rPr>
              <w:t>采购人</w:t>
            </w:r>
            <w:r>
              <w:rPr>
                <w:rFonts w:ascii="仿宋_GB2312" w:hAnsi="仿宋_GB2312" w:cs="仿宋_GB2312" w:eastAsia="仿宋_GB2312"/>
                <w:sz w:val="21"/>
              </w:rPr>
              <w:t>及</w:t>
            </w:r>
            <w:r>
              <w:rPr>
                <w:rFonts w:ascii="仿宋_GB2312" w:hAnsi="仿宋_GB2312" w:cs="仿宋_GB2312" w:eastAsia="仿宋_GB2312"/>
                <w:sz w:val="21"/>
              </w:rPr>
              <w:t>主管部门每月、每季度开展常态化抽检，抽检结果当场公示。</w:t>
            </w:r>
          </w:p>
          <w:p>
            <w:pPr>
              <w:pStyle w:val="null3"/>
              <w:spacing w:before="120" w:after="120"/>
              <w:ind w:firstLine="440"/>
              <w:jc w:val="left"/>
            </w:pPr>
            <w:r>
              <w:rPr>
                <w:rFonts w:ascii="仿宋_GB2312" w:hAnsi="仿宋_GB2312" w:cs="仿宋_GB2312" w:eastAsia="仿宋_GB2312"/>
                <w:sz w:val="21"/>
              </w:rPr>
              <w:t>单次抽检不达标：中标方</w:t>
            </w:r>
            <w:r>
              <w:rPr>
                <w:rFonts w:ascii="仿宋_GB2312" w:hAnsi="仿宋_GB2312" w:cs="仿宋_GB2312" w:eastAsia="仿宋_GB2312"/>
                <w:sz w:val="21"/>
              </w:rPr>
              <w:t xml:space="preserve">24 </w:t>
            </w:r>
            <w:r>
              <w:rPr>
                <w:rFonts w:ascii="仿宋_GB2312" w:hAnsi="仿宋_GB2312" w:cs="仿宋_GB2312" w:eastAsia="仿宋_GB2312"/>
                <w:sz w:val="21"/>
              </w:rPr>
              <w:t>小时内提交整改方案，</w:t>
            </w:r>
            <w:r>
              <w:rPr>
                <w:rFonts w:ascii="仿宋_GB2312" w:hAnsi="仿宋_GB2312" w:cs="仿宋_GB2312" w:eastAsia="仿宋_GB2312"/>
                <w:sz w:val="21"/>
              </w:rPr>
              <w:t xml:space="preserve">48 </w:t>
            </w:r>
            <w:r>
              <w:rPr>
                <w:rFonts w:ascii="仿宋_GB2312" w:hAnsi="仿宋_GB2312" w:cs="仿宋_GB2312" w:eastAsia="仿宋_GB2312"/>
                <w:sz w:val="21"/>
              </w:rPr>
              <w:t>小时内完成整改并申请复查。</w:t>
            </w:r>
          </w:p>
          <w:p>
            <w:pPr>
              <w:pStyle w:val="null3"/>
              <w:spacing w:before="120" w:after="120"/>
              <w:ind w:firstLine="440"/>
              <w:jc w:val="left"/>
            </w:pPr>
            <w:r>
              <w:rPr>
                <w:rFonts w:ascii="仿宋_GB2312" w:hAnsi="仿宋_GB2312" w:cs="仿宋_GB2312" w:eastAsia="仿宋_GB2312"/>
                <w:sz w:val="21"/>
              </w:rPr>
              <w:t>同一问题月度内累计</w:t>
            </w:r>
            <w:r>
              <w:rPr>
                <w:rFonts w:ascii="仿宋_GB2312" w:hAnsi="仿宋_GB2312" w:cs="仿宋_GB2312" w:eastAsia="仿宋_GB2312"/>
                <w:sz w:val="21"/>
              </w:rPr>
              <w:t xml:space="preserve"> 2 </w:t>
            </w:r>
            <w:r>
              <w:rPr>
                <w:rFonts w:ascii="仿宋_GB2312" w:hAnsi="仿宋_GB2312" w:cs="仿宋_GB2312" w:eastAsia="仿宋_GB2312"/>
                <w:sz w:val="21"/>
              </w:rPr>
              <w:t>次整改仍不达标，采购人有权扣除履约保证金、单方解除合同，并追究相应违约责任。</w:t>
            </w:r>
          </w:p>
          <w:p>
            <w:pPr>
              <w:pStyle w:val="null3"/>
              <w:spacing w:before="120" w:after="120"/>
              <w:ind w:firstLine="440"/>
              <w:jc w:val="left"/>
            </w:pPr>
            <w:r>
              <w:rPr>
                <w:rFonts w:ascii="仿宋_GB2312" w:hAnsi="仿宋_GB2312" w:cs="仿宋_GB2312" w:eastAsia="仿宋_GB2312"/>
                <w:sz w:val="21"/>
              </w:rPr>
              <w:t>服务期满统一组织整体履约验收，验收不合格不予全额结算。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30"/>
                <w:b/>
              </w:rPr>
              <w:t xml:space="preserve"> </w:t>
            </w:r>
            <w:r>
              <w:rPr>
                <w:rFonts w:ascii="仿宋_GB2312" w:hAnsi="仿宋_GB2312" w:cs="仿宋_GB2312" w:eastAsia="仿宋_GB2312"/>
                <w:sz w:val="16"/>
                <w:b/>
              </w:rPr>
              <w:t xml:space="preserve">  </w:t>
            </w:r>
            <w:r>
              <w:rPr>
                <w:rFonts w:ascii="仿宋_GB2312" w:hAnsi="仿宋_GB2312" w:cs="仿宋_GB2312" w:eastAsia="仿宋_GB2312"/>
                <w:sz w:val="21"/>
                <w:b/>
              </w:rPr>
              <w:t xml:space="preserve"> 三</w:t>
            </w:r>
            <w:r>
              <w:rPr>
                <w:rFonts w:ascii="仿宋_GB2312" w:hAnsi="仿宋_GB2312" w:cs="仿宋_GB2312" w:eastAsia="仿宋_GB2312"/>
                <w:sz w:val="21"/>
                <w:b/>
              </w:rPr>
              <w:t>、</w:t>
            </w:r>
            <w:r>
              <w:rPr>
                <w:rFonts w:ascii="仿宋_GB2312" w:hAnsi="仿宋_GB2312" w:cs="仿宋_GB2312" w:eastAsia="仿宋_GB2312"/>
                <w:sz w:val="21"/>
                <w:b/>
              </w:rPr>
              <w:t>控制</w:t>
            </w:r>
            <w:r>
              <w:rPr>
                <w:rFonts w:ascii="仿宋_GB2312" w:hAnsi="仿宋_GB2312" w:cs="仿宋_GB2312" w:eastAsia="仿宋_GB2312"/>
                <w:sz w:val="21"/>
                <w:b/>
              </w:rPr>
              <w:t>参数</w:t>
            </w:r>
            <w:r>
              <w:rPr>
                <w:rFonts w:ascii="仿宋_GB2312" w:hAnsi="仿宋_GB2312" w:cs="仿宋_GB2312" w:eastAsia="仿宋_GB2312"/>
                <w:sz w:val="21"/>
                <w:b/>
              </w:rPr>
              <w:t>标准</w:t>
            </w:r>
          </w:p>
          <w:p>
            <w:pPr>
              <w:pStyle w:val="null3"/>
              <w:spacing w:before="300" w:after="120"/>
              <w:ind w:firstLine="600"/>
              <w:jc w:val="left"/>
            </w:pPr>
            <w:r>
              <w:rPr>
                <w:rFonts w:ascii="仿宋_GB2312" w:hAnsi="仿宋_GB2312" w:cs="仿宋_GB2312" w:eastAsia="仿宋_GB2312"/>
                <w:sz w:val="21"/>
                <w:b/>
              </w:rPr>
              <w:t>1、灭鼠控制</w:t>
            </w:r>
            <w:r>
              <w:rPr>
                <w:rFonts w:ascii="仿宋_GB2312" w:hAnsi="仿宋_GB2312" w:cs="仿宋_GB2312" w:eastAsia="仿宋_GB2312"/>
                <w:sz w:val="21"/>
                <w:b/>
              </w:rPr>
              <w:t>参数</w:t>
            </w:r>
            <w:r>
              <w:rPr>
                <w:rFonts w:ascii="仿宋_GB2312" w:hAnsi="仿宋_GB2312" w:cs="仿宋_GB2312" w:eastAsia="仿宋_GB2312"/>
                <w:sz w:val="21"/>
                <w:b/>
              </w:rPr>
              <w:t>标准（</w:t>
            </w:r>
            <w:r>
              <w:rPr>
                <w:rFonts w:ascii="仿宋_GB2312" w:hAnsi="仿宋_GB2312" w:cs="仿宋_GB2312" w:eastAsia="仿宋_GB2312"/>
                <w:sz w:val="21"/>
                <w:b/>
              </w:rPr>
              <w:t>GB/T27770-2011</w:t>
            </w:r>
            <w:r>
              <w:rPr>
                <w:rFonts w:ascii="仿宋_GB2312" w:hAnsi="仿宋_GB2312" w:cs="仿宋_GB2312" w:eastAsia="仿宋_GB2312"/>
                <w:sz w:val="21"/>
                <w:b/>
              </w:rPr>
              <w:t>）</w:t>
            </w:r>
          </w:p>
          <w:p>
            <w:pPr>
              <w:pStyle w:val="null3"/>
              <w:spacing w:before="120" w:after="120"/>
              <w:ind w:firstLine="440"/>
              <w:jc w:val="left"/>
            </w:pPr>
            <w:r>
              <w:rPr>
                <w:rFonts w:ascii="仿宋_GB2312" w:hAnsi="仿宋_GB2312" w:cs="仿宋_GB2312" w:eastAsia="仿宋_GB2312"/>
                <w:sz w:val="21"/>
              </w:rPr>
              <w:t xml:space="preserve">1. </w:t>
            </w:r>
            <w:r>
              <w:rPr>
                <w:rFonts w:ascii="仿宋_GB2312" w:hAnsi="仿宋_GB2312" w:cs="仿宋_GB2312" w:eastAsia="仿宋_GB2312"/>
                <w:sz w:val="21"/>
              </w:rPr>
              <w:t>外环境鼠迹指数：每</w:t>
            </w:r>
            <w:r>
              <w:rPr>
                <w:rFonts w:ascii="仿宋_GB2312" w:hAnsi="仿宋_GB2312" w:cs="仿宋_GB2312" w:eastAsia="仿宋_GB2312"/>
                <w:sz w:val="21"/>
              </w:rPr>
              <w:t>1000</w:t>
            </w:r>
            <w:r>
              <w:rPr>
                <w:rFonts w:ascii="仿宋_GB2312" w:hAnsi="仿宋_GB2312" w:cs="仿宋_GB2312" w:eastAsia="仿宋_GB2312"/>
                <w:sz w:val="21"/>
              </w:rPr>
              <w:t>米巡查路径鼠洞、鼠粪、咬痕、死鼠等阳性痕迹</w:t>
            </w:r>
            <w:r>
              <w:rPr>
                <w:rFonts w:ascii="仿宋_GB2312" w:hAnsi="仿宋_GB2312" w:cs="仿宋_GB2312" w:eastAsia="仿宋_GB2312"/>
                <w:sz w:val="21"/>
              </w:rPr>
              <w:t>≤5</w:t>
            </w:r>
            <w:r>
              <w:rPr>
                <w:rFonts w:ascii="仿宋_GB2312" w:hAnsi="仿宋_GB2312" w:cs="仿宋_GB2312" w:eastAsia="仿宋_GB2312"/>
                <w:sz w:val="21"/>
              </w:rPr>
              <w:t>处，路径指数</w:t>
            </w:r>
            <w:r>
              <w:rPr>
                <w:rFonts w:ascii="仿宋_GB2312" w:hAnsi="仿宋_GB2312" w:cs="仿宋_GB2312" w:eastAsia="仿宋_GB2312"/>
                <w:sz w:val="21"/>
              </w:rPr>
              <w:t>≤5</w:t>
            </w:r>
            <w:r>
              <w:rPr>
                <w:rFonts w:ascii="仿宋_GB2312" w:hAnsi="仿宋_GB2312" w:cs="仿宋_GB2312" w:eastAsia="仿宋_GB2312"/>
                <w:sz w:val="21"/>
              </w:rPr>
              <w:t>。</w:t>
            </w:r>
          </w:p>
          <w:p>
            <w:pPr>
              <w:pStyle w:val="null3"/>
              <w:spacing w:before="120" w:after="120"/>
              <w:ind w:firstLine="440"/>
              <w:jc w:val="left"/>
            </w:pPr>
            <w:r>
              <w:rPr>
                <w:rFonts w:ascii="仿宋_GB2312" w:hAnsi="仿宋_GB2312" w:cs="仿宋_GB2312" w:eastAsia="仿宋_GB2312"/>
                <w:sz w:val="21"/>
              </w:rPr>
              <w:t xml:space="preserve">2. </w:t>
            </w:r>
            <w:r>
              <w:rPr>
                <w:rFonts w:ascii="仿宋_GB2312" w:hAnsi="仿宋_GB2312" w:cs="仿宋_GB2312" w:eastAsia="仿宋_GB2312"/>
                <w:sz w:val="21"/>
              </w:rPr>
              <w:t>防鼠设施：垃圾站、公厕、农贸市场、公共通道等重点区域防鼠挡板、下水道防鼠网等设施完好，合格率</w:t>
            </w:r>
            <w:r>
              <w:rPr>
                <w:rFonts w:ascii="仿宋_GB2312" w:hAnsi="仿宋_GB2312" w:cs="仿宋_GB2312" w:eastAsia="仿宋_GB2312"/>
                <w:sz w:val="21"/>
              </w:rPr>
              <w:t>≥93%</w:t>
            </w:r>
            <w:r>
              <w:rPr>
                <w:rFonts w:ascii="仿宋_GB2312" w:hAnsi="仿宋_GB2312" w:cs="仿宋_GB2312" w:eastAsia="仿宋_GB2312"/>
                <w:sz w:val="21"/>
              </w:rPr>
              <w:t>。</w:t>
            </w:r>
          </w:p>
          <w:p>
            <w:pPr>
              <w:pStyle w:val="null3"/>
              <w:spacing w:before="120" w:after="120"/>
              <w:ind w:firstLine="440"/>
              <w:jc w:val="left"/>
            </w:pPr>
            <w:r>
              <w:rPr>
                <w:rFonts w:ascii="仿宋_GB2312" w:hAnsi="仿宋_GB2312" w:cs="仿宋_GB2312" w:eastAsia="仿宋_GB2312"/>
                <w:sz w:val="21"/>
              </w:rPr>
              <w:t xml:space="preserve">3. </w:t>
            </w:r>
            <w:r>
              <w:rPr>
                <w:rFonts w:ascii="仿宋_GB2312" w:hAnsi="仿宋_GB2312" w:cs="仿宋_GB2312" w:eastAsia="仿宋_GB2312"/>
                <w:sz w:val="21"/>
              </w:rPr>
              <w:t>粉迹监测标准：规范布设滑石粉块，夜间阳性粉块检出率</w:t>
            </w:r>
            <w:r>
              <w:rPr>
                <w:rFonts w:ascii="仿宋_GB2312" w:hAnsi="仿宋_GB2312" w:cs="仿宋_GB2312" w:eastAsia="仿宋_GB2312"/>
                <w:sz w:val="21"/>
              </w:rPr>
              <w:t>≤3%</w:t>
            </w:r>
            <w:r>
              <w:rPr>
                <w:rFonts w:ascii="仿宋_GB2312" w:hAnsi="仿宋_GB2312" w:cs="仿宋_GB2312" w:eastAsia="仿宋_GB2312"/>
                <w:sz w:val="21"/>
              </w:rPr>
              <w:t>。</w:t>
            </w:r>
          </w:p>
          <w:p>
            <w:pPr>
              <w:pStyle w:val="null3"/>
              <w:spacing w:before="120" w:after="120"/>
              <w:ind w:firstLine="440"/>
              <w:jc w:val="left"/>
            </w:pPr>
            <w:r>
              <w:rPr>
                <w:rFonts w:ascii="仿宋_GB2312" w:hAnsi="仿宋_GB2312" w:cs="仿宋_GB2312" w:eastAsia="仿宋_GB2312"/>
                <w:sz w:val="21"/>
              </w:rPr>
              <w:t xml:space="preserve">4. </w:t>
            </w:r>
            <w:r>
              <w:rPr>
                <w:rFonts w:ascii="仿宋_GB2312" w:hAnsi="仿宋_GB2312" w:cs="仿宋_GB2312" w:eastAsia="仿宋_GB2312"/>
                <w:sz w:val="21"/>
              </w:rPr>
              <w:t>毒饵布设标准：主干道每</w:t>
            </w:r>
            <w:r>
              <w:rPr>
                <w:rFonts w:ascii="仿宋_GB2312" w:hAnsi="仿宋_GB2312" w:cs="仿宋_GB2312" w:eastAsia="仿宋_GB2312"/>
                <w:sz w:val="21"/>
              </w:rPr>
              <w:t>50</w:t>
            </w:r>
            <w:r>
              <w:rPr>
                <w:rFonts w:ascii="仿宋_GB2312" w:hAnsi="仿宋_GB2312" w:cs="仿宋_GB2312" w:eastAsia="仿宋_GB2312"/>
                <w:sz w:val="21"/>
              </w:rPr>
              <w:t>米设置</w:t>
            </w:r>
            <w:r>
              <w:rPr>
                <w:rFonts w:ascii="仿宋_GB2312" w:hAnsi="仿宋_GB2312" w:cs="仿宋_GB2312" w:eastAsia="仿宋_GB2312"/>
                <w:sz w:val="21"/>
              </w:rPr>
              <w:t>1</w:t>
            </w:r>
            <w:r>
              <w:rPr>
                <w:rFonts w:ascii="仿宋_GB2312" w:hAnsi="仿宋_GB2312" w:cs="仿宋_GB2312" w:eastAsia="仿宋_GB2312"/>
                <w:sz w:val="21"/>
              </w:rPr>
              <w:t>个标准化毒饵站，背街小巷每</w:t>
            </w:r>
            <w:r>
              <w:rPr>
                <w:rFonts w:ascii="仿宋_GB2312" w:hAnsi="仿宋_GB2312" w:cs="仿宋_GB2312" w:eastAsia="仿宋_GB2312"/>
                <w:sz w:val="21"/>
              </w:rPr>
              <w:t>80</w:t>
            </w:r>
            <w:r>
              <w:rPr>
                <w:rFonts w:ascii="仿宋_GB2312" w:hAnsi="仿宋_GB2312" w:cs="仿宋_GB2312" w:eastAsia="仿宋_GB2312"/>
                <w:sz w:val="21"/>
              </w:rPr>
              <w:t>米</w:t>
            </w:r>
            <w:r>
              <w:rPr>
                <w:rFonts w:ascii="仿宋_GB2312" w:hAnsi="仿宋_GB2312" w:cs="仿宋_GB2312" w:eastAsia="仿宋_GB2312"/>
                <w:sz w:val="21"/>
              </w:rPr>
              <w:t>1</w:t>
            </w:r>
            <w:r>
              <w:rPr>
                <w:rFonts w:ascii="仿宋_GB2312" w:hAnsi="仿宋_GB2312" w:cs="仿宋_GB2312" w:eastAsia="仿宋_GB2312"/>
                <w:sz w:val="21"/>
              </w:rPr>
              <w:t>个；公厕、垃圾中转站、农贸市场外围等重点点位每处不少于</w:t>
            </w:r>
            <w:r>
              <w:rPr>
                <w:rFonts w:ascii="仿宋_GB2312" w:hAnsi="仿宋_GB2312" w:cs="仿宋_GB2312" w:eastAsia="仿宋_GB2312"/>
                <w:sz w:val="21"/>
              </w:rPr>
              <w:t>4</w:t>
            </w:r>
            <w:r>
              <w:rPr>
                <w:rFonts w:ascii="仿宋_GB2312" w:hAnsi="仿宋_GB2312" w:cs="仿宋_GB2312" w:eastAsia="仿宋_GB2312"/>
                <w:sz w:val="21"/>
              </w:rPr>
              <w:t>个毒饵站，农贸市场外围每</w:t>
            </w:r>
            <w:r>
              <w:rPr>
                <w:rFonts w:ascii="仿宋_GB2312" w:hAnsi="仿宋_GB2312" w:cs="仿宋_GB2312" w:eastAsia="仿宋_GB2312"/>
                <w:sz w:val="21"/>
              </w:rPr>
              <w:t>10</w:t>
            </w:r>
            <w:r>
              <w:rPr>
                <w:rFonts w:ascii="仿宋_GB2312" w:hAnsi="仿宋_GB2312" w:cs="仿宋_GB2312" w:eastAsia="仿宋_GB2312"/>
                <w:sz w:val="21"/>
              </w:rPr>
              <w:t>米布设</w:t>
            </w:r>
            <w:r>
              <w:rPr>
                <w:rFonts w:ascii="仿宋_GB2312" w:hAnsi="仿宋_GB2312" w:cs="仿宋_GB2312" w:eastAsia="仿宋_GB2312"/>
                <w:sz w:val="21"/>
              </w:rPr>
              <w:t>1</w:t>
            </w:r>
            <w:r>
              <w:rPr>
                <w:rFonts w:ascii="仿宋_GB2312" w:hAnsi="仿宋_GB2312" w:cs="仿宋_GB2312" w:eastAsia="仿宋_GB2312"/>
                <w:sz w:val="21"/>
              </w:rPr>
              <w:t>个毒饵站。所有毒饵站统一规格、统一编号、统一建档、点位上图，做到防雨、防破坏、防人畜误食。</w:t>
            </w:r>
          </w:p>
          <w:p>
            <w:pPr>
              <w:pStyle w:val="null3"/>
              <w:spacing w:before="120" w:after="120"/>
              <w:ind w:firstLine="440"/>
              <w:jc w:val="left"/>
            </w:pPr>
            <w:r>
              <w:rPr>
                <w:rFonts w:ascii="仿宋_GB2312" w:hAnsi="仿宋_GB2312" w:cs="仿宋_GB2312" w:eastAsia="仿宋_GB2312"/>
                <w:sz w:val="21"/>
              </w:rPr>
              <w:t xml:space="preserve">5. </w:t>
            </w:r>
            <w:r>
              <w:rPr>
                <w:rFonts w:ascii="仿宋_GB2312" w:hAnsi="仿宋_GB2312" w:cs="仿宋_GB2312" w:eastAsia="仿宋_GB2312"/>
                <w:sz w:val="21"/>
              </w:rPr>
              <w:t xml:space="preserve">毒饵更换：毒饵每月至少更换 </w:t>
            </w:r>
            <w:r>
              <w:rPr>
                <w:rFonts w:ascii="仿宋_GB2312" w:hAnsi="仿宋_GB2312" w:cs="仿宋_GB2312" w:eastAsia="仿宋_GB2312"/>
                <w:sz w:val="21"/>
              </w:rPr>
              <w:t xml:space="preserve">1 </w:t>
            </w:r>
            <w:r>
              <w:rPr>
                <w:rFonts w:ascii="仿宋_GB2312" w:hAnsi="仿宋_GB2312" w:cs="仿宋_GB2312" w:eastAsia="仿宋_GB2312"/>
                <w:sz w:val="21"/>
              </w:rPr>
              <w:t>次，高温、阴雨季节加密更换频次，确保饵料有效。</w:t>
            </w:r>
          </w:p>
          <w:p>
            <w:pPr>
              <w:pStyle w:val="null3"/>
              <w:spacing w:before="120" w:after="120"/>
              <w:ind w:firstLine="440"/>
              <w:jc w:val="left"/>
            </w:pPr>
            <w:r>
              <w:rPr>
                <w:rFonts w:ascii="仿宋_GB2312" w:hAnsi="仿宋_GB2312" w:cs="仿宋_GB2312" w:eastAsia="仿宋_GB2312"/>
                <w:sz w:val="21"/>
                <w:b/>
              </w:rPr>
              <w:t>2、</w:t>
            </w:r>
            <w:r>
              <w:rPr>
                <w:rFonts w:ascii="仿宋_GB2312" w:hAnsi="仿宋_GB2312" w:cs="仿宋_GB2312" w:eastAsia="仿宋_GB2312"/>
                <w:sz w:val="21"/>
                <w:b/>
              </w:rPr>
              <w:t>灭蚊控制标准（</w:t>
            </w:r>
            <w:r>
              <w:rPr>
                <w:rFonts w:ascii="仿宋_GB2312" w:hAnsi="仿宋_GB2312" w:cs="仿宋_GB2312" w:eastAsia="仿宋_GB2312"/>
                <w:sz w:val="21"/>
                <w:b/>
              </w:rPr>
              <w:t>GB/T27771-2011</w:t>
            </w:r>
            <w:r>
              <w:rPr>
                <w:rFonts w:ascii="仿宋_GB2312" w:hAnsi="仿宋_GB2312" w:cs="仿宋_GB2312" w:eastAsia="仿宋_GB2312"/>
                <w:sz w:val="21"/>
                <w:b/>
              </w:rPr>
              <w:t>）</w:t>
            </w:r>
          </w:p>
          <w:p>
            <w:pPr>
              <w:pStyle w:val="null3"/>
              <w:spacing w:before="120" w:after="120"/>
              <w:ind w:firstLine="440"/>
              <w:jc w:val="left"/>
            </w:pPr>
            <w:r>
              <w:rPr>
                <w:rFonts w:ascii="仿宋_GB2312" w:hAnsi="仿宋_GB2312" w:cs="仿宋_GB2312" w:eastAsia="仿宋_GB2312"/>
                <w:sz w:val="21"/>
              </w:rPr>
              <w:t xml:space="preserve">1. </w:t>
            </w:r>
            <w:r>
              <w:rPr>
                <w:rFonts w:ascii="仿宋_GB2312" w:hAnsi="仿宋_GB2312" w:cs="仿宋_GB2312" w:eastAsia="仿宋_GB2312"/>
                <w:sz w:val="21"/>
              </w:rPr>
              <w:t>大中型水体（河道、池塘、景观水体）：采用</w:t>
            </w:r>
            <w:r>
              <w:rPr>
                <w:rFonts w:ascii="仿宋_GB2312" w:hAnsi="仿宋_GB2312" w:cs="仿宋_GB2312" w:eastAsia="仿宋_GB2312"/>
                <w:sz w:val="21"/>
              </w:rPr>
              <w:t>500ml</w:t>
            </w:r>
            <w:r>
              <w:rPr>
                <w:rFonts w:ascii="仿宋_GB2312" w:hAnsi="仿宋_GB2312" w:cs="仿宋_GB2312" w:eastAsia="仿宋_GB2312"/>
                <w:sz w:val="21"/>
              </w:rPr>
              <w:t>采样勺抽检，幼虫阳性勺比例</w:t>
            </w:r>
            <w:r>
              <w:rPr>
                <w:rFonts w:ascii="仿宋_GB2312" w:hAnsi="仿宋_GB2312" w:cs="仿宋_GB2312" w:eastAsia="仿宋_GB2312"/>
                <w:sz w:val="21"/>
              </w:rPr>
              <w:t>≤5%</w:t>
            </w:r>
            <w:r>
              <w:rPr>
                <w:rFonts w:ascii="仿宋_GB2312" w:hAnsi="仿宋_GB2312" w:cs="仿宋_GB2312" w:eastAsia="仿宋_GB2312"/>
                <w:sz w:val="21"/>
              </w:rPr>
              <w:t>，阳性勺平均蚊幼、蚊蛹数量＜</w:t>
            </w:r>
            <w:r>
              <w:rPr>
                <w:rFonts w:ascii="仿宋_GB2312" w:hAnsi="仿宋_GB2312" w:cs="仿宋_GB2312" w:eastAsia="仿宋_GB2312"/>
                <w:sz w:val="21"/>
              </w:rPr>
              <w:t>5</w:t>
            </w:r>
            <w:r>
              <w:rPr>
                <w:rFonts w:ascii="仿宋_GB2312" w:hAnsi="仿宋_GB2312" w:cs="仿宋_GB2312" w:eastAsia="仿宋_GB2312"/>
                <w:sz w:val="21"/>
              </w:rPr>
              <w:t>只。</w:t>
            </w:r>
          </w:p>
          <w:p>
            <w:pPr>
              <w:pStyle w:val="null3"/>
              <w:spacing w:before="120" w:after="120"/>
              <w:ind w:firstLine="440"/>
              <w:jc w:val="left"/>
            </w:pPr>
            <w:r>
              <w:rPr>
                <w:rFonts w:ascii="仿宋_GB2312" w:hAnsi="仿宋_GB2312" w:cs="仿宋_GB2312" w:eastAsia="仿宋_GB2312"/>
                <w:sz w:val="21"/>
              </w:rPr>
              <w:t xml:space="preserve">2. </w:t>
            </w:r>
            <w:r>
              <w:rPr>
                <w:rFonts w:ascii="仿宋_GB2312" w:hAnsi="仿宋_GB2312" w:cs="仿宋_GB2312" w:eastAsia="仿宋_GB2312"/>
                <w:sz w:val="21"/>
              </w:rPr>
              <w:t>小型积水管控：绿化带坑洼、坛罐、废旧容器、低洼积水等小型积水孳生地彻底清理管控，布雷图指数</w:t>
            </w:r>
            <w:r>
              <w:rPr>
                <w:rFonts w:ascii="仿宋_GB2312" w:hAnsi="仿宋_GB2312" w:cs="仿宋_GB2312" w:eastAsia="仿宋_GB2312"/>
                <w:sz w:val="21"/>
              </w:rPr>
              <w:t>≤5</w:t>
            </w:r>
            <w:r>
              <w:rPr>
                <w:rFonts w:ascii="仿宋_GB2312" w:hAnsi="仿宋_GB2312" w:cs="仿宋_GB2312" w:eastAsia="仿宋_GB2312"/>
                <w:sz w:val="21"/>
              </w:rPr>
              <w:t>。</w:t>
            </w:r>
          </w:p>
          <w:p>
            <w:pPr>
              <w:pStyle w:val="null3"/>
              <w:spacing w:before="120" w:after="120"/>
              <w:ind w:firstLine="440"/>
              <w:jc w:val="left"/>
            </w:pPr>
            <w:r>
              <w:rPr>
                <w:rFonts w:ascii="仿宋_GB2312" w:hAnsi="仿宋_GB2312" w:cs="仿宋_GB2312" w:eastAsia="仿宋_GB2312"/>
                <w:sz w:val="21"/>
              </w:rPr>
              <w:t xml:space="preserve">3. </w:t>
            </w:r>
            <w:r>
              <w:rPr>
                <w:rFonts w:ascii="仿宋_GB2312" w:hAnsi="仿宋_GB2312" w:cs="仿宋_GB2312" w:eastAsia="仿宋_GB2312"/>
                <w:sz w:val="21"/>
              </w:rPr>
              <w:t>成蚊密度：日间标准人诱法</w:t>
            </w:r>
            <w:r>
              <w:rPr>
                <w:rFonts w:ascii="仿宋_GB2312" w:hAnsi="仿宋_GB2312" w:cs="仿宋_GB2312" w:eastAsia="仿宋_GB2312"/>
                <w:sz w:val="21"/>
              </w:rPr>
              <w:t>30</w:t>
            </w:r>
            <w:r>
              <w:rPr>
                <w:rFonts w:ascii="仿宋_GB2312" w:hAnsi="仿宋_GB2312" w:cs="仿宋_GB2312" w:eastAsia="仿宋_GB2312"/>
                <w:sz w:val="21"/>
              </w:rPr>
              <w:t>分钟诱蚊数量</w:t>
            </w:r>
            <w:r>
              <w:rPr>
                <w:rFonts w:ascii="仿宋_GB2312" w:hAnsi="仿宋_GB2312" w:cs="仿宋_GB2312" w:eastAsia="仿宋_GB2312"/>
                <w:sz w:val="21"/>
              </w:rPr>
              <w:t>≤1</w:t>
            </w:r>
            <w:r>
              <w:rPr>
                <w:rFonts w:ascii="仿宋_GB2312" w:hAnsi="仿宋_GB2312" w:cs="仿宋_GB2312" w:eastAsia="仿宋_GB2312"/>
                <w:sz w:val="21"/>
              </w:rPr>
              <w:t>只。</w:t>
            </w:r>
          </w:p>
          <w:p>
            <w:pPr>
              <w:pStyle w:val="null3"/>
              <w:spacing w:before="120" w:after="120"/>
              <w:ind w:firstLine="440"/>
              <w:jc w:val="left"/>
            </w:pPr>
            <w:r>
              <w:rPr>
                <w:rFonts w:ascii="仿宋_GB2312" w:hAnsi="仿宋_GB2312" w:cs="仿宋_GB2312" w:eastAsia="仿宋_GB2312"/>
                <w:sz w:val="21"/>
              </w:rPr>
              <w:t xml:space="preserve">4. </w:t>
            </w:r>
            <w:r>
              <w:rPr>
                <w:rFonts w:ascii="仿宋_GB2312" w:hAnsi="仿宋_GB2312" w:cs="仿宋_GB2312" w:eastAsia="仿宋_GB2312"/>
                <w:sz w:val="21"/>
              </w:rPr>
              <w:t>地下管网：所有窨井、雨水井、下水道定期投放缓释灭孑孓药剂，杜绝蚊虫孳生，井内无活体蚊幼、蛹体。</w:t>
            </w:r>
          </w:p>
          <w:p>
            <w:pPr>
              <w:pStyle w:val="null3"/>
              <w:spacing w:before="120" w:after="120"/>
              <w:ind w:firstLine="440"/>
              <w:jc w:val="left"/>
            </w:pPr>
            <w:r>
              <w:rPr>
                <w:rFonts w:ascii="仿宋_GB2312" w:hAnsi="仿宋_GB2312" w:cs="仿宋_GB2312" w:eastAsia="仿宋_GB2312"/>
                <w:sz w:val="21"/>
                <w:b/>
              </w:rPr>
              <w:t>3、</w:t>
            </w:r>
            <w:r>
              <w:rPr>
                <w:rFonts w:ascii="仿宋_GB2312" w:hAnsi="仿宋_GB2312" w:cs="仿宋_GB2312" w:eastAsia="仿宋_GB2312"/>
                <w:sz w:val="21"/>
                <w:b/>
              </w:rPr>
              <w:t>灭蝇控制标准（</w:t>
            </w:r>
            <w:r>
              <w:rPr>
                <w:rFonts w:ascii="仿宋_GB2312" w:hAnsi="仿宋_GB2312" w:cs="仿宋_GB2312" w:eastAsia="仿宋_GB2312"/>
                <w:sz w:val="21"/>
                <w:b/>
              </w:rPr>
              <w:t>GB/T27772-2011</w:t>
            </w:r>
            <w:r>
              <w:rPr>
                <w:rFonts w:ascii="仿宋_GB2312" w:hAnsi="仿宋_GB2312" w:cs="仿宋_GB2312" w:eastAsia="仿宋_GB2312"/>
                <w:sz w:val="21"/>
                <w:b/>
              </w:rPr>
              <w:t>）</w:t>
            </w:r>
          </w:p>
          <w:p>
            <w:pPr>
              <w:pStyle w:val="null3"/>
              <w:spacing w:before="120" w:after="120"/>
              <w:ind w:firstLine="440"/>
              <w:jc w:val="left"/>
            </w:pPr>
            <w:r>
              <w:rPr>
                <w:rFonts w:ascii="仿宋_GB2312" w:hAnsi="仿宋_GB2312" w:cs="仿宋_GB2312" w:eastAsia="仿宋_GB2312"/>
                <w:sz w:val="21"/>
              </w:rPr>
              <w:t xml:space="preserve">1. </w:t>
            </w:r>
            <w:r>
              <w:rPr>
                <w:rFonts w:ascii="仿宋_GB2312" w:hAnsi="仿宋_GB2312" w:cs="仿宋_GB2312" w:eastAsia="仿宋_GB2312"/>
                <w:sz w:val="21"/>
              </w:rPr>
              <w:t>垃圾中转站、公共厕所、农贸市场外围</w:t>
            </w:r>
            <w:r>
              <w:rPr>
                <w:rFonts w:ascii="仿宋_GB2312" w:hAnsi="仿宋_GB2312" w:cs="仿宋_GB2312" w:eastAsia="仿宋_GB2312"/>
                <w:sz w:val="21"/>
              </w:rPr>
              <w:t>等</w:t>
            </w:r>
            <w:r>
              <w:rPr>
                <w:rFonts w:ascii="仿宋_GB2312" w:hAnsi="仿宋_GB2312" w:cs="仿宋_GB2312" w:eastAsia="仿宋_GB2312"/>
                <w:sz w:val="21"/>
              </w:rPr>
              <w:t>重点区域无活体蝇蛆、无蝇类孳生地，蝇蛆检出率</w:t>
            </w:r>
            <w:r>
              <w:rPr>
                <w:rFonts w:ascii="仿宋_GB2312" w:hAnsi="仿宋_GB2312" w:cs="仿宋_GB2312" w:eastAsia="仿宋_GB2312"/>
                <w:sz w:val="21"/>
              </w:rPr>
              <w:t>≤3%</w:t>
            </w:r>
            <w:r>
              <w:rPr>
                <w:rFonts w:ascii="仿宋_GB2312" w:hAnsi="仿宋_GB2312" w:cs="仿宋_GB2312" w:eastAsia="仿宋_GB2312"/>
                <w:sz w:val="21"/>
              </w:rPr>
              <w:t>。</w:t>
            </w:r>
          </w:p>
          <w:p>
            <w:pPr>
              <w:pStyle w:val="null3"/>
              <w:spacing w:before="120" w:after="120"/>
              <w:ind w:firstLine="440"/>
              <w:jc w:val="left"/>
            </w:pPr>
            <w:r>
              <w:rPr>
                <w:rFonts w:ascii="仿宋_GB2312" w:hAnsi="仿宋_GB2312" w:cs="仿宋_GB2312" w:eastAsia="仿宋_GB2312"/>
                <w:sz w:val="21"/>
              </w:rPr>
              <w:t xml:space="preserve">2. </w:t>
            </w:r>
            <w:r>
              <w:rPr>
                <w:rFonts w:ascii="仿宋_GB2312" w:hAnsi="仿宋_GB2312" w:cs="仿宋_GB2312" w:eastAsia="仿宋_GB2312"/>
                <w:sz w:val="21"/>
              </w:rPr>
              <w:t>外环境</w:t>
            </w:r>
            <w:r>
              <w:rPr>
                <w:rFonts w:ascii="仿宋_GB2312" w:hAnsi="仿宋_GB2312" w:cs="仿宋_GB2312" w:eastAsia="仿宋_GB2312"/>
                <w:sz w:val="21"/>
              </w:rPr>
              <w:t>200</w:t>
            </w:r>
            <w:r>
              <w:rPr>
                <w:rFonts w:ascii="仿宋_GB2312" w:hAnsi="仿宋_GB2312" w:cs="仿宋_GB2312" w:eastAsia="仿宋_GB2312"/>
                <w:sz w:val="21"/>
              </w:rPr>
              <w:t>米巡查线路内，腐败垃圾、粪污、积水腐烂物等蝇类孳生点位</w:t>
            </w:r>
            <w:r>
              <w:rPr>
                <w:rFonts w:ascii="仿宋_GB2312" w:hAnsi="仿宋_GB2312" w:cs="仿宋_GB2312" w:eastAsia="仿宋_GB2312"/>
                <w:sz w:val="21"/>
              </w:rPr>
              <w:t>≤3</w:t>
            </w:r>
            <w:r>
              <w:rPr>
                <w:rFonts w:ascii="仿宋_GB2312" w:hAnsi="仿宋_GB2312" w:cs="仿宋_GB2312" w:eastAsia="仿宋_GB2312"/>
                <w:sz w:val="21"/>
              </w:rPr>
              <w:t>处。</w:t>
            </w:r>
          </w:p>
          <w:p>
            <w:pPr>
              <w:pStyle w:val="null3"/>
              <w:spacing w:before="120" w:after="120"/>
              <w:ind w:firstLine="440"/>
              <w:jc w:val="left"/>
            </w:pPr>
            <w:r>
              <w:rPr>
                <w:rFonts w:ascii="仿宋_GB2312" w:hAnsi="仿宋_GB2312" w:cs="仿宋_GB2312" w:eastAsia="仿宋_GB2312"/>
                <w:sz w:val="21"/>
              </w:rPr>
              <w:t xml:space="preserve">3. </w:t>
            </w:r>
            <w:r>
              <w:rPr>
                <w:rFonts w:ascii="仿宋_GB2312" w:hAnsi="仿宋_GB2312" w:cs="仿宋_GB2312" w:eastAsia="仿宋_GB2312"/>
                <w:sz w:val="21"/>
              </w:rPr>
              <w:t>公共区域无大面积成蝇聚集，重点消杀区域成蝇数量可控，无扰民蝇类聚集现象。</w:t>
            </w:r>
          </w:p>
          <w:p>
            <w:pPr>
              <w:pStyle w:val="null3"/>
              <w:spacing w:before="120" w:after="120"/>
              <w:ind w:firstLine="440"/>
              <w:jc w:val="left"/>
            </w:pPr>
            <w:r>
              <w:rPr>
                <w:rFonts w:ascii="仿宋_GB2312" w:hAnsi="仿宋_GB2312" w:cs="仿宋_GB2312" w:eastAsia="仿宋_GB2312"/>
                <w:sz w:val="21"/>
                <w:b/>
              </w:rPr>
              <w:t>4、</w:t>
            </w:r>
            <w:r>
              <w:rPr>
                <w:rFonts w:ascii="仿宋_GB2312" w:hAnsi="仿宋_GB2312" w:cs="仿宋_GB2312" w:eastAsia="仿宋_GB2312"/>
                <w:sz w:val="21"/>
                <w:b/>
              </w:rPr>
              <w:t>灭蟑螂控制标准（</w:t>
            </w:r>
            <w:r>
              <w:rPr>
                <w:rFonts w:ascii="仿宋_GB2312" w:hAnsi="仿宋_GB2312" w:cs="仿宋_GB2312" w:eastAsia="仿宋_GB2312"/>
                <w:sz w:val="21"/>
                <w:b/>
              </w:rPr>
              <w:t>GB/T27773-2011</w:t>
            </w:r>
            <w:r>
              <w:rPr>
                <w:rFonts w:ascii="仿宋_GB2312" w:hAnsi="仿宋_GB2312" w:cs="仿宋_GB2312" w:eastAsia="仿宋_GB2312"/>
                <w:sz w:val="21"/>
                <w:b/>
              </w:rPr>
              <w:t>）</w:t>
            </w:r>
          </w:p>
          <w:p>
            <w:pPr>
              <w:pStyle w:val="null3"/>
              <w:spacing w:before="120" w:after="120"/>
              <w:ind w:firstLine="440"/>
              <w:jc w:val="left"/>
            </w:pPr>
            <w:r>
              <w:rPr>
                <w:rFonts w:ascii="仿宋_GB2312" w:hAnsi="仿宋_GB2312" w:cs="仿宋_GB2312" w:eastAsia="仿宋_GB2312"/>
                <w:sz w:val="21"/>
              </w:rPr>
              <w:t xml:space="preserve">1. </w:t>
            </w:r>
            <w:r>
              <w:rPr>
                <w:rFonts w:ascii="仿宋_GB2312" w:hAnsi="仿宋_GB2312" w:cs="仿宋_GB2312" w:eastAsia="仿宋_GB2312"/>
                <w:sz w:val="21"/>
              </w:rPr>
              <w:t>下水道、窨井、农贸市场地沟、公共卫生间等重点区域蟑迹（虫尸、卵鞘、蜕皮、粪便）阳性率</w:t>
            </w:r>
            <w:r>
              <w:rPr>
                <w:rFonts w:ascii="仿宋_GB2312" w:hAnsi="仿宋_GB2312" w:cs="仿宋_GB2312" w:eastAsia="仿宋_GB2312"/>
                <w:sz w:val="21"/>
              </w:rPr>
              <w:t>≤3%</w:t>
            </w:r>
            <w:r>
              <w:rPr>
                <w:rFonts w:ascii="仿宋_GB2312" w:hAnsi="仿宋_GB2312" w:cs="仿宋_GB2312" w:eastAsia="仿宋_GB2312"/>
                <w:sz w:val="21"/>
              </w:rPr>
              <w:t>。</w:t>
            </w:r>
          </w:p>
          <w:p>
            <w:pPr>
              <w:pStyle w:val="null3"/>
              <w:spacing w:before="120" w:after="120"/>
              <w:ind w:firstLine="440"/>
              <w:jc w:val="left"/>
            </w:pPr>
            <w:r>
              <w:rPr>
                <w:rFonts w:ascii="仿宋_GB2312" w:hAnsi="仿宋_GB2312" w:cs="仿宋_GB2312" w:eastAsia="仿宋_GB2312"/>
                <w:sz w:val="21"/>
              </w:rPr>
              <w:t xml:space="preserve">2. </w:t>
            </w:r>
            <w:r>
              <w:rPr>
                <w:rFonts w:ascii="仿宋_GB2312" w:hAnsi="仿宋_GB2312" w:cs="仿宋_GB2312" w:eastAsia="仿宋_GB2312"/>
                <w:sz w:val="21"/>
              </w:rPr>
              <w:t>服务区域内</w:t>
            </w:r>
            <w:r>
              <w:rPr>
                <w:rFonts w:ascii="仿宋_GB2312" w:hAnsi="仿宋_GB2312" w:cs="仿宋_GB2312" w:eastAsia="仿宋_GB2312"/>
                <w:sz w:val="21"/>
              </w:rPr>
              <w:t>，</w:t>
            </w:r>
            <w:r>
              <w:rPr>
                <w:rFonts w:ascii="仿宋_GB2312" w:hAnsi="仿宋_GB2312" w:cs="仿宋_GB2312" w:eastAsia="仿宋_GB2312"/>
                <w:sz w:val="21"/>
              </w:rPr>
              <w:t>小蠊单点位存活数量</w:t>
            </w:r>
            <w:r>
              <w:rPr>
                <w:rFonts w:ascii="仿宋_GB2312" w:hAnsi="仿宋_GB2312" w:cs="仿宋_GB2312" w:eastAsia="仿宋_GB2312"/>
                <w:sz w:val="21"/>
              </w:rPr>
              <w:t>≤10</w:t>
            </w:r>
            <w:r>
              <w:rPr>
                <w:rFonts w:ascii="仿宋_GB2312" w:hAnsi="仿宋_GB2312" w:cs="仿宋_GB2312" w:eastAsia="仿宋_GB2312"/>
                <w:sz w:val="21"/>
              </w:rPr>
              <w:t>只，大蠊单点位存活数量</w:t>
            </w:r>
            <w:r>
              <w:rPr>
                <w:rFonts w:ascii="仿宋_GB2312" w:hAnsi="仿宋_GB2312" w:cs="仿宋_GB2312" w:eastAsia="仿宋_GB2312"/>
                <w:sz w:val="21"/>
              </w:rPr>
              <w:t>≤5</w:t>
            </w:r>
            <w:r>
              <w:rPr>
                <w:rFonts w:ascii="仿宋_GB2312" w:hAnsi="仿宋_GB2312" w:cs="仿宋_GB2312" w:eastAsia="仿宋_GB2312"/>
                <w:sz w:val="21"/>
              </w:rPr>
              <w:t>只，全域严禁出现蟑螂聚集泛滥情况。</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32"/>
                <w:b/>
              </w:rPr>
              <w:t xml:space="preserve"> </w:t>
            </w:r>
            <w:r>
              <w:rPr>
                <w:rFonts w:ascii="仿宋_GB2312" w:hAnsi="仿宋_GB2312" w:cs="仿宋_GB2312" w:eastAsia="仿宋_GB2312"/>
                <w:sz w:val="21"/>
                <w:b/>
              </w:rPr>
              <w:t xml:space="preserve">   四</w:t>
            </w:r>
            <w:r>
              <w:rPr>
                <w:rFonts w:ascii="仿宋_GB2312" w:hAnsi="仿宋_GB2312" w:cs="仿宋_GB2312" w:eastAsia="仿宋_GB2312"/>
                <w:sz w:val="21"/>
                <w:b/>
              </w:rPr>
              <w:t>、</w:t>
            </w:r>
            <w:r>
              <w:rPr>
                <w:rFonts w:ascii="仿宋_GB2312" w:hAnsi="仿宋_GB2312" w:cs="仿宋_GB2312" w:eastAsia="仿宋_GB2312"/>
                <w:sz w:val="21"/>
                <w:b/>
              </w:rPr>
              <w:t>常态化作业频次规范</w:t>
            </w:r>
          </w:p>
          <w:p>
            <w:pPr>
              <w:pStyle w:val="null3"/>
              <w:spacing w:before="120" w:after="120"/>
              <w:ind w:firstLine="440"/>
              <w:jc w:val="left"/>
            </w:pPr>
            <w:r>
              <w:rPr>
                <w:rFonts w:ascii="仿宋_GB2312" w:hAnsi="仿宋_GB2312" w:cs="仿宋_GB2312" w:eastAsia="仿宋_GB2312"/>
                <w:sz w:val="21"/>
              </w:rPr>
              <w:t>供应商须严格按照以下频次开展常态化作业，高温高发期（每年</w:t>
            </w:r>
            <w:r>
              <w:rPr>
                <w:rFonts w:ascii="仿宋_GB2312" w:hAnsi="仿宋_GB2312" w:cs="仿宋_GB2312" w:eastAsia="仿宋_GB2312"/>
                <w:sz w:val="21"/>
              </w:rPr>
              <w:t>5</w:t>
            </w:r>
            <w:r>
              <w:rPr>
                <w:rFonts w:ascii="仿宋_GB2312" w:hAnsi="仿宋_GB2312" w:cs="仿宋_GB2312" w:eastAsia="仿宋_GB2312"/>
                <w:sz w:val="21"/>
              </w:rPr>
              <w:t>月</w:t>
            </w:r>
            <w:r>
              <w:rPr>
                <w:rFonts w:ascii="仿宋_GB2312" w:hAnsi="仿宋_GB2312" w:cs="仿宋_GB2312" w:eastAsia="仿宋_GB2312"/>
                <w:sz w:val="21"/>
              </w:rPr>
              <w:t>-10</w:t>
            </w:r>
            <w:r>
              <w:rPr>
                <w:rFonts w:ascii="仿宋_GB2312" w:hAnsi="仿宋_GB2312" w:cs="仿宋_GB2312" w:eastAsia="仿宋_GB2312"/>
                <w:sz w:val="21"/>
              </w:rPr>
              <w:t>月）加密作业频次，汛期、</w:t>
            </w:r>
            <w:r>
              <w:rPr>
                <w:rFonts w:ascii="仿宋_GB2312" w:hAnsi="仿宋_GB2312" w:cs="仿宋_GB2312" w:eastAsia="仿宋_GB2312"/>
                <w:sz w:val="21"/>
              </w:rPr>
              <w:t>创建</w:t>
            </w:r>
            <w:r>
              <w:rPr>
                <w:rFonts w:ascii="仿宋_GB2312" w:hAnsi="仿宋_GB2312" w:cs="仿宋_GB2312" w:eastAsia="仿宋_GB2312"/>
                <w:sz w:val="21"/>
              </w:rPr>
              <w:t>迎检期无条件增加巡回消杀频次，所有作业</w:t>
            </w:r>
            <w:r>
              <w:rPr>
                <w:rFonts w:ascii="仿宋_GB2312" w:hAnsi="仿宋_GB2312" w:cs="仿宋_GB2312" w:eastAsia="仿宋_GB2312"/>
                <w:sz w:val="21"/>
              </w:rPr>
              <w:t>资料</w:t>
            </w:r>
            <w:r>
              <w:rPr>
                <w:rFonts w:ascii="仿宋_GB2312" w:hAnsi="仿宋_GB2312" w:cs="仿宋_GB2312" w:eastAsia="仿宋_GB2312"/>
                <w:sz w:val="21"/>
              </w:rPr>
              <w:t>分类归档</w:t>
            </w:r>
            <w:r>
              <w:rPr>
                <w:rFonts w:ascii="仿宋_GB2312" w:hAnsi="仿宋_GB2312" w:cs="仿宋_GB2312" w:eastAsia="仿宋_GB2312"/>
                <w:sz w:val="21"/>
              </w:rPr>
              <w:t>，</w:t>
            </w:r>
            <w:r>
              <w:rPr>
                <w:rFonts w:ascii="仿宋_GB2312" w:hAnsi="仿宋_GB2312" w:cs="仿宋_GB2312" w:eastAsia="仿宋_GB2312"/>
                <w:sz w:val="21"/>
              </w:rPr>
              <w:t>按时上报相关资料。</w:t>
            </w:r>
          </w:p>
          <w:p>
            <w:pPr>
              <w:pStyle w:val="null3"/>
              <w:spacing w:before="120" w:after="120"/>
              <w:ind w:firstLine="440"/>
              <w:jc w:val="left"/>
            </w:pPr>
            <w:r>
              <w:rPr>
                <w:rFonts w:ascii="仿宋_GB2312" w:hAnsi="仿宋_GB2312" w:cs="仿宋_GB2312" w:eastAsia="仿宋_GB2312"/>
                <w:sz w:val="21"/>
              </w:rPr>
              <w:t>资料报送要求：每月</w:t>
            </w:r>
            <w:r>
              <w:rPr>
                <w:rFonts w:ascii="仿宋_GB2312" w:hAnsi="仿宋_GB2312" w:cs="仿宋_GB2312" w:eastAsia="仿宋_GB2312"/>
                <w:sz w:val="21"/>
              </w:rPr>
              <w:t xml:space="preserve"> 5 </w:t>
            </w:r>
            <w:r>
              <w:rPr>
                <w:rFonts w:ascii="仿宋_GB2312" w:hAnsi="仿宋_GB2312" w:cs="仿宋_GB2312" w:eastAsia="仿宋_GB2312"/>
                <w:sz w:val="21"/>
              </w:rPr>
              <w:t xml:space="preserve">日前报送上月作业报表、病媒生物密度监测数据；每季度首月 </w:t>
            </w:r>
            <w:r>
              <w:rPr>
                <w:rFonts w:ascii="仿宋_GB2312" w:hAnsi="仿宋_GB2312" w:cs="仿宋_GB2312" w:eastAsia="仿宋_GB2312"/>
                <w:sz w:val="21"/>
              </w:rPr>
              <w:t xml:space="preserve">10 </w:t>
            </w:r>
            <w:r>
              <w:rPr>
                <w:rFonts w:ascii="仿宋_GB2312" w:hAnsi="仿宋_GB2312" w:cs="仿宋_GB2312" w:eastAsia="仿宋_GB2312"/>
                <w:sz w:val="21"/>
              </w:rPr>
              <w:t xml:space="preserve">日前报送季度工作总结及台账汇总；重大活动、应急处置任务完成后 </w:t>
            </w:r>
            <w:r>
              <w:rPr>
                <w:rFonts w:ascii="仿宋_GB2312" w:hAnsi="仿宋_GB2312" w:cs="仿宋_GB2312" w:eastAsia="仿宋_GB2312"/>
                <w:sz w:val="21"/>
              </w:rPr>
              <w:t xml:space="preserve">24 </w:t>
            </w:r>
            <w:r>
              <w:rPr>
                <w:rFonts w:ascii="仿宋_GB2312" w:hAnsi="仿宋_GB2312" w:cs="仿宋_GB2312" w:eastAsia="仿宋_GB2312"/>
                <w:sz w:val="21"/>
              </w:rPr>
              <w:t>小时内报送专项总结。</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作业项目</w:t>
                  </w:r>
                </w:p>
              </w:tc>
              <w:tc>
                <w:tcPr>
                  <w:tcW w:type="dxa" w:w="63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常规季度频次（</w:t>
                  </w:r>
                  <w:r>
                    <w:rPr>
                      <w:rFonts w:ascii="仿宋_GB2312" w:hAnsi="仿宋_GB2312" w:cs="仿宋_GB2312" w:eastAsia="仿宋_GB2312"/>
                      <w:sz w:val="21"/>
                    </w:rPr>
                    <w:t>11</w:t>
                  </w:r>
                  <w:r>
                    <w:rPr>
                      <w:rFonts w:ascii="仿宋_GB2312" w:hAnsi="仿宋_GB2312" w:cs="仿宋_GB2312" w:eastAsia="仿宋_GB2312"/>
                      <w:sz w:val="21"/>
                    </w:rPr>
                    <w:t>月</w:t>
                  </w:r>
                  <w:r>
                    <w:rPr>
                      <w:rFonts w:ascii="仿宋_GB2312" w:hAnsi="仿宋_GB2312" w:cs="仿宋_GB2312" w:eastAsia="仿宋_GB2312"/>
                      <w:sz w:val="21"/>
                    </w:rPr>
                    <w:t>-</w:t>
                  </w:r>
                  <w:r>
                    <w:rPr>
                      <w:rFonts w:ascii="仿宋_GB2312" w:hAnsi="仿宋_GB2312" w:cs="仿宋_GB2312" w:eastAsia="仿宋_GB2312"/>
                      <w:sz w:val="21"/>
                    </w:rPr>
                    <w:t>次年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63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高发期频次（</w:t>
                  </w:r>
                  <w:r>
                    <w:rPr>
                      <w:rFonts w:ascii="仿宋_GB2312" w:hAnsi="仿宋_GB2312" w:cs="仿宋_GB2312" w:eastAsia="仿宋_GB2312"/>
                      <w:sz w:val="21"/>
                    </w:rPr>
                    <w:t>5</w:t>
                  </w:r>
                  <w:r>
                    <w:rPr>
                      <w:rFonts w:ascii="仿宋_GB2312" w:hAnsi="仿宋_GB2312" w:cs="仿宋_GB2312" w:eastAsia="仿宋_GB2312"/>
                      <w:sz w:val="21"/>
                    </w:rPr>
                    <w:t>月</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63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作业要求</w:t>
                  </w:r>
                </w:p>
              </w:tc>
            </w:tr>
            <w:tr>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全域灭鼠巡查补饵</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每月</w:t>
                  </w:r>
                  <w:r>
                    <w:rPr>
                      <w:rFonts w:ascii="仿宋_GB2312" w:hAnsi="仿宋_GB2312" w:cs="仿宋_GB2312" w:eastAsia="仿宋_GB2312"/>
                      <w:sz w:val="21"/>
                    </w:rPr>
                    <w:t>1</w:t>
                  </w:r>
                  <w:r>
                    <w:rPr>
                      <w:rFonts w:ascii="仿宋_GB2312" w:hAnsi="仿宋_GB2312" w:cs="仿宋_GB2312" w:eastAsia="仿宋_GB2312"/>
                      <w:sz w:val="21"/>
                    </w:rPr>
                    <w:t>次全域巡查、补饵、更换失效毒饵；</w:t>
                  </w:r>
                  <w:r>
                    <w:rPr>
                      <w:rFonts w:ascii="仿宋_GB2312" w:hAnsi="仿宋_GB2312" w:cs="仿宋_GB2312" w:eastAsia="仿宋_GB2312"/>
                      <w:sz w:val="21"/>
                    </w:rPr>
                    <w:t>3</w:t>
                  </w:r>
                  <w:r>
                    <w:rPr>
                      <w:rFonts w:ascii="仿宋_GB2312" w:hAnsi="仿宋_GB2312" w:cs="仿宋_GB2312" w:eastAsia="仿宋_GB2312"/>
                      <w:sz w:val="21"/>
                    </w:rPr>
                    <w:t>月、</w:t>
                  </w:r>
                  <w:r>
                    <w:rPr>
                      <w:rFonts w:ascii="仿宋_GB2312" w:hAnsi="仿宋_GB2312" w:cs="仿宋_GB2312" w:eastAsia="仿宋_GB2312"/>
                      <w:sz w:val="21"/>
                    </w:rPr>
                    <w:t>11</w:t>
                  </w:r>
                  <w:r>
                    <w:rPr>
                      <w:rFonts w:ascii="仿宋_GB2312" w:hAnsi="仿宋_GB2312" w:cs="仿宋_GB2312" w:eastAsia="仿宋_GB2312"/>
                      <w:sz w:val="21"/>
                    </w:rPr>
                    <w:t>月开展春秋两季全域集中灭鼠专项行动</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每半月</w:t>
                  </w:r>
                  <w:r>
                    <w:rPr>
                      <w:rFonts w:ascii="仿宋_GB2312" w:hAnsi="仿宋_GB2312" w:cs="仿宋_GB2312" w:eastAsia="仿宋_GB2312"/>
                      <w:sz w:val="21"/>
                    </w:rPr>
                    <w:t>1</w:t>
                  </w:r>
                  <w:r>
                    <w:rPr>
                      <w:rFonts w:ascii="仿宋_GB2312" w:hAnsi="仿宋_GB2312" w:cs="仿宋_GB2312" w:eastAsia="仿宋_GB2312"/>
                      <w:sz w:val="21"/>
                    </w:rPr>
                    <w:t>次重点区域加密补饵、毒饵盒排查维护</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破损、丢失、移位毒饵盒</w:t>
                  </w:r>
                  <w:r>
                    <w:rPr>
                      <w:rFonts w:ascii="仿宋_GB2312" w:hAnsi="仿宋_GB2312" w:cs="仿宋_GB2312" w:eastAsia="仿宋_GB2312"/>
                      <w:sz w:val="21"/>
                    </w:rPr>
                    <w:t>3</w:t>
                  </w:r>
                  <w:r>
                    <w:rPr>
                      <w:rFonts w:ascii="仿宋_GB2312" w:hAnsi="仿宋_GB2312" w:cs="仿宋_GB2312" w:eastAsia="仿宋_GB2312"/>
                      <w:sz w:val="21"/>
                    </w:rPr>
                    <w:t>日内补齐复位，逾期按违规处理</w:t>
                  </w:r>
                  <w:r>
                    <w:rPr>
                      <w:rFonts w:ascii="仿宋_GB2312" w:hAnsi="仿宋_GB2312" w:cs="仿宋_GB2312" w:eastAsia="仿宋_GB2312"/>
                      <w:sz w:val="21"/>
                    </w:rPr>
                    <w:t>，</w:t>
                  </w:r>
                  <w:r>
                    <w:rPr>
                      <w:rFonts w:ascii="仿宋_GB2312" w:hAnsi="仿宋_GB2312" w:cs="仿宋_GB2312" w:eastAsia="仿宋_GB2312"/>
                      <w:sz w:val="21"/>
                    </w:rPr>
                    <w:t>台账实时更新</w:t>
                  </w:r>
                </w:p>
              </w:tc>
            </w:tr>
            <w:tr>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全域成蚊空间喷雾消杀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每月</w:t>
                  </w:r>
                  <w:r>
                    <w:rPr>
                      <w:rFonts w:ascii="仿宋_GB2312" w:hAnsi="仿宋_GB2312" w:cs="仿宋_GB2312" w:eastAsia="仿宋_GB2312"/>
                      <w:sz w:val="21"/>
                    </w:rPr>
                    <w:t>2</w:t>
                  </w:r>
                  <w:r>
                    <w:rPr>
                      <w:rFonts w:ascii="仿宋_GB2312" w:hAnsi="仿宋_GB2312" w:cs="仿宋_GB2312" w:eastAsia="仿宋_GB2312"/>
                      <w:sz w:val="21"/>
                    </w:rPr>
                    <w:t>次全域低空喷雾消杀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每周</w:t>
                  </w:r>
                  <w:r>
                    <w:rPr>
                      <w:rFonts w:ascii="仿宋_GB2312" w:hAnsi="仿宋_GB2312" w:cs="仿宋_GB2312" w:eastAsia="仿宋_GB2312"/>
                      <w:sz w:val="21"/>
                    </w:rPr>
                    <w:t>1</w:t>
                  </w:r>
                  <w:r>
                    <w:rPr>
                      <w:rFonts w:ascii="仿宋_GB2312" w:hAnsi="仿宋_GB2312" w:cs="仿宋_GB2312" w:eastAsia="仿宋_GB2312"/>
                      <w:sz w:val="21"/>
                    </w:rPr>
                    <w:t>次全域消杀，积水点位、河道周边重点加密</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优先傍晚蚊虫活跃时段作业，避开人流高峰</w:t>
                  </w:r>
                </w:p>
              </w:tc>
            </w:tr>
            <w:tr>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水体灭孑孓消杀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每月</w:t>
                  </w:r>
                  <w:r>
                    <w:rPr>
                      <w:rFonts w:ascii="仿宋_GB2312" w:hAnsi="仿宋_GB2312" w:cs="仿宋_GB2312" w:eastAsia="仿宋_GB2312"/>
                      <w:sz w:val="21"/>
                    </w:rPr>
                    <w:t>1</w:t>
                  </w:r>
                  <w:r>
                    <w:rPr>
                      <w:rFonts w:ascii="仿宋_GB2312" w:hAnsi="仿宋_GB2312" w:cs="仿宋_GB2312" w:eastAsia="仿宋_GB2312"/>
                      <w:sz w:val="21"/>
                    </w:rPr>
                    <w:t>次河道、池塘、窨井、积水坑塘药剂投放</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每</w:t>
                  </w:r>
                  <w:r>
                    <w:rPr>
                      <w:rFonts w:ascii="仿宋_GB2312" w:hAnsi="仿宋_GB2312" w:cs="仿宋_GB2312" w:eastAsia="仿宋_GB2312"/>
                      <w:sz w:val="21"/>
                    </w:rPr>
                    <w:t>10</w:t>
                  </w:r>
                  <w:r>
                    <w:rPr>
                      <w:rFonts w:ascii="仿宋_GB2312" w:hAnsi="仿宋_GB2312" w:cs="仿宋_GB2312" w:eastAsia="仿宋_GB2312"/>
                      <w:sz w:val="21"/>
                    </w:rPr>
                    <w:t>天</w:t>
                  </w:r>
                  <w:r>
                    <w:rPr>
                      <w:rFonts w:ascii="仿宋_GB2312" w:hAnsi="仿宋_GB2312" w:cs="仿宋_GB2312" w:eastAsia="仿宋_GB2312"/>
                      <w:sz w:val="21"/>
                    </w:rPr>
                    <w:t>1</w:t>
                  </w:r>
                  <w:r>
                    <w:rPr>
                      <w:rFonts w:ascii="仿宋_GB2312" w:hAnsi="仿宋_GB2312" w:cs="仿宋_GB2312" w:eastAsia="仿宋_GB2312"/>
                      <w:sz w:val="21"/>
                    </w:rPr>
                    <w:t>次全覆盖消杀投药</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汛期暴雨后</w:t>
                  </w:r>
                  <w:r>
                    <w:rPr>
                      <w:rFonts w:ascii="仿宋_GB2312" w:hAnsi="仿宋_GB2312" w:cs="仿宋_GB2312" w:eastAsia="仿宋_GB2312"/>
                      <w:sz w:val="21"/>
                    </w:rPr>
                    <w:t>24</w:t>
                  </w:r>
                  <w:r>
                    <w:rPr>
                      <w:rFonts w:ascii="仿宋_GB2312" w:hAnsi="仿宋_GB2312" w:cs="仿宋_GB2312" w:eastAsia="仿宋_GB2312"/>
                      <w:sz w:val="21"/>
                    </w:rPr>
                    <w:t>小时内完成全域积水点位专项消杀</w:t>
                  </w:r>
                  <w:r>
                    <w:rPr>
                      <w:rFonts w:ascii="仿宋_GB2312" w:hAnsi="仿宋_GB2312" w:cs="仿宋_GB2312" w:eastAsia="仿宋_GB2312"/>
                      <w:sz w:val="21"/>
                    </w:rPr>
                    <w:t>，并逐一登记复查</w:t>
                  </w:r>
                </w:p>
              </w:tc>
            </w:tr>
            <w:tr>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重点区域灭蝇消杀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每周</w:t>
                  </w:r>
                  <w:r>
                    <w:rPr>
                      <w:rFonts w:ascii="仿宋_GB2312" w:hAnsi="仿宋_GB2312" w:cs="仿宋_GB2312" w:eastAsia="仿宋_GB2312"/>
                      <w:sz w:val="21"/>
                    </w:rPr>
                    <w:t>1</w:t>
                  </w:r>
                  <w:r>
                    <w:rPr>
                      <w:rFonts w:ascii="仿宋_GB2312" w:hAnsi="仿宋_GB2312" w:cs="仿宋_GB2312" w:eastAsia="仿宋_GB2312"/>
                      <w:sz w:val="21"/>
                    </w:rPr>
                    <w:t>次公厕、垃圾站、果皮箱周边滞留喷洒</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每</w:t>
                  </w:r>
                  <w:r>
                    <w:rPr>
                      <w:rFonts w:ascii="仿宋_GB2312" w:hAnsi="仿宋_GB2312" w:cs="仿宋_GB2312" w:eastAsia="仿宋_GB2312"/>
                      <w:sz w:val="21"/>
                    </w:rPr>
                    <w:t>3</w:t>
                  </w:r>
                  <w:r>
                    <w:rPr>
                      <w:rFonts w:ascii="仿宋_GB2312" w:hAnsi="仿宋_GB2312" w:cs="仿宋_GB2312" w:eastAsia="仿宋_GB2312"/>
                      <w:sz w:val="21"/>
                    </w:rPr>
                    <w:t>天</w:t>
                  </w:r>
                  <w:r>
                    <w:rPr>
                      <w:rFonts w:ascii="仿宋_GB2312" w:hAnsi="仿宋_GB2312" w:cs="仿宋_GB2312" w:eastAsia="仿宋_GB2312"/>
                      <w:sz w:val="21"/>
                    </w:rPr>
                    <w:t>1</w:t>
                  </w:r>
                  <w:r>
                    <w:rPr>
                      <w:rFonts w:ascii="仿宋_GB2312" w:hAnsi="仿宋_GB2312" w:cs="仿宋_GB2312" w:eastAsia="仿宋_GB2312"/>
                      <w:sz w:val="21"/>
                    </w:rPr>
                    <w:t>次重点点位加密消杀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同步清理孳生垃圾，从源头控制蝇类滋生</w:t>
                  </w:r>
                </w:p>
              </w:tc>
            </w:tr>
            <w:tr>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下水道灭蟑消杀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每月</w:t>
                  </w:r>
                  <w:r>
                    <w:rPr>
                      <w:rFonts w:ascii="仿宋_GB2312" w:hAnsi="仿宋_GB2312" w:cs="仿宋_GB2312" w:eastAsia="仿宋_GB2312"/>
                      <w:sz w:val="21"/>
                    </w:rPr>
                    <w:t>1</w:t>
                  </w:r>
                  <w:r>
                    <w:rPr>
                      <w:rFonts w:ascii="仿宋_GB2312" w:hAnsi="仿宋_GB2312" w:cs="仿宋_GB2312" w:eastAsia="仿宋_GB2312"/>
                      <w:sz w:val="21"/>
                    </w:rPr>
                    <w:t>次管网、地沟投药消杀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每半月</w:t>
                  </w:r>
                  <w:r>
                    <w:rPr>
                      <w:rFonts w:ascii="仿宋_GB2312" w:hAnsi="仿宋_GB2312" w:cs="仿宋_GB2312" w:eastAsia="仿宋_GB2312"/>
                      <w:sz w:val="21"/>
                    </w:rPr>
                    <w:t>1</w:t>
                  </w:r>
                  <w:r>
                    <w:rPr>
                      <w:rFonts w:ascii="仿宋_GB2312" w:hAnsi="仿宋_GB2312" w:cs="仿宋_GB2312" w:eastAsia="仿宋_GB2312"/>
                      <w:sz w:val="21"/>
                    </w:rPr>
                    <w:t>次农贸市场、老旧小区管网加密作业</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兼顾灭鼠、灭蟑双重效果，消除管道虫害栖息环境</w:t>
                  </w:r>
                </w:p>
              </w:tc>
            </w:tr>
            <w:tr>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孳生地排查整治</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每季度</w:t>
                  </w:r>
                  <w:r>
                    <w:rPr>
                      <w:rFonts w:ascii="仿宋_GB2312" w:hAnsi="仿宋_GB2312" w:cs="仿宋_GB2312" w:eastAsia="仿宋_GB2312"/>
                      <w:sz w:val="21"/>
                    </w:rPr>
                    <w:t>1</w:t>
                  </w:r>
                  <w:r>
                    <w:rPr>
                      <w:rFonts w:ascii="仿宋_GB2312" w:hAnsi="仿宋_GB2312" w:cs="仿宋_GB2312" w:eastAsia="仿宋_GB2312"/>
                      <w:sz w:val="21"/>
                    </w:rPr>
                    <w:t>次全域孳生地普查（</w:t>
                  </w:r>
                  <w:r>
                    <w:rPr>
                      <w:rFonts w:ascii="仿宋_GB2312" w:hAnsi="仿宋_GB2312" w:cs="仿宋_GB2312" w:eastAsia="仿宋_GB2312"/>
                      <w:sz w:val="21"/>
                    </w:rPr>
                    <w:t>3/6/9/12</w:t>
                  </w:r>
                  <w:r>
                    <w:rPr>
                      <w:rFonts w:ascii="仿宋_GB2312" w:hAnsi="仿宋_GB2312" w:cs="仿宋_GB2312" w:eastAsia="仿宋_GB2312"/>
                      <w:sz w:val="21"/>
                    </w:rPr>
                    <w:t>月），建立台账、闭环整改</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每月抽查重点积水、垃圾点位，动态清零孳生地</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执行 “发现点位→登记→处</w:t>
                  </w:r>
                  <w:r>
                    <w:rPr>
                      <w:rFonts w:ascii="仿宋_GB2312" w:hAnsi="仿宋_GB2312" w:cs="仿宋_GB2312" w:eastAsia="仿宋_GB2312"/>
                      <w:sz w:val="21"/>
                    </w:rPr>
                    <w:t>置→复查→销号” 流程，全程留档备查</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 xml:space="preserve">     五</w:t>
            </w:r>
            <w:r>
              <w:rPr>
                <w:rFonts w:ascii="仿宋_GB2312" w:hAnsi="仿宋_GB2312" w:cs="仿宋_GB2312" w:eastAsia="仿宋_GB2312"/>
                <w:sz w:val="21"/>
                <w:b/>
              </w:rPr>
              <w:t>、</w:t>
            </w:r>
            <w:r>
              <w:rPr>
                <w:rFonts w:ascii="仿宋_GB2312" w:hAnsi="仿宋_GB2312" w:cs="仿宋_GB2312" w:eastAsia="仿宋_GB2312"/>
                <w:sz w:val="21"/>
                <w:b/>
              </w:rPr>
              <w:t>应急处置要求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服务期内遇蚊虫暴发、鼠患扰民、病害虫突发、创</w:t>
            </w:r>
            <w:r>
              <w:rPr>
                <w:rFonts w:ascii="仿宋_GB2312" w:hAnsi="仿宋_GB2312" w:cs="仿宋_GB2312" w:eastAsia="仿宋_GB2312"/>
                <w:sz w:val="21"/>
              </w:rPr>
              <w:t>建</w:t>
            </w:r>
            <w:r>
              <w:rPr>
                <w:rFonts w:ascii="仿宋_GB2312" w:hAnsi="仿宋_GB2312" w:cs="仿宋_GB2312" w:eastAsia="仿宋_GB2312"/>
                <w:sz w:val="21"/>
              </w:rPr>
              <w:t>突击检查、重大活动保障、传染病防控等应急任务，</w:t>
            </w:r>
            <w:r>
              <w:rPr>
                <w:rFonts w:ascii="仿宋_GB2312" w:hAnsi="仿宋_GB2312" w:cs="仿宋_GB2312" w:eastAsia="仿宋_GB2312"/>
                <w:sz w:val="21"/>
              </w:rPr>
              <w:t>中标</w:t>
            </w:r>
            <w:r>
              <w:rPr>
                <w:rFonts w:ascii="仿宋_GB2312" w:hAnsi="仿宋_GB2312" w:cs="仿宋_GB2312" w:eastAsia="仿宋_GB2312"/>
                <w:sz w:val="21"/>
              </w:rPr>
              <w:t>供应商须</w:t>
            </w:r>
            <w:r>
              <w:rPr>
                <w:rFonts w:ascii="仿宋_GB2312" w:hAnsi="仿宋_GB2312" w:cs="仿宋_GB2312" w:eastAsia="仿宋_GB2312"/>
                <w:sz w:val="21"/>
                <w:b/>
              </w:rPr>
              <w:t xml:space="preserve">2 </w:t>
            </w:r>
            <w:r>
              <w:rPr>
                <w:rFonts w:ascii="仿宋_GB2312" w:hAnsi="仿宋_GB2312" w:cs="仿宋_GB2312" w:eastAsia="仿宋_GB2312"/>
                <w:sz w:val="21"/>
                <w:b/>
              </w:rPr>
              <w:t>小时内人员、设备、药剂到场</w:t>
            </w:r>
            <w:r>
              <w:rPr>
                <w:rFonts w:ascii="仿宋_GB2312" w:hAnsi="仿宋_GB2312" w:cs="仿宋_GB2312" w:eastAsia="仿宋_GB2312"/>
                <w:sz w:val="21"/>
              </w:rPr>
              <w:t>，</w:t>
            </w:r>
            <w:r>
              <w:rPr>
                <w:rFonts w:ascii="仿宋_GB2312" w:hAnsi="仿宋_GB2312" w:cs="仿宋_GB2312" w:eastAsia="仿宋_GB2312"/>
                <w:sz w:val="21"/>
              </w:rPr>
              <w:t>无偿</w:t>
            </w:r>
            <w:r>
              <w:rPr>
                <w:rFonts w:ascii="仿宋_GB2312" w:hAnsi="仿宋_GB2312" w:cs="仿宋_GB2312" w:eastAsia="仿宋_GB2312"/>
                <w:sz w:val="21"/>
              </w:rPr>
              <w:t>开展应急消杀作业，</w:t>
            </w:r>
            <w:r>
              <w:rPr>
                <w:rFonts w:ascii="仿宋_GB2312" w:hAnsi="仿宋_GB2312" w:cs="仿宋_GB2312" w:eastAsia="仿宋_GB2312"/>
                <w:sz w:val="21"/>
              </w:rPr>
              <w:t>作业</w:t>
            </w:r>
            <w:r>
              <w:rPr>
                <w:rFonts w:ascii="仿宋_GB2312" w:hAnsi="仿宋_GB2312" w:cs="仿宋_GB2312" w:eastAsia="仿宋_GB2312"/>
                <w:sz w:val="21"/>
              </w:rPr>
              <w:t>次数</w:t>
            </w:r>
            <w:r>
              <w:rPr>
                <w:rFonts w:ascii="仿宋_GB2312" w:hAnsi="仿宋_GB2312" w:cs="仿宋_GB2312" w:eastAsia="仿宋_GB2312"/>
                <w:sz w:val="21"/>
              </w:rPr>
              <w:t>不限</w:t>
            </w:r>
            <w:r>
              <w:rPr>
                <w:rFonts w:ascii="仿宋_GB2312" w:hAnsi="仿宋_GB2312" w:cs="仿宋_GB2312" w:eastAsia="仿宋_GB2312"/>
                <w:sz w:val="21"/>
              </w:rPr>
              <w:t>，全程保障辖区公共卫生安全。</w:t>
            </w:r>
          </w:p>
          <w:p>
            <w:pPr>
              <w:pStyle w:val="null3"/>
              <w:spacing w:before="120" w:after="120"/>
              <w:ind w:firstLine="440"/>
              <w:jc w:val="left"/>
            </w:pPr>
            <w:r>
              <w:rPr>
                <w:rFonts w:ascii="仿宋_GB2312" w:hAnsi="仿宋_GB2312" w:cs="仿宋_GB2312" w:eastAsia="仿宋_GB2312"/>
                <w:sz w:val="21"/>
              </w:rPr>
              <w:t>应急处置完成后</w:t>
            </w:r>
            <w:r>
              <w:rPr>
                <w:rFonts w:ascii="仿宋_GB2312" w:hAnsi="仿宋_GB2312" w:cs="仿宋_GB2312" w:eastAsia="仿宋_GB2312"/>
                <w:sz w:val="21"/>
              </w:rPr>
              <w:t xml:space="preserve">12 </w:t>
            </w:r>
            <w:r>
              <w:rPr>
                <w:rFonts w:ascii="仿宋_GB2312" w:hAnsi="仿宋_GB2312" w:cs="仿宋_GB2312" w:eastAsia="仿宋_GB2312"/>
                <w:sz w:val="21"/>
              </w:rPr>
              <w:t>小时内提交应急处置报告</w:t>
            </w:r>
            <w:r>
              <w:rPr>
                <w:rFonts w:ascii="仿宋_GB2312" w:hAnsi="仿宋_GB2312" w:cs="仿宋_GB2312" w:eastAsia="仿宋_GB2312"/>
                <w:sz w:val="21"/>
              </w:rPr>
              <w:t>及</w:t>
            </w:r>
            <w:r>
              <w:rPr>
                <w:rFonts w:ascii="仿宋_GB2312" w:hAnsi="仿宋_GB2312" w:cs="仿宋_GB2312" w:eastAsia="仿宋_GB2312"/>
                <w:sz w:val="21"/>
              </w:rPr>
              <w:t>现场影像资料。</w:t>
            </w:r>
          </w:p>
          <w:p>
            <w:pPr>
              <w:pStyle w:val="null3"/>
              <w:spacing w:before="120" w:after="120"/>
              <w:ind w:firstLine="440"/>
              <w:jc w:val="left"/>
            </w:pPr>
            <w:r>
              <w:rPr>
                <w:rFonts w:ascii="仿宋_GB2312" w:hAnsi="仿宋_GB2312" w:cs="仿宋_GB2312" w:eastAsia="仿宋_GB2312"/>
                <w:sz w:val="21"/>
              </w:rPr>
              <w:t>无故超时响应、拒绝应急任务，视为严重违约，采购人有权扣除履约保证金、中止合同。</w:t>
            </w:r>
          </w:p>
          <w:p>
            <w:pPr>
              <w:pStyle w:val="null3"/>
              <w:spacing w:before="120" w:after="120"/>
              <w:ind w:firstLine="440"/>
              <w:jc w:val="left"/>
            </w:pPr>
            <w:r>
              <w:rPr>
                <w:rFonts w:ascii="仿宋_GB2312" w:hAnsi="仿宋_GB2312" w:cs="仿宋_GB2312" w:eastAsia="仿宋_GB2312"/>
                <w:sz w:val="21"/>
              </w:rPr>
              <w:t>应急场景包含：登革热、鼠疫防控、蚊虫聚集扰民、大型会议</w:t>
            </w:r>
            <w:r>
              <w:rPr>
                <w:rFonts w:ascii="仿宋_GB2312" w:hAnsi="仿宋_GB2312" w:cs="仿宋_GB2312" w:eastAsia="仿宋_GB2312"/>
                <w:sz w:val="21"/>
              </w:rPr>
              <w:t xml:space="preserve"> / </w:t>
            </w:r>
            <w:r>
              <w:rPr>
                <w:rFonts w:ascii="仿宋_GB2312" w:hAnsi="仿宋_GB2312" w:cs="仿宋_GB2312" w:eastAsia="仿宋_GB2312"/>
                <w:sz w:val="21"/>
              </w:rPr>
              <w:t>节庆活动、国家健康县及创卫突击检查等。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 xml:space="preserve">      六、服务期限</w:t>
            </w:r>
          </w:p>
          <w:p>
            <w:pPr>
              <w:pStyle w:val="null3"/>
              <w:spacing w:before="120" w:after="120"/>
              <w:ind w:firstLine="660"/>
              <w:jc w:val="left"/>
            </w:pPr>
            <w:r>
              <w:rPr>
                <w:rFonts w:ascii="仿宋_GB2312" w:hAnsi="仿宋_GB2312" w:cs="仿宋_GB2312" w:eastAsia="仿宋_GB2312"/>
                <w:sz w:val="21"/>
              </w:rPr>
              <w:t>服务周期为</w:t>
            </w:r>
            <w:r>
              <w:rPr>
                <w:rFonts w:ascii="仿宋_GB2312" w:hAnsi="仿宋_GB2312" w:cs="仿宋_GB2312" w:eastAsia="仿宋_GB2312"/>
                <w:sz w:val="21"/>
              </w:rPr>
              <w:t>2026-2027年度。</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rPr>
              <w:t xml:space="preserve">    七、人员配置要求</w:t>
            </w:r>
          </w:p>
          <w:p>
            <w:pPr>
              <w:pStyle w:val="null3"/>
              <w:spacing w:before="120" w:after="120"/>
              <w:ind w:firstLine="480"/>
              <w:jc w:val="left"/>
            </w:pPr>
            <w:r>
              <w:rPr>
                <w:rFonts w:ascii="仿宋_GB2312" w:hAnsi="仿宋_GB2312" w:cs="仿宋_GB2312" w:eastAsia="仿宋_GB2312"/>
                <w:sz w:val="21"/>
              </w:rPr>
              <w:t>配备专职项目管理人员</w:t>
            </w:r>
            <w:r>
              <w:rPr>
                <w:rFonts w:ascii="仿宋_GB2312" w:hAnsi="仿宋_GB2312" w:cs="仿宋_GB2312" w:eastAsia="仿宋_GB2312"/>
                <w:sz w:val="21"/>
              </w:rPr>
              <w:t xml:space="preserve"> 1 名，负责日常调度、台账管理、对接迎检；</w:t>
            </w:r>
          </w:p>
          <w:p>
            <w:pPr>
              <w:pStyle w:val="null3"/>
              <w:spacing w:before="120" w:after="120"/>
              <w:ind w:firstLine="480"/>
              <w:jc w:val="left"/>
            </w:pPr>
            <w:r>
              <w:rPr>
                <w:rFonts w:ascii="仿宋_GB2312" w:hAnsi="仿宋_GB2312" w:cs="仿宋_GB2312" w:eastAsia="仿宋_GB2312"/>
                <w:sz w:val="21"/>
              </w:rPr>
              <w:t>固定一线作业人员不少于</w:t>
            </w:r>
            <w:r>
              <w:rPr>
                <w:rFonts w:ascii="仿宋_GB2312" w:hAnsi="仿宋_GB2312" w:cs="仿宋_GB2312" w:eastAsia="仿宋_GB2312"/>
                <w:sz w:val="21"/>
              </w:rPr>
              <w:t>4 人，根据作业高峰期、应急任务可增配人员；</w:t>
            </w:r>
          </w:p>
          <w:p>
            <w:pPr>
              <w:pStyle w:val="null3"/>
              <w:spacing w:before="120" w:after="120"/>
              <w:ind w:firstLine="480"/>
              <w:jc w:val="left"/>
            </w:pPr>
            <w:r>
              <w:rPr>
                <w:rFonts w:ascii="仿宋_GB2312" w:hAnsi="仿宋_GB2312" w:cs="仿宋_GB2312" w:eastAsia="仿宋_GB2312"/>
                <w:sz w:val="21"/>
              </w:rPr>
              <w:t>所有作业人员必须持有病媒生物防制相关证书，上岗统一着装、佩戴工牌；</w:t>
            </w:r>
          </w:p>
          <w:p>
            <w:pPr>
              <w:pStyle w:val="null3"/>
              <w:spacing w:before="120" w:after="120"/>
              <w:ind w:firstLine="480"/>
              <w:jc w:val="left"/>
            </w:pPr>
            <w:r>
              <w:rPr>
                <w:rFonts w:ascii="仿宋_GB2312" w:hAnsi="仿宋_GB2312" w:cs="仿宋_GB2312" w:eastAsia="仿宋_GB2312"/>
                <w:sz w:val="21"/>
              </w:rPr>
              <w:t>定期开展安全操作、药剂使用、应急处置培训，留存培训记录。</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b/>
              </w:rPr>
              <w:t xml:space="preserve">     八、设备与药剂要求</w:t>
            </w:r>
          </w:p>
          <w:p>
            <w:pPr>
              <w:pStyle w:val="null3"/>
              <w:spacing w:before="120" w:after="120"/>
              <w:ind w:firstLine="480"/>
              <w:jc w:val="left"/>
            </w:pPr>
            <w:r>
              <w:rPr>
                <w:rFonts w:ascii="仿宋_GB2312" w:hAnsi="仿宋_GB2312" w:cs="仿宋_GB2312" w:eastAsia="仿宋_GB2312"/>
                <w:sz w:val="21"/>
              </w:rPr>
              <w:t>消杀设备：须配备符合作业要求的超低容量喷雾器、滞留喷雾器、投药工具、巡查车辆、监测器材等，设备定期检修，保证完好可用。</w:t>
            </w:r>
          </w:p>
          <w:p>
            <w:pPr>
              <w:pStyle w:val="null3"/>
              <w:spacing w:before="120" w:after="120"/>
              <w:ind w:firstLine="480"/>
              <w:jc w:val="left"/>
            </w:pPr>
            <w:r>
              <w:rPr>
                <w:rFonts w:ascii="仿宋_GB2312" w:hAnsi="仿宋_GB2312" w:cs="仿宋_GB2312" w:eastAsia="仿宋_GB2312"/>
                <w:sz w:val="21"/>
              </w:rPr>
              <w:t>消杀药剂：所使用药剂必须具备农药登记证、生产许可证、产品质量检验报告三证；选用低毒、低残留、环保型药剂，符合国家公共场所卫生标准；严禁使用国家明令禁止的违禁药剂。</w:t>
            </w:r>
          </w:p>
          <w:p>
            <w:pPr>
              <w:pStyle w:val="null3"/>
              <w:spacing w:before="120" w:after="120"/>
              <w:ind w:firstLine="480"/>
              <w:jc w:val="left"/>
            </w:pPr>
            <w:r>
              <w:rPr>
                <w:rFonts w:ascii="仿宋_GB2312" w:hAnsi="仿宋_GB2312" w:cs="仿宋_GB2312" w:eastAsia="仿宋_GB2312"/>
                <w:sz w:val="21"/>
              </w:rPr>
              <w:t>进场前须将药剂、器械相关资质文件报送采购人及主管部门备案。</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spacing w:before="300" w:after="120"/>
              <w:ind w:firstLine="600"/>
              <w:jc w:val="left"/>
            </w:pPr>
            <w:r>
              <w:rPr>
                <w:rFonts w:ascii="仿宋_GB2312" w:hAnsi="仿宋_GB2312" w:cs="仿宋_GB2312" w:eastAsia="仿宋_GB2312"/>
                <w:sz w:val="21"/>
                <w:b/>
              </w:rPr>
              <w:t>九</w:t>
            </w:r>
            <w:r>
              <w:rPr>
                <w:rFonts w:ascii="仿宋_GB2312" w:hAnsi="仿宋_GB2312" w:cs="仿宋_GB2312" w:eastAsia="仿宋_GB2312"/>
                <w:sz w:val="21"/>
                <w:b/>
              </w:rPr>
              <w:t>、</w:t>
            </w:r>
            <w:r>
              <w:rPr>
                <w:rFonts w:ascii="仿宋_GB2312" w:hAnsi="仿宋_GB2312" w:cs="仿宋_GB2312" w:eastAsia="仿宋_GB2312"/>
                <w:sz w:val="21"/>
                <w:b/>
              </w:rPr>
              <w:t>安全管理要求</w:t>
            </w:r>
          </w:p>
          <w:p>
            <w:pPr>
              <w:pStyle w:val="null3"/>
              <w:spacing w:before="120" w:after="120"/>
              <w:ind w:firstLine="480"/>
              <w:jc w:val="left"/>
            </w:pPr>
            <w:r>
              <w:rPr>
                <w:rFonts w:ascii="仿宋_GB2312" w:hAnsi="仿宋_GB2312" w:cs="仿宋_GB2312" w:eastAsia="仿宋_GB2312"/>
                <w:sz w:val="21"/>
              </w:rPr>
              <w:t>作业时在作业区域设置明显警示标识，避开人员密集时段，防范人畜误食、人员接触药剂等安全事故。</w:t>
            </w:r>
          </w:p>
          <w:p>
            <w:pPr>
              <w:pStyle w:val="null3"/>
              <w:spacing w:before="120" w:after="120"/>
              <w:ind w:firstLine="480"/>
              <w:jc w:val="left"/>
            </w:pPr>
            <w:r>
              <w:rPr>
                <w:rFonts w:ascii="仿宋_GB2312" w:hAnsi="仿宋_GB2312" w:cs="仿宋_GB2312" w:eastAsia="仿宋_GB2312"/>
                <w:sz w:val="21"/>
              </w:rPr>
              <w:t>药剂、器械分类规范存放，落实专人管理，建立出入库台账。</w:t>
            </w:r>
          </w:p>
          <w:p>
            <w:pPr>
              <w:pStyle w:val="null3"/>
              <w:spacing w:before="120" w:after="120"/>
              <w:ind w:firstLine="480"/>
              <w:jc w:val="left"/>
            </w:pPr>
            <w:r>
              <w:rPr>
                <w:rFonts w:ascii="仿宋_GB2312" w:hAnsi="仿宋_GB2312" w:cs="仿宋_GB2312" w:eastAsia="仿宋_GB2312"/>
                <w:sz w:val="21"/>
              </w:rPr>
              <w:t>作业人员按规定佩戴劳保防护用品，严格遵守药剂配比、器械操作规范。</w:t>
            </w:r>
          </w:p>
          <w:p>
            <w:pPr>
              <w:pStyle w:val="null3"/>
              <w:spacing w:before="120" w:after="120"/>
              <w:ind w:firstLine="480"/>
              <w:jc w:val="left"/>
            </w:pPr>
            <w:r>
              <w:rPr>
                <w:rFonts w:ascii="仿宋_GB2312" w:hAnsi="仿宋_GB2312" w:cs="仿宋_GB2312" w:eastAsia="仿宋_GB2312"/>
                <w:sz w:val="21"/>
              </w:rPr>
              <w:t>作业期间发生人身伤害、财产损失、人畜中毒等安全事故，全部由中标供应商承担责任及相关费用。</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spacing w:before="300" w:after="120"/>
              <w:ind w:firstLine="600"/>
              <w:jc w:val="left"/>
            </w:pPr>
            <w:r>
              <w:rPr>
                <w:rFonts w:ascii="仿宋_GB2312" w:hAnsi="仿宋_GB2312" w:cs="仿宋_GB2312" w:eastAsia="仿宋_GB2312"/>
                <w:sz w:val="21"/>
                <w:b/>
              </w:rPr>
              <w:t>十、场地配合与设施产权</w:t>
            </w:r>
          </w:p>
          <w:p>
            <w:pPr>
              <w:pStyle w:val="null3"/>
              <w:spacing w:before="120" w:after="120"/>
              <w:ind w:firstLine="480"/>
              <w:jc w:val="left"/>
            </w:pPr>
            <w:r>
              <w:rPr>
                <w:rFonts w:ascii="仿宋_GB2312" w:hAnsi="仿宋_GB2312" w:cs="仿宋_GB2312" w:eastAsia="仿宋_GB2312"/>
                <w:sz w:val="21"/>
              </w:rPr>
              <w:t>成交供应商作业期间须服从属地及场地管理单位要求，文明作业。</w:t>
            </w:r>
          </w:p>
          <w:p>
            <w:pPr>
              <w:pStyle w:val="null3"/>
              <w:spacing w:before="120" w:after="120"/>
              <w:ind w:firstLine="480"/>
              <w:jc w:val="left"/>
            </w:pPr>
            <w:r>
              <w:rPr>
                <w:rFonts w:ascii="仿宋_GB2312" w:hAnsi="仿宋_GB2312" w:cs="仿宋_GB2312" w:eastAsia="仿宋_GB2312"/>
                <w:sz w:val="21"/>
              </w:rPr>
              <w:t>项目布设的毒饵站、警示标识、固定监测设施等资产，产权归采购人所有。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spacing w:before="300" w:after="120"/>
              <w:ind w:firstLine="600"/>
              <w:jc w:val="left"/>
            </w:pPr>
            <w:r>
              <w:rPr>
                <w:rFonts w:ascii="仿宋_GB2312" w:hAnsi="仿宋_GB2312" w:cs="仿宋_GB2312" w:eastAsia="仿宋_GB2312"/>
                <w:sz w:val="21"/>
                <w:b/>
              </w:rPr>
              <w:t>十一、服务交接要求</w:t>
            </w:r>
          </w:p>
          <w:p>
            <w:pPr>
              <w:pStyle w:val="null3"/>
              <w:spacing w:before="120" w:after="120"/>
              <w:ind w:firstLine="480"/>
              <w:jc w:val="left"/>
            </w:pPr>
            <w:r>
              <w:rPr>
                <w:rFonts w:ascii="仿宋_GB2312" w:hAnsi="仿宋_GB2312" w:cs="仿宋_GB2312" w:eastAsia="仿宋_GB2312"/>
                <w:sz w:val="21"/>
              </w:rPr>
              <w:t>进场交接：中标方进场后</w:t>
            </w:r>
            <w:r>
              <w:rPr>
                <w:rFonts w:ascii="仿宋_GB2312" w:hAnsi="仿宋_GB2312" w:cs="仿宋_GB2312" w:eastAsia="仿宋_GB2312"/>
                <w:sz w:val="21"/>
              </w:rPr>
              <w:t xml:space="preserve"> 3 个工作日内，完成点位分布图、台账、设施清单、历史监测数据等资料交接，双方签字确认。</w:t>
            </w:r>
          </w:p>
          <w:p>
            <w:pPr>
              <w:pStyle w:val="null3"/>
              <w:spacing w:before="120" w:after="120"/>
              <w:ind w:firstLine="480"/>
              <w:jc w:val="left"/>
            </w:pPr>
            <w:r>
              <w:rPr>
                <w:rFonts w:ascii="仿宋_GB2312" w:hAnsi="仿宋_GB2312" w:cs="仿宋_GB2312" w:eastAsia="仿宋_GB2312"/>
                <w:sz w:val="21"/>
              </w:rPr>
              <w:t>退场交接：服务期满或合同终止后，</w:t>
            </w:r>
            <w:r>
              <w:rPr>
                <w:rFonts w:ascii="仿宋_GB2312" w:hAnsi="仿宋_GB2312" w:cs="仿宋_GB2312" w:eastAsia="仿宋_GB2312"/>
                <w:sz w:val="21"/>
              </w:rPr>
              <w:t>7 个工作日内完成全部设施、台账、电子及纸质资料完整移交，保证后续工作无缝衔接。</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spacing w:before="120" w:after="120"/>
              <w:ind w:firstLine="440"/>
              <w:jc w:val="left"/>
            </w:pPr>
            <w:r>
              <w:rPr>
                <w:rFonts w:ascii="仿宋_GB2312" w:hAnsi="仿宋_GB2312" w:cs="仿宋_GB2312" w:eastAsia="仿宋_GB2312"/>
                <w:sz w:val="21"/>
                <w:b/>
              </w:rPr>
              <w:t xml:space="preserve">      十二、服务要求</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1.供应商除四害要求必须选用符合国家规定要求，并经采购人认定；药物需向采购人提供毒饵主剂和诱饵主剂的有关证书。</w:t>
            </w:r>
          </w:p>
          <w:p>
            <w:pPr>
              <w:pStyle w:val="null3"/>
              <w:spacing w:before="120" w:after="120"/>
              <w:ind w:firstLine="480"/>
              <w:jc w:val="left"/>
            </w:pPr>
            <w:r>
              <w:rPr>
                <w:rFonts w:ascii="仿宋_GB2312" w:hAnsi="仿宋_GB2312" w:cs="仿宋_GB2312" w:eastAsia="仿宋_GB2312"/>
                <w:sz w:val="21"/>
              </w:rPr>
              <w:t>2.服务标准依据：GB/T 27770-2011《病媒生物密度控制水平鼠类》、GB/T 27771-2011《病媒生物密度控制水平蚊虫》、GB/T 27772-2011《病媒生物密度控制水平蝇类》、GB/T 27773-2011《病媒生物密度控制水平蜚蠊》、GB/T 27775-2011《病媒生物综合管理技术规范城镇》。</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2026-2027年度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严格遵循国家病媒生物防制相关规范、招标文件及合同约定，确保辖区鼠、蚊、蝇、蟑螂密度全部达标，孳生地治理全覆盖、无遗漏，服务台账完整规范、可追溯，顺利通过各级检查验收。交付方式为供应商每季度提交履约报告、现场作业影像、台账资料、孳生地整改记录等全套资料，采购人结合日常督查、现场核查、年度考核组织分层验收，验收合格签署验收单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进度款，完成50%后，达到付款条件起15个工作日内，支付合同总金额的50.0%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违约责任：供应商未按约定频次、标准开展作业，服务质量不达标、台账缺失、整改逾期、应急响应滞后、拒不履约的，采购人有权扣除相应履约保证金、扣除当期服务费，情节严重的采购人可单方解除合同、上报政府采购不良行为记录，追究相应法律责任。②争议解决：合同履行过程中发生争议，双方优先友好协商解决；协商不成的，依法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2.中标人在采购结果发布后3个工作日内向代理机构提交纸质版投标文件以便于存档，投标文件正本1份，副本2份（可以使用签章文件直接打印），电子版文件2份（以U盘为载体，PDF格式），纸质投标文件均须A4纸打印，分别各自装订成册并编制目录和页码。线下递交响应文件地点：同正项目管理有限公司（汉中市汉台区西一环路蓝天御苑小区商铺二层门面房南侧）。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业绩一览表.docx 中小企业声明函 商务要求应答表.docx 报价表 项目团队人员配备表.docx 响应文件封面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项目团队人员配备表.docx 响应文件封面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完整、合理、详细的病媒的防制技术服务方案，方案包含:①针对本项目编制的实施方案；②城区全域防控消杀工作方案；③项目管理体系及制度；④城区全域病媒生物孳生地的本底调查与风险评价；⑤全域公共区域环境保护措施；⑥分区点位常态化巡检专项方案；⑦有详细消杀台账记录、归档、保管全流程制度；⑧针对项目设备药剂配置布设方案；⑨多方现场联动协调管理措施；⑩项目全员岗前、在岗、专项应急培训实施方案等。 二、赋分标准： 1.完整性：对上述各项内容均有描述，得5分；每缺1项扣0.5分，扣完为止。此项不提供不得分。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 说明: 1.满足评审标准是指:内容逻辑混乱、描述清晰与项目特点匹配、要求的内容无遗漏等情形;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突发情况的应急保障措施</w:t>
            </w:r>
          </w:p>
        </w:tc>
        <w:tc>
          <w:tcPr>
            <w:tcW w:type="dxa" w:w="2492"/>
          </w:tcPr>
          <w:p>
            <w:pPr>
              <w:pStyle w:val="null3"/>
            </w:pPr>
            <w:r>
              <w:rPr>
                <w:rFonts w:ascii="仿宋_GB2312" w:hAnsi="仿宋_GB2312" w:cs="仿宋_GB2312" w:eastAsia="仿宋_GB2312"/>
              </w:rPr>
              <w:t>一、评审内容：针对本项目城区虫害暴发、迎检突击、公共卫生突发事件制定专项保障内容，包括:①全套专项应急预案及分级处置措施；②固定应急班组、物资、设备储备保障体系；③项目应急响应时效管控机制；④全域现场标准化应急作业质量管控要求；⑤应急全过程资料闭环收集、上报、归档制度。 二、赋分标准： 1.完整性：对上述各项内容均有描述，得5分；每缺1项扣1分，扣完为止。此项不提供不得分。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 说明: 1.满足评审标准是指:内容逻辑混乱、描述清晰与项目特点匹配、要求的内容无遗漏等情形;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内容提出适用于本项目的服务方案，包括但不限于①四类病媒国标C级及以上达标、各级考核验收合格承诺；②全域常态化分级频次履约承诺；③问题限时闭环整改履约承诺；④全域极速应急响应无偿保障承诺；⑤1名管理员+4名固定作业人员专业配置承诺；⑥消杀设备药剂合规备案使用承诺；⑦月度季度应急台账按时报送承诺；⑧全域合规安全文明作业承诺；⑨项目履约合规、守约追责承诺；⑩进场退场资料设施交接、资产权属规范承诺。 二、赋分标准： 以上各项内容均有描述，得15分；每缺1项扣1.5分，扣完为止。此项不提供不得分。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一、评审内容：拟投入本项目的各类消杀药剂需有产品三证（农药登记证、生产许可证、产品质量检验报告）。 二、赋分标准： 每提供1类药剂完整全套资料（产品三证）得2.5分，最高得10分，提供不全、资料过期或者不提供不得分。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一、评审内容：针对本项目制定工作制度，包括但不限于① 常态化作业频次制度；②问题闭环整改制度；③极速应急保障制度；④合规设备药剂制度；⑤安全文明作业制度。 二、赋分标准： 以上各项内容均有描述，得5分；每缺1项扣1分，扣完为止。此项不提供不得分。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一、评审内容：供应商提供近三年（2023年06月至今）类似业绩。 二、赋分标准： 每提供一份有效业绩得2.5分，满分5分，业绩以合同或中标（成交）通知书复印件加盖公章为准。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一、评审内容：拟投入本项目在岗人员，持有病媒生物防制作业相关证书。 二、赋分标准：每提供1份有效证书得2分，满分10分。以证书复印件加盖公章为准。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