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版本号：TZZB-HZ-2026227C20260820001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2026年度西乡县茶园管理设备及加工设备采购项目（采购运输、加工设备等）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TZZB-HZ-2026227C</w:t>
      </w:r>
      <w:r>
        <w:br/>
      </w:r>
      <w:r>
        <w:br/>
      </w:r>
      <w:r>
        <w:br/>
      </w:r>
    </w:p>
    <w:p>
      <w:pPr>
        <w:pStyle w:val="null3"/>
        <w:jc w:val="center"/>
        <w:outlineLvl w:val="2"/>
      </w:pPr>
      <w:r>
        <w:rPr>
          <w:rFonts w:ascii="仿宋_GB2312" w:hAnsi="仿宋_GB2312" w:cs="仿宋_GB2312" w:eastAsia="仿宋_GB2312"/>
          <w:sz w:val="28"/>
          <w:b/>
        </w:rPr>
        <w:t>西乡县茶产业发展中心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西乡县茶产业发展中心</w:t>
      </w:r>
      <w:r>
        <w:rPr>
          <w:rFonts w:ascii="仿宋_GB2312" w:hAnsi="仿宋_GB2312" w:cs="仿宋_GB2312" w:eastAsia="仿宋_GB2312"/>
        </w:rPr>
        <w:t>委托，拟对</w:t>
      </w:r>
      <w:r>
        <w:rPr>
          <w:rFonts w:ascii="仿宋_GB2312" w:hAnsi="仿宋_GB2312" w:cs="仿宋_GB2312" w:eastAsia="仿宋_GB2312"/>
        </w:rPr>
        <w:t>2026年度西乡县茶园管理设备及加工设备采购项目（采购运输、加工设备等）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TZZB-HZ-2026227C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2026年度西乡县茶园管理设备及加工设备采购项目（采购运输、加工设备等）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茶园管理设备及加工设备采购项目（采购运输、加工设备等）1批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采购包1（2026年度西乡县茶园管理设备及加工设备采购项目（采购运输、加工设备等）采购包1）：属于专门面向中小企业采购。</w:t>
      </w:r>
    </w:p>
    <w:p>
      <w:pPr>
        <w:pStyle w:val="null3"/>
      </w:pPr>
      <w:r>
        <w:rPr>
          <w:rFonts w:ascii="仿宋_GB2312" w:hAnsi="仿宋_GB2312" w:cs="仿宋_GB2312" w:eastAsia="仿宋_GB2312"/>
        </w:rPr>
        <w:t>采购包2（2026年度西乡县茶园管理设备及加工设备采购项目（采购运输、加工设备等）采购包2）：属于专门面向中小企业采购。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 材料应清晰可辨并进行电子签章 ）</w:t>
      </w:r>
    </w:p>
    <w:p>
      <w:pPr>
        <w:pStyle w:val="null3"/>
      </w:pPr>
      <w:r>
        <w:rPr>
          <w:rFonts w:ascii="仿宋_GB2312" w:hAnsi="仿宋_GB2312" w:cs="仿宋_GB2312" w:eastAsia="仿宋_GB2312"/>
        </w:rPr>
        <w:t>2、汉中市政府采购供应商资格承诺函：供应商须提供《汉中市政府采购供应商资格承诺函》；（ 材料应清晰可辨并进行电子签章 ）</w:t>
      </w:r>
    </w:p>
    <w:p>
      <w:pPr>
        <w:pStyle w:val="null3"/>
      </w:pPr>
      <w:r>
        <w:rPr>
          <w:rFonts w:ascii="仿宋_GB2312" w:hAnsi="仿宋_GB2312" w:cs="仿宋_GB2312" w:eastAsia="仿宋_GB2312"/>
        </w:rPr>
        <w:t>3、投标人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 材料应清晰可辨并进行电子签章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 材料应清晰可辨并进行电子签章 ）</w:t>
      </w:r>
    </w:p>
    <w:p>
      <w:pPr>
        <w:pStyle w:val="null3"/>
      </w:pPr>
      <w:r>
        <w:rPr>
          <w:rFonts w:ascii="仿宋_GB2312" w:hAnsi="仿宋_GB2312" w:cs="仿宋_GB2312" w:eastAsia="仿宋_GB2312"/>
        </w:rPr>
        <w:t>2、汉中市政府采购供应商资格承诺函：供应商须提供《汉中市政府采购供应商资格承诺函》；（ 材料应清晰可辨并进行电子签章 ）</w:t>
      </w:r>
    </w:p>
    <w:p>
      <w:pPr>
        <w:pStyle w:val="null3"/>
      </w:pPr>
      <w:r>
        <w:rPr>
          <w:rFonts w:ascii="仿宋_GB2312" w:hAnsi="仿宋_GB2312" w:cs="仿宋_GB2312" w:eastAsia="仿宋_GB2312"/>
        </w:rPr>
        <w:t>3、投标人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 材料应清晰可辨并进行电子签章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西乡县茶产业发展中心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西乡县汉白路西段1号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0916-6222310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采购包1：1,609,800.00元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代理服务费具体金额后续见本项目采购结果公告。 2.招标代理服务费以转账形式缴纳至以下账户： 交纳账户户名：同正项目管理有限公司汉中分公司 开户行：中国建设银行股份有限公司汉中北环路支行 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西乡县茶产业发展中心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西乡县茶产业发展中心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西乡县茶产业发展中心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知识产权归属：供应商提供的设备，其原有知识产权归供应商所有；采购人获得设备使用权。（2）授权要求：供应商需保证所供设备无知识产权侵权纠纷，若因侵权引发法律责任，由供应商承担全部损失（含赔偿款、诉讼费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依据政府采购相关条例、招标文件、投标文件、合同及对应国家、 行业现行技术标准，技术、商务验收全部达标即合格。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依据政府采购相关条例、招标文件、投标文件、合同及对应国家、 行业现行技术标准，技术、商务验收全部达标即合格。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茶园管理设备及加工设备采购项目（采购运输、加工设备等）1批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1,609,800.00</w:t>
      </w:r>
    </w:p>
    <w:p>
      <w:pPr>
        <w:pStyle w:val="null3"/>
      </w:pPr>
      <w:r>
        <w:rPr>
          <w:rFonts w:ascii="仿宋_GB2312" w:hAnsi="仿宋_GB2312" w:cs="仿宋_GB2312" w:eastAsia="仿宋_GB2312"/>
        </w:rPr>
        <w:t>采购包最高限价（元）: 1,609,800.00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2026年度西乡县茶园管理设备及加工设备采购项目（采购运输设备）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2026年度西乡县茶园管理设备及加工设备采购项目（加工设备）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标的名称：2026年度西乡县茶园管理设备及加工设备采购项目（采购运输设备）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222"/>
              <w:gridCol w:w="197"/>
              <w:gridCol w:w="1255"/>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成品轨道</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5250</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每节轨道长</w:t>
                  </w:r>
                  <w:r>
                    <w:rPr>
                      <w:rFonts w:ascii="仿宋_GB2312" w:hAnsi="仿宋_GB2312" w:cs="仿宋_GB2312" w:eastAsia="仿宋_GB2312"/>
                      <w:sz w:val="21"/>
                      <w:color w:val="000000"/>
                    </w:rPr>
                    <w:t>3</w:t>
                  </w:r>
                  <w:r>
                    <w:rPr>
                      <w:rFonts w:ascii="仿宋_GB2312" w:hAnsi="仿宋_GB2312" w:cs="仿宋_GB2312" w:eastAsia="仿宋_GB2312"/>
                      <w:sz w:val="21"/>
                      <w:color w:val="000000"/>
                    </w:rPr>
                    <w:t>米，</w:t>
                  </w:r>
                </w:p>
                <w:p>
                  <w:pPr>
                    <w:pStyle w:val="null3"/>
                    <w:jc w:val="both"/>
                  </w:pPr>
                  <w:r>
                    <w:rPr>
                      <w:rFonts w:ascii="仿宋_GB2312" w:hAnsi="仿宋_GB2312" w:cs="仿宋_GB2312" w:eastAsia="仿宋_GB2312"/>
                      <w:sz w:val="21"/>
                      <w:color w:val="000000"/>
                    </w:rPr>
                    <w:t>焊接实心齿条，</w:t>
                  </w:r>
                </w:p>
                <w:p>
                  <w:pPr>
                    <w:pStyle w:val="null3"/>
                    <w:jc w:val="both"/>
                  </w:pPr>
                  <w:r>
                    <w:rPr>
                      <w:rFonts w:ascii="仿宋_GB2312" w:hAnsi="仿宋_GB2312" w:cs="仿宋_GB2312" w:eastAsia="仿宋_GB2312"/>
                      <w:sz w:val="21"/>
                      <w:color w:val="000000"/>
                    </w:rPr>
                    <w:t>整体热镀锌，</w:t>
                  </w:r>
                </w:p>
                <w:p>
                  <w:pPr>
                    <w:pStyle w:val="null3"/>
                    <w:jc w:val="both"/>
                  </w:pPr>
                  <w:r>
                    <w:rPr>
                      <w:rFonts w:ascii="仿宋_GB2312" w:hAnsi="仿宋_GB2312" w:cs="仿宋_GB2312" w:eastAsia="仿宋_GB2312"/>
                      <w:sz w:val="21"/>
                      <w:color w:val="000000"/>
                    </w:rPr>
                    <w:t>每节支撑点</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单轨双向，</w:t>
                  </w:r>
                </w:p>
                <w:p>
                  <w:pPr>
                    <w:pStyle w:val="null3"/>
                    <w:jc w:val="both"/>
                  </w:pPr>
                  <w:r>
                    <w:rPr>
                      <w:rFonts w:ascii="仿宋_GB2312" w:hAnsi="仿宋_GB2312" w:cs="仿宋_GB2312" w:eastAsia="仿宋_GB2312"/>
                      <w:sz w:val="21"/>
                      <w:color w:val="000000"/>
                    </w:rPr>
                    <w:t>壁厚≥</w:t>
                  </w:r>
                  <w:r>
                    <w:rPr>
                      <w:rFonts w:ascii="仿宋_GB2312" w:hAnsi="仿宋_GB2312" w:cs="仿宋_GB2312" w:eastAsia="仿宋_GB2312"/>
                      <w:sz w:val="21"/>
                      <w:color w:val="000000"/>
                    </w:rPr>
                    <w:t>2.7</w:t>
                  </w:r>
                  <w:r>
                    <w:rPr>
                      <w:rFonts w:ascii="仿宋_GB2312" w:hAnsi="仿宋_GB2312" w:cs="仿宋_GB2312" w:eastAsia="仿宋_GB2312"/>
                      <w:sz w:val="21"/>
                      <w:color w:val="000000"/>
                    </w:rPr>
                    <w:t>毫米。</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山地单轨运输机机头</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自走式汽油发动机，</w:t>
                  </w:r>
                </w:p>
                <w:p>
                  <w:pPr>
                    <w:pStyle w:val="null3"/>
                    <w:jc w:val="both"/>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3.3KW</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最大爬坡度：</w:t>
                  </w:r>
                  <w:r>
                    <w:rPr>
                      <w:rFonts w:ascii="仿宋_GB2312" w:hAnsi="仿宋_GB2312" w:cs="仿宋_GB2312" w:eastAsia="仿宋_GB2312"/>
                      <w:sz w:val="21"/>
                      <w:color w:val="000000"/>
                    </w:rPr>
                    <w:t>45</w:t>
                  </w:r>
                  <w:r>
                    <w:rPr>
                      <w:rFonts w:ascii="仿宋_GB2312" w:hAnsi="仿宋_GB2312" w:cs="仿宋_GB2312" w:eastAsia="仿宋_GB2312"/>
                      <w:sz w:val="21"/>
                      <w:color w:val="000000"/>
                    </w:rPr>
                    <w:t>度。</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铁质热镀锌，</w:t>
                  </w:r>
                </w:p>
                <w:p>
                  <w:pPr>
                    <w:pStyle w:val="null3"/>
                    <w:jc w:val="both"/>
                  </w:pPr>
                  <w:r>
                    <w:rPr>
                      <w:rFonts w:ascii="仿宋_GB2312" w:hAnsi="仿宋_GB2312" w:cs="仿宋_GB2312" w:eastAsia="仿宋_GB2312"/>
                      <w:sz w:val="21"/>
                      <w:color w:val="000000"/>
                    </w:rPr>
                    <w:t>长</w:t>
                  </w:r>
                  <w:r>
                    <w:rPr>
                      <w:rFonts w:ascii="仿宋_GB2312" w:hAnsi="仿宋_GB2312" w:cs="仿宋_GB2312" w:eastAsia="仿宋_GB2312"/>
                      <w:sz w:val="21"/>
                      <w:color w:val="000000"/>
                    </w:rPr>
                    <w:t>2</w:t>
                  </w:r>
                  <w:r>
                    <w:rPr>
                      <w:rFonts w:ascii="仿宋_GB2312" w:hAnsi="仿宋_GB2312" w:cs="仿宋_GB2312" w:eastAsia="仿宋_GB2312"/>
                      <w:sz w:val="21"/>
                      <w:color w:val="000000"/>
                    </w:rPr>
                    <w:t>米</w:t>
                  </w:r>
                  <w:r>
                    <w:rPr>
                      <w:rFonts w:ascii="仿宋_GB2312" w:hAnsi="仿宋_GB2312" w:cs="仿宋_GB2312" w:eastAsia="仿宋_GB2312"/>
                      <w:sz w:val="21"/>
                      <w:color w:val="000000"/>
                    </w:rPr>
                    <w:t>-2.5</w:t>
                  </w:r>
                  <w:r>
                    <w:rPr>
                      <w:rFonts w:ascii="仿宋_GB2312" w:hAnsi="仿宋_GB2312" w:cs="仿宋_GB2312" w:eastAsia="仿宋_GB2312"/>
                      <w:sz w:val="21"/>
                      <w:color w:val="000000"/>
                    </w:rPr>
                    <w:t>米，宽</w:t>
                  </w:r>
                  <w:r>
                    <w:rPr>
                      <w:rFonts w:ascii="仿宋_GB2312" w:hAnsi="仿宋_GB2312" w:cs="仿宋_GB2312" w:eastAsia="仿宋_GB2312"/>
                      <w:sz w:val="21"/>
                      <w:color w:val="000000"/>
                    </w:rPr>
                    <w:t>0.5</w:t>
                  </w:r>
                  <w:r>
                    <w:rPr>
                      <w:rFonts w:ascii="仿宋_GB2312" w:hAnsi="仿宋_GB2312" w:cs="仿宋_GB2312" w:eastAsia="仿宋_GB2312"/>
                      <w:sz w:val="21"/>
                      <w:color w:val="000000"/>
                    </w:rPr>
                    <w:t>米</w:t>
                  </w:r>
                  <w:r>
                    <w:rPr>
                      <w:rFonts w:ascii="仿宋_GB2312" w:hAnsi="仿宋_GB2312" w:cs="仿宋_GB2312" w:eastAsia="仿宋_GB2312"/>
                      <w:sz w:val="21"/>
                      <w:color w:val="000000"/>
                    </w:rPr>
                    <w:t>-0.6</w:t>
                  </w:r>
                  <w:r>
                    <w:rPr>
                      <w:rFonts w:ascii="仿宋_GB2312" w:hAnsi="仿宋_GB2312" w:cs="仿宋_GB2312" w:eastAsia="仿宋_GB2312"/>
                      <w:sz w:val="21"/>
                      <w:color w:val="000000"/>
                    </w:rPr>
                    <w:t>米，高</w:t>
                  </w:r>
                  <w:r>
                    <w:rPr>
                      <w:rFonts w:ascii="仿宋_GB2312" w:hAnsi="仿宋_GB2312" w:cs="仿宋_GB2312" w:eastAsia="仿宋_GB2312"/>
                      <w:sz w:val="21"/>
                      <w:color w:val="000000"/>
                    </w:rPr>
                    <w:t>0.5</w:t>
                  </w:r>
                  <w:r>
                    <w:rPr>
                      <w:rFonts w:ascii="仿宋_GB2312" w:hAnsi="仿宋_GB2312" w:cs="仿宋_GB2312" w:eastAsia="仿宋_GB2312"/>
                      <w:sz w:val="21"/>
                      <w:color w:val="000000"/>
                    </w:rPr>
                    <w:t>米</w:t>
                  </w:r>
                  <w:r>
                    <w:rPr>
                      <w:rFonts w:ascii="仿宋_GB2312" w:hAnsi="仿宋_GB2312" w:cs="仿宋_GB2312" w:eastAsia="仿宋_GB2312"/>
                      <w:sz w:val="21"/>
                      <w:color w:val="000000"/>
                    </w:rPr>
                    <w:t>-1</w:t>
                  </w:r>
                  <w:r>
                    <w:rPr>
                      <w:rFonts w:ascii="仿宋_GB2312" w:hAnsi="仿宋_GB2312" w:cs="仿宋_GB2312" w:eastAsia="仿宋_GB2312"/>
                      <w:sz w:val="21"/>
                      <w:color w:val="000000"/>
                    </w:rPr>
                    <w:t>米，</w:t>
                  </w:r>
                </w:p>
                <w:p>
                  <w:pPr>
                    <w:pStyle w:val="null3"/>
                    <w:jc w:val="both"/>
                  </w:pPr>
                  <w:r>
                    <w:rPr>
                      <w:rFonts w:ascii="仿宋_GB2312" w:hAnsi="仿宋_GB2312" w:cs="仿宋_GB2312" w:eastAsia="仿宋_GB2312"/>
                      <w:sz w:val="21"/>
                      <w:color w:val="000000"/>
                    </w:rPr>
                    <w:t>荷载≥</w:t>
                  </w:r>
                  <w:r>
                    <w:rPr>
                      <w:rFonts w:ascii="仿宋_GB2312" w:hAnsi="仿宋_GB2312" w:cs="仿宋_GB2312" w:eastAsia="仿宋_GB2312"/>
                      <w:sz w:val="21"/>
                      <w:color w:val="000000"/>
                    </w:rPr>
                    <w:t>200</w:t>
                  </w:r>
                  <w:r>
                    <w:rPr>
                      <w:rFonts w:ascii="仿宋_GB2312" w:hAnsi="仿宋_GB2312" w:cs="仿宋_GB2312" w:eastAsia="仿宋_GB2312"/>
                      <w:sz w:val="21"/>
                      <w:color w:val="000000"/>
                    </w:rPr>
                    <w:t>千克。</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辅助材料及</w:t>
                  </w:r>
                </w:p>
                <w:p>
                  <w:pPr>
                    <w:pStyle w:val="null3"/>
                    <w:jc w:val="center"/>
                  </w:pPr>
                  <w:r>
                    <w:rPr>
                      <w:rFonts w:ascii="仿宋_GB2312" w:hAnsi="仿宋_GB2312" w:cs="仿宋_GB2312" w:eastAsia="仿宋_GB2312"/>
                      <w:sz w:val="21"/>
                      <w:color w:val="000000"/>
                    </w:rPr>
                    <w:t>安装</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所用零部件材质为铁质热镀锌，使用螺栓加固处或连接处拧紧扭力矩为</w:t>
                  </w:r>
                  <w:r>
                    <w:rPr>
                      <w:rFonts w:ascii="仿宋_GB2312" w:hAnsi="仿宋_GB2312" w:cs="仿宋_GB2312" w:eastAsia="仿宋_GB2312"/>
                      <w:sz w:val="21"/>
                      <w:color w:val="000000"/>
                    </w:rPr>
                    <w:t>49N</w:t>
                  </w:r>
                  <w:r>
                    <w:rPr>
                      <w:rFonts w:ascii="仿宋_GB2312" w:hAnsi="仿宋_GB2312" w:cs="仿宋_GB2312" w:eastAsia="仿宋_GB2312"/>
                      <w:sz w:val="21"/>
                      <w:color w:val="000000"/>
                    </w:rPr>
                    <w:t>·</w:t>
                  </w:r>
                  <w:r>
                    <w:rPr>
                      <w:rFonts w:ascii="仿宋_GB2312" w:hAnsi="仿宋_GB2312" w:cs="仿宋_GB2312" w:eastAsia="仿宋_GB2312"/>
                      <w:sz w:val="21"/>
                      <w:color w:val="000000"/>
                    </w:rPr>
                    <w:t>m</w:t>
                  </w:r>
                  <w:r>
                    <w:rPr>
                      <w:rFonts w:ascii="仿宋_GB2312" w:hAnsi="仿宋_GB2312" w:cs="仿宋_GB2312" w:eastAsia="仿宋_GB2312"/>
                      <w:sz w:val="21"/>
                      <w:color w:val="000000"/>
                    </w:rPr>
                    <w:t>～</w:t>
                  </w:r>
                  <w:r>
                    <w:rPr>
                      <w:rFonts w:ascii="仿宋_GB2312" w:hAnsi="仿宋_GB2312" w:cs="仿宋_GB2312" w:eastAsia="仿宋_GB2312"/>
                      <w:sz w:val="21"/>
                      <w:color w:val="000000"/>
                    </w:rPr>
                    <w:t>65N</w:t>
                  </w:r>
                  <w:r>
                    <w:rPr>
                      <w:rFonts w:ascii="仿宋_GB2312" w:hAnsi="仿宋_GB2312" w:cs="仿宋_GB2312" w:eastAsia="仿宋_GB2312"/>
                      <w:sz w:val="21"/>
                      <w:color w:val="000000"/>
                    </w:rPr>
                    <w:t>·</w:t>
                  </w:r>
                  <w:r>
                    <w:rPr>
                      <w:rFonts w:ascii="仿宋_GB2312" w:hAnsi="仿宋_GB2312" w:cs="仿宋_GB2312" w:eastAsia="仿宋_GB2312"/>
                      <w:sz w:val="21"/>
                      <w:color w:val="000000"/>
                    </w:rPr>
                    <w:t>m</w:t>
                  </w:r>
                  <w:r>
                    <w:rPr>
                      <w:rFonts w:ascii="仿宋_GB2312" w:hAnsi="仿宋_GB2312" w:cs="仿宋_GB2312" w:eastAsia="仿宋_GB2312"/>
                      <w:sz w:val="21"/>
                      <w:color w:val="000000"/>
                    </w:rPr>
                    <w:t>，所有支撑点立管壁厚≥</w:t>
                  </w:r>
                  <w:r>
                    <w:rPr>
                      <w:rFonts w:ascii="仿宋_GB2312" w:hAnsi="仿宋_GB2312" w:cs="仿宋_GB2312" w:eastAsia="仿宋_GB2312"/>
                      <w:sz w:val="21"/>
                      <w:color w:val="000000"/>
                    </w:rPr>
                    <w:t>2.2mm</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32mm</w:t>
                  </w:r>
                  <w:r>
                    <w:rPr>
                      <w:rFonts w:ascii="仿宋_GB2312" w:hAnsi="仿宋_GB2312" w:cs="仿宋_GB2312" w:eastAsia="仿宋_GB2312"/>
                      <w:sz w:val="21"/>
                      <w:color w:val="000000"/>
                    </w:rPr>
                    <w:t>，下设防沉板，每个支撑点立管须用</w:t>
                  </w:r>
                  <w:r>
                    <w:rPr>
                      <w:rFonts w:ascii="仿宋_GB2312" w:hAnsi="仿宋_GB2312" w:cs="仿宋_GB2312" w:eastAsia="仿宋_GB2312"/>
                      <w:sz w:val="21"/>
                      <w:color w:val="000000"/>
                    </w:rPr>
                    <w:t>25mm</w:t>
                  </w:r>
                  <w:r>
                    <w:rPr>
                      <w:rFonts w:ascii="仿宋_GB2312" w:hAnsi="仿宋_GB2312" w:cs="仿宋_GB2312" w:eastAsia="仿宋_GB2312"/>
                      <w:sz w:val="21"/>
                      <w:color w:val="000000"/>
                    </w:rPr>
                    <w:t>斜支撑加固，立管下铺设厚度≥</w:t>
                  </w:r>
                  <w:r>
                    <w:rPr>
                      <w:rFonts w:ascii="仿宋_GB2312" w:hAnsi="仿宋_GB2312" w:cs="仿宋_GB2312" w:eastAsia="仿宋_GB2312"/>
                      <w:sz w:val="21"/>
                      <w:color w:val="000000"/>
                    </w:rPr>
                    <w:t>10cm</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的混凝土。所有辅助材料及安装须满足设备正常安全运行。</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运输安全监测设备</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每套包含水平角度传感器（</w:t>
                  </w:r>
                  <w:r>
                    <w:rPr>
                      <w:rFonts w:ascii="仿宋_GB2312" w:hAnsi="仿宋_GB2312" w:cs="仿宋_GB2312" w:eastAsia="仿宋_GB2312"/>
                      <w:sz w:val="21"/>
                      <w:color w:val="000000"/>
                    </w:rPr>
                    <w:t>X</w:t>
                  </w:r>
                  <w:r>
                    <w:rPr>
                      <w:rFonts w:ascii="仿宋_GB2312" w:hAnsi="仿宋_GB2312" w:cs="仿宋_GB2312" w:eastAsia="仿宋_GB2312"/>
                      <w:sz w:val="21"/>
                      <w:color w:val="000000"/>
                    </w:rPr>
                    <w:t>、</w:t>
                  </w:r>
                  <w:r>
                    <w:rPr>
                      <w:rFonts w:ascii="仿宋_GB2312" w:hAnsi="仿宋_GB2312" w:cs="仿宋_GB2312" w:eastAsia="仿宋_GB2312"/>
                      <w:sz w:val="21"/>
                      <w:color w:val="000000"/>
                    </w:rPr>
                    <w:t>Y</w:t>
                  </w:r>
                  <w:r>
                    <w:rPr>
                      <w:rFonts w:ascii="仿宋_GB2312" w:hAnsi="仿宋_GB2312" w:cs="仿宋_GB2312" w:eastAsia="仿宋_GB2312"/>
                      <w:sz w:val="21"/>
                      <w:color w:val="000000"/>
                    </w:rPr>
                    <w:t>轴静态精度±</w:t>
                  </w:r>
                  <w:r>
                    <w:rPr>
                      <w:rFonts w:ascii="仿宋_GB2312" w:hAnsi="仿宋_GB2312" w:cs="仿宋_GB2312" w:eastAsia="仿宋_GB2312"/>
                      <w:sz w:val="21"/>
                      <w:color w:val="000000"/>
                    </w:rPr>
                    <w:t>0.1</w:t>
                  </w:r>
                  <w:r>
                    <w:rPr>
                      <w:rFonts w:ascii="仿宋_GB2312" w:hAnsi="仿宋_GB2312" w:cs="仿宋_GB2312" w:eastAsia="仿宋_GB2312"/>
                      <w:sz w:val="21"/>
                      <w:color w:val="000000"/>
                    </w:rPr>
                    <w:t>°，动态精度±</w:t>
                  </w:r>
                  <w:r>
                    <w:rPr>
                      <w:rFonts w:ascii="仿宋_GB2312" w:hAnsi="仿宋_GB2312" w:cs="仿宋_GB2312" w:eastAsia="仿宋_GB2312"/>
                      <w:sz w:val="21"/>
                      <w:color w:val="000000"/>
                    </w:rPr>
                    <w:t>0.5</w:t>
                  </w:r>
                  <w:r>
                    <w:rPr>
                      <w:rFonts w:ascii="仿宋_GB2312" w:hAnsi="仿宋_GB2312" w:cs="仿宋_GB2312" w:eastAsia="仿宋_GB2312"/>
                      <w:sz w:val="21"/>
                      <w:color w:val="000000"/>
                    </w:rPr>
                    <w:t>°，</w:t>
                  </w:r>
                  <w:r>
                    <w:rPr>
                      <w:rFonts w:ascii="仿宋_GB2312" w:hAnsi="仿宋_GB2312" w:cs="仿宋_GB2312" w:eastAsia="仿宋_GB2312"/>
                      <w:sz w:val="21"/>
                      <w:color w:val="000000"/>
                    </w:rPr>
                    <w:t>z</w:t>
                  </w:r>
                  <w:r>
                    <w:rPr>
                      <w:rFonts w:ascii="仿宋_GB2312" w:hAnsi="仿宋_GB2312" w:cs="仿宋_GB2312" w:eastAsia="仿宋_GB2312"/>
                      <w:sz w:val="21"/>
                      <w:color w:val="000000"/>
                    </w:rPr>
                    <w:t>轴静态精度±</w:t>
                  </w:r>
                  <w:r>
                    <w:rPr>
                      <w:rFonts w:ascii="仿宋_GB2312" w:hAnsi="仿宋_GB2312" w:cs="仿宋_GB2312" w:eastAsia="仿宋_GB2312"/>
                      <w:sz w:val="21"/>
                      <w:color w:val="000000"/>
                    </w:rPr>
                    <w:t>0.5</w:t>
                  </w:r>
                  <w:r>
                    <w:rPr>
                      <w:rFonts w:ascii="仿宋_GB2312" w:hAnsi="仿宋_GB2312" w:cs="仿宋_GB2312" w:eastAsia="仿宋_GB2312"/>
                      <w:sz w:val="21"/>
                      <w:color w:val="000000"/>
                    </w:rPr>
                    <w:t>°）、单晶</w:t>
                  </w:r>
                  <w:r>
                    <w:rPr>
                      <w:rFonts w:ascii="仿宋_GB2312" w:hAnsi="仿宋_GB2312" w:cs="仿宋_GB2312" w:eastAsia="仿宋_GB2312"/>
                      <w:sz w:val="21"/>
                      <w:color w:val="000000"/>
                    </w:rPr>
                    <w:t xml:space="preserve">12V 60AH 720W/H </w:t>
                  </w:r>
                  <w:r>
                    <w:rPr>
                      <w:rFonts w:ascii="仿宋_GB2312" w:hAnsi="仿宋_GB2312" w:cs="仿宋_GB2312" w:eastAsia="仿宋_GB2312"/>
                      <w:sz w:val="21"/>
                      <w:color w:val="000000"/>
                    </w:rPr>
                    <w:t>太阳能蓄电设备各一套。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注：1. 以“●”标注的为本项目核心产品；  2.安装要求：按照要求安装至指定位置。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标的名称：2026年度西乡县茶园管理设备及加工设备采购项目（加工设备）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222"/>
              <w:gridCol w:w="197"/>
              <w:gridCol w:w="1255"/>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五斗烘干机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220</w:t>
                  </w:r>
                  <w:r>
                    <w:rPr>
                      <w:rFonts w:ascii="仿宋_GB2312" w:hAnsi="仿宋_GB2312" w:cs="仿宋_GB2312" w:eastAsia="仿宋_GB2312"/>
                      <w:sz w:val="21"/>
                      <w:color w:val="000000"/>
                    </w:rPr>
                    <w:t>V</w:t>
                  </w:r>
                  <w:r>
                    <w:rPr>
                      <w:rFonts w:ascii="仿宋_GB2312" w:hAnsi="仿宋_GB2312" w:cs="仿宋_GB2312" w:eastAsia="仿宋_GB2312"/>
                      <w:sz w:val="21"/>
                      <w:color w:val="000000"/>
                    </w:rPr>
                    <w:t>；加热方式：电加热；</w:t>
                  </w:r>
                  <w:r>
                    <w:rPr>
                      <w:rFonts w:ascii="仿宋_GB2312" w:hAnsi="仿宋_GB2312" w:cs="仿宋_GB2312" w:eastAsia="仿宋_GB2312"/>
                      <w:sz w:val="21"/>
                      <w:color w:val="000000"/>
                    </w:rPr>
                    <w:t>整机功率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30KW</w:t>
                  </w:r>
                  <w:r>
                    <w:rPr>
                      <w:rFonts w:ascii="仿宋_GB2312" w:hAnsi="仿宋_GB2312" w:cs="仿宋_GB2312" w:eastAsia="仿宋_GB2312"/>
                      <w:sz w:val="21"/>
                      <w:color w:val="000000"/>
                    </w:rPr>
                    <w:t>；</w:t>
                  </w:r>
                  <w:r>
                    <w:rPr>
                      <w:rFonts w:ascii="仿宋_GB2312" w:hAnsi="仿宋_GB2312" w:cs="仿宋_GB2312" w:eastAsia="仿宋_GB2312"/>
                      <w:sz w:val="21"/>
                    </w:rPr>
                    <w:t>配套安装及终身技术服务。</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w:t>
                  </w:r>
                  <w:r>
                    <w:rPr>
                      <w:rFonts w:ascii="仿宋_GB2312" w:hAnsi="仿宋_GB2312" w:cs="仿宋_GB2312" w:eastAsia="仿宋_GB2312"/>
                      <w:sz w:val="21"/>
                      <w:color w:val="000000"/>
                    </w:rPr>
                    <w:t>90</w:t>
                  </w:r>
                  <w:r>
                    <w:rPr>
                      <w:rFonts w:ascii="仿宋_GB2312" w:hAnsi="仿宋_GB2312" w:cs="仿宋_GB2312" w:eastAsia="仿宋_GB2312"/>
                      <w:sz w:val="21"/>
                      <w:color w:val="000000"/>
                    </w:rPr>
                    <w:t>型</w:t>
                  </w:r>
                  <w:r>
                    <w:rPr>
                      <w:rFonts w:ascii="仿宋_GB2312" w:hAnsi="仿宋_GB2312" w:cs="仿宋_GB2312" w:eastAsia="仿宋_GB2312"/>
                      <w:sz w:val="21"/>
                      <w:color w:val="000000"/>
                    </w:rPr>
                    <w:t>全自动数字化扁茶机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:380V</w:t>
                  </w:r>
                  <w:r>
                    <w:rPr>
                      <w:rFonts w:ascii="仿宋_GB2312" w:hAnsi="仿宋_GB2312" w:cs="仿宋_GB2312" w:eastAsia="仿宋_GB2312"/>
                      <w:sz w:val="21"/>
                      <w:color w:val="000000"/>
                    </w:rPr>
                    <w:t>；</w:t>
                  </w:r>
                  <w:r>
                    <w:rPr>
                      <w:rFonts w:ascii="仿宋_GB2312" w:hAnsi="仿宋_GB2312" w:cs="仿宋_GB2312" w:eastAsia="仿宋_GB2312"/>
                      <w:sz w:val="21"/>
                      <w:color w:val="000000"/>
                    </w:rPr>
                    <w:t>主电机功率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0.9KW;</w:t>
                  </w:r>
                  <w:r>
                    <w:rPr>
                      <w:rFonts w:ascii="仿宋_GB2312" w:hAnsi="仿宋_GB2312" w:cs="仿宋_GB2312" w:eastAsia="仿宋_GB2312"/>
                      <w:sz w:val="21"/>
                      <w:color w:val="000000"/>
                    </w:rPr>
                    <w:t>加热方式：</w:t>
                  </w:r>
                  <w:r>
                    <w:rPr>
                      <w:rFonts w:ascii="仿宋_GB2312" w:hAnsi="仿宋_GB2312" w:cs="仿宋_GB2312" w:eastAsia="仿宋_GB2312"/>
                      <w:sz w:val="21"/>
                      <w:color w:val="000000"/>
                    </w:rPr>
                    <w:t>电加热</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6KW;</w:t>
                  </w:r>
                  <w:r>
                    <w:rPr>
                      <w:rFonts w:ascii="仿宋_GB2312" w:hAnsi="仿宋_GB2312" w:cs="仿宋_GB2312" w:eastAsia="仿宋_GB2312"/>
                      <w:sz w:val="21"/>
                      <w:color w:val="000000"/>
                    </w:rPr>
                    <w:t>生产率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0.5kg/h</w:t>
                  </w:r>
                  <w:r>
                    <w:rPr>
                      <w:rFonts w:ascii="仿宋_GB2312" w:hAnsi="仿宋_GB2312" w:cs="仿宋_GB2312" w:eastAsia="仿宋_GB2312"/>
                      <w:sz w:val="21"/>
                      <w:color w:val="000000"/>
                    </w:rPr>
                    <w:t>；</w:t>
                  </w:r>
                  <w:r>
                    <w:rPr>
                      <w:rFonts w:ascii="仿宋_GB2312" w:hAnsi="仿宋_GB2312" w:cs="仿宋_GB2312" w:eastAsia="仿宋_GB2312"/>
                      <w:sz w:val="21"/>
                      <w:color w:val="000000"/>
                    </w:rPr>
                    <w:t>下料形式</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自动称重下料</w:t>
                  </w:r>
                  <w:r>
                    <w:rPr>
                      <w:rFonts w:ascii="仿宋_GB2312" w:hAnsi="仿宋_GB2312" w:cs="仿宋_GB2312" w:eastAsia="仿宋_GB2312"/>
                      <w:sz w:val="21"/>
                      <w:color w:val="000000"/>
                    </w:rPr>
                    <w:t>;</w:t>
                  </w:r>
                  <w:r>
                    <w:rPr>
                      <w:rFonts w:ascii="仿宋_GB2312" w:hAnsi="仿宋_GB2312" w:cs="仿宋_GB2312" w:eastAsia="仿宋_GB2312"/>
                      <w:sz w:val="21"/>
                      <w:color w:val="000000"/>
                    </w:rPr>
                    <w:t>锅材质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控制形式</w:t>
                  </w:r>
                  <w:r>
                    <w:rPr>
                      <w:rFonts w:ascii="仿宋_GB2312" w:hAnsi="仿宋_GB2312" w:cs="仿宋_GB2312" w:eastAsia="仿宋_GB2312"/>
                      <w:sz w:val="21"/>
                      <w:color w:val="000000"/>
                    </w:rPr>
                    <w:t>:</w:t>
                  </w:r>
                  <w:r>
                    <w:rPr>
                      <w:rFonts w:ascii="仿宋_GB2312" w:hAnsi="仿宋_GB2312" w:cs="仿宋_GB2312" w:eastAsia="仿宋_GB2312"/>
                      <w:sz w:val="21"/>
                      <w:color w:val="000000"/>
                    </w:rPr>
                    <w:t>程序控制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炒制方式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学习炒制</w:t>
                  </w:r>
                  <w:r>
                    <w:rPr>
                      <w:rFonts w:ascii="仿宋_GB2312" w:hAnsi="仿宋_GB2312" w:cs="仿宋_GB2312" w:eastAsia="仿宋_GB2312"/>
                      <w:sz w:val="21"/>
                      <w:color w:val="000000"/>
                    </w:rPr>
                    <w:t>+</w:t>
                  </w:r>
                  <w:r>
                    <w:rPr>
                      <w:rFonts w:ascii="仿宋_GB2312" w:hAnsi="仿宋_GB2312" w:cs="仿宋_GB2312" w:eastAsia="仿宋_GB2312"/>
                      <w:sz w:val="21"/>
                      <w:color w:val="000000"/>
                    </w:rPr>
                    <w:t>设置炒制双模式</w:t>
                  </w:r>
                  <w:r>
                    <w:rPr>
                      <w:rFonts w:ascii="仿宋_GB2312" w:hAnsi="仿宋_GB2312" w:cs="仿宋_GB2312" w:eastAsia="仿宋_GB2312"/>
                      <w:sz w:val="21"/>
                      <w:color w:val="000000"/>
                    </w:rPr>
                    <w:t>；</w:t>
                  </w:r>
                  <w:r>
                    <w:rPr>
                      <w:rFonts w:ascii="仿宋_GB2312" w:hAnsi="仿宋_GB2312" w:cs="仿宋_GB2312" w:eastAsia="仿宋_GB2312"/>
                      <w:sz w:val="21"/>
                    </w:rPr>
                    <w:t>配套安装及终身技术服务</w:t>
                  </w:r>
                  <w:r>
                    <w:rPr>
                      <w:rFonts w:ascii="仿宋_GB2312" w:hAnsi="仿宋_GB2312" w:cs="仿宋_GB2312" w:eastAsia="仿宋_GB2312"/>
                      <w:sz w:val="21"/>
                      <w:color w:val="000000"/>
                    </w:rPr>
                    <w:t>。</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r>
                    <w:rPr>
                      <w:rFonts w:ascii="仿宋_GB2312" w:hAnsi="仿宋_GB2312" w:cs="仿宋_GB2312" w:eastAsia="仿宋_GB2312"/>
                      <w:sz w:val="21"/>
                    </w:rPr>
                    <w:t>型</w:t>
                  </w:r>
                  <w:r>
                    <w:rPr>
                      <w:rFonts w:ascii="仿宋_GB2312" w:hAnsi="仿宋_GB2312" w:cs="仿宋_GB2312" w:eastAsia="仿宋_GB2312"/>
                      <w:sz w:val="21"/>
                    </w:rPr>
                    <w:t>双锅提毫机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220</w:t>
                  </w:r>
                  <w:r>
                    <w:rPr>
                      <w:rFonts w:ascii="仿宋_GB2312" w:hAnsi="仿宋_GB2312" w:cs="仿宋_GB2312" w:eastAsia="仿宋_GB2312"/>
                      <w:sz w:val="21"/>
                      <w:color w:val="000000"/>
                    </w:rPr>
                    <w:t>V</w:t>
                  </w:r>
                  <w:r>
                    <w:rPr>
                      <w:rFonts w:ascii="仿宋_GB2312" w:hAnsi="仿宋_GB2312" w:cs="仿宋_GB2312" w:eastAsia="仿宋_GB2312"/>
                      <w:sz w:val="21"/>
                      <w:color w:val="000000"/>
                    </w:rPr>
                    <w:t>；加热方式：</w:t>
                  </w:r>
                  <w:r>
                    <w:rPr>
                      <w:rFonts w:ascii="仿宋_GB2312" w:hAnsi="仿宋_GB2312" w:cs="仿宋_GB2312" w:eastAsia="仿宋_GB2312"/>
                      <w:sz w:val="21"/>
                    </w:rPr>
                    <w:t>电加热，</w:t>
                  </w:r>
                  <w:r>
                    <w:rPr>
                      <w:rFonts w:ascii="仿宋_GB2312" w:hAnsi="仿宋_GB2312" w:cs="仿宋_GB2312" w:eastAsia="仿宋_GB2312"/>
                      <w:sz w:val="21"/>
                    </w:rPr>
                    <w:t>加热功率</w:t>
                  </w:r>
                  <w:r>
                    <w:rPr>
                      <w:rFonts w:ascii="仿宋_GB2312" w:hAnsi="仿宋_GB2312" w:cs="仿宋_GB2312" w:eastAsia="仿宋_GB2312"/>
                      <w:sz w:val="21"/>
                    </w:rPr>
                    <w:t>：</w:t>
                  </w:r>
                  <w:r>
                    <w:rPr>
                      <w:rFonts w:ascii="仿宋_GB2312" w:hAnsi="仿宋_GB2312" w:cs="仿宋_GB2312" w:eastAsia="仿宋_GB2312"/>
                      <w:sz w:val="21"/>
                    </w:rPr>
                    <w:t>单锅</w:t>
                  </w:r>
                  <w:r>
                    <w:rPr>
                      <w:rFonts w:ascii="仿宋_GB2312" w:hAnsi="仿宋_GB2312" w:cs="仿宋_GB2312" w:eastAsia="仿宋_GB2312"/>
                      <w:sz w:val="21"/>
                      <w:color w:val="000000"/>
                    </w:rPr>
                    <w:t>≥</w:t>
                  </w:r>
                  <w:r>
                    <w:rPr>
                      <w:rFonts w:ascii="仿宋_GB2312" w:hAnsi="仿宋_GB2312" w:cs="仿宋_GB2312" w:eastAsia="仿宋_GB2312"/>
                      <w:sz w:val="21"/>
                    </w:rPr>
                    <w:t>4</w:t>
                  </w:r>
                  <w:r>
                    <w:rPr>
                      <w:rFonts w:ascii="仿宋_GB2312" w:hAnsi="仿宋_GB2312" w:cs="仿宋_GB2312" w:eastAsia="仿宋_GB2312"/>
                      <w:sz w:val="21"/>
                      <w:color w:val="000000"/>
                    </w:rPr>
                    <w:t>KW</w:t>
                  </w:r>
                  <w:r>
                    <w:rPr>
                      <w:rFonts w:ascii="仿宋_GB2312" w:hAnsi="仿宋_GB2312" w:cs="仿宋_GB2312" w:eastAsia="仿宋_GB2312"/>
                      <w:sz w:val="21"/>
                    </w:rPr>
                    <w:t>；</w:t>
                  </w:r>
                  <w:r>
                    <w:rPr>
                      <w:rFonts w:ascii="仿宋_GB2312" w:hAnsi="仿宋_GB2312" w:cs="仿宋_GB2312" w:eastAsia="仿宋_GB2312"/>
                      <w:sz w:val="21"/>
                    </w:rPr>
                    <w:t>传动电机</w:t>
                  </w:r>
                  <w:r>
                    <w:rPr>
                      <w:rFonts w:ascii="仿宋_GB2312" w:hAnsi="仿宋_GB2312" w:cs="仿宋_GB2312" w:eastAsia="仿宋_GB2312"/>
                      <w:sz w:val="21"/>
                    </w:rPr>
                    <w:t>功率</w:t>
                  </w:r>
                  <w:r>
                    <w:rPr>
                      <w:rFonts w:ascii="仿宋_GB2312" w:hAnsi="仿宋_GB2312" w:cs="仿宋_GB2312" w:eastAsia="仿宋_GB2312"/>
                      <w:sz w:val="21"/>
                      <w:color w:val="000000"/>
                    </w:rPr>
                    <w:t>≥</w:t>
                  </w:r>
                  <w:r>
                    <w:rPr>
                      <w:rFonts w:ascii="仿宋_GB2312" w:hAnsi="仿宋_GB2312" w:cs="仿宋_GB2312" w:eastAsia="仿宋_GB2312"/>
                      <w:sz w:val="21"/>
                    </w:rPr>
                    <w:t>1.5</w:t>
                  </w:r>
                  <w:r>
                    <w:rPr>
                      <w:rFonts w:ascii="仿宋_GB2312" w:hAnsi="仿宋_GB2312" w:cs="仿宋_GB2312" w:eastAsia="仿宋_GB2312"/>
                      <w:sz w:val="21"/>
                      <w:color w:val="000000"/>
                    </w:rPr>
                    <w:t>KW</w:t>
                  </w:r>
                  <w:r>
                    <w:rPr>
                      <w:rFonts w:ascii="仿宋_GB2312" w:hAnsi="仿宋_GB2312" w:cs="仿宋_GB2312" w:eastAsia="仿宋_GB2312"/>
                      <w:sz w:val="21"/>
                    </w:rPr>
                    <w:t>，整机功率</w:t>
                  </w:r>
                  <w:r>
                    <w:rPr>
                      <w:rFonts w:ascii="仿宋_GB2312" w:hAnsi="仿宋_GB2312" w:cs="仿宋_GB2312" w:eastAsia="仿宋_GB2312"/>
                      <w:sz w:val="21"/>
                      <w:color w:val="000000"/>
                    </w:rPr>
                    <w:t>≥</w:t>
                  </w:r>
                  <w:r>
                    <w:rPr>
                      <w:rFonts w:ascii="仿宋_GB2312" w:hAnsi="仿宋_GB2312" w:cs="仿宋_GB2312" w:eastAsia="仿宋_GB2312"/>
                      <w:sz w:val="21"/>
                    </w:rPr>
                    <w:t>11.6KW</w:t>
                  </w:r>
                  <w:r>
                    <w:rPr>
                      <w:rFonts w:ascii="仿宋_GB2312" w:hAnsi="仿宋_GB2312" w:cs="仿宋_GB2312" w:eastAsia="仿宋_GB2312"/>
                      <w:sz w:val="21"/>
                      <w:color w:val="000000"/>
                    </w:rPr>
                    <w:t>；</w:t>
                  </w:r>
                  <w:r>
                    <w:rPr>
                      <w:rFonts w:ascii="仿宋_GB2312" w:hAnsi="仿宋_GB2312" w:cs="仿宋_GB2312" w:eastAsia="仿宋_GB2312"/>
                      <w:sz w:val="21"/>
                    </w:rPr>
                    <w:t>配套安装及终身技术服务。</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r>
                    <w:rPr>
                      <w:rFonts w:ascii="仿宋_GB2312" w:hAnsi="仿宋_GB2312" w:cs="仿宋_GB2312" w:eastAsia="仿宋_GB2312"/>
                      <w:sz w:val="21"/>
                    </w:rPr>
                    <w:t>型</w:t>
                  </w:r>
                  <w:r>
                    <w:rPr>
                      <w:rFonts w:ascii="仿宋_GB2312" w:hAnsi="仿宋_GB2312" w:cs="仿宋_GB2312" w:eastAsia="仿宋_GB2312"/>
                      <w:sz w:val="21"/>
                    </w:rPr>
                    <w:t>多功能连续理条杀青机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:380V</w:t>
                  </w:r>
                  <w:r>
                    <w:rPr>
                      <w:rFonts w:ascii="仿宋_GB2312" w:hAnsi="仿宋_GB2312" w:cs="仿宋_GB2312" w:eastAsia="仿宋_GB2312"/>
                      <w:sz w:val="21"/>
                      <w:color w:val="000000"/>
                    </w:rPr>
                    <w:t>；加热方式：</w:t>
                  </w:r>
                  <w:r>
                    <w:rPr>
                      <w:rFonts w:ascii="仿宋_GB2312" w:hAnsi="仿宋_GB2312" w:cs="仿宋_GB2312" w:eastAsia="仿宋_GB2312"/>
                      <w:sz w:val="21"/>
                    </w:rPr>
                    <w:t>电加热，</w:t>
                  </w:r>
                  <w:r>
                    <w:rPr>
                      <w:rFonts w:ascii="仿宋_GB2312" w:hAnsi="仿宋_GB2312" w:cs="仿宋_GB2312" w:eastAsia="仿宋_GB2312"/>
                      <w:sz w:val="21"/>
                    </w:rPr>
                    <w:t>加热功率</w:t>
                  </w:r>
                  <w:r>
                    <w:rPr>
                      <w:rFonts w:ascii="仿宋_GB2312" w:hAnsi="仿宋_GB2312" w:cs="仿宋_GB2312" w:eastAsia="仿宋_GB2312"/>
                      <w:sz w:val="21"/>
                      <w:color w:val="000000"/>
                    </w:rPr>
                    <w:t>≥</w:t>
                  </w:r>
                  <w:r>
                    <w:rPr>
                      <w:rFonts w:ascii="仿宋_GB2312" w:hAnsi="仿宋_GB2312" w:cs="仿宋_GB2312" w:eastAsia="仿宋_GB2312"/>
                      <w:sz w:val="21"/>
                    </w:rPr>
                    <w:t>8</w:t>
                  </w:r>
                  <w:r>
                    <w:rPr>
                      <w:rFonts w:ascii="仿宋_GB2312" w:hAnsi="仿宋_GB2312" w:cs="仿宋_GB2312" w:eastAsia="仿宋_GB2312"/>
                      <w:sz w:val="21"/>
                    </w:rPr>
                    <w:t>5</w:t>
                  </w:r>
                  <w:r>
                    <w:rPr>
                      <w:rFonts w:ascii="仿宋_GB2312" w:hAnsi="仿宋_GB2312" w:cs="仿宋_GB2312" w:eastAsia="仿宋_GB2312"/>
                      <w:sz w:val="21"/>
                      <w:color w:val="000000"/>
                    </w:rPr>
                    <w:t>KW</w:t>
                  </w:r>
                  <w:r>
                    <w:rPr>
                      <w:rFonts w:ascii="仿宋_GB2312" w:hAnsi="仿宋_GB2312" w:cs="仿宋_GB2312" w:eastAsia="仿宋_GB2312"/>
                      <w:sz w:val="21"/>
                    </w:rPr>
                    <w:t>；</w:t>
                  </w:r>
                  <w:r>
                    <w:rPr>
                      <w:rFonts w:ascii="仿宋_GB2312" w:hAnsi="仿宋_GB2312" w:cs="仿宋_GB2312" w:eastAsia="仿宋_GB2312"/>
                      <w:sz w:val="21"/>
                    </w:rPr>
                    <w:t>含上料机及出料振动槽</w:t>
                  </w:r>
                  <w:r>
                    <w:rPr>
                      <w:rFonts w:ascii="仿宋_GB2312" w:hAnsi="仿宋_GB2312" w:cs="仿宋_GB2312" w:eastAsia="仿宋_GB2312"/>
                      <w:sz w:val="21"/>
                      <w:color w:val="000000"/>
                    </w:rPr>
                    <w:t>；</w:t>
                  </w:r>
                  <w:r>
                    <w:rPr>
                      <w:rFonts w:ascii="仿宋_GB2312" w:hAnsi="仿宋_GB2312" w:cs="仿宋_GB2312" w:eastAsia="仿宋_GB2312"/>
                      <w:sz w:val="21"/>
                    </w:rPr>
                    <w:t>配套安装及终身技术服务</w:t>
                  </w:r>
                  <w:r>
                    <w:rPr>
                      <w:rFonts w:ascii="仿宋_GB2312" w:hAnsi="仿宋_GB2312" w:cs="仿宋_GB2312" w:eastAsia="仿宋_GB2312"/>
                      <w:sz w:val="21"/>
                    </w:rPr>
                    <w:t>。</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r>
                    <w:rPr>
                      <w:rFonts w:ascii="仿宋_GB2312" w:hAnsi="仿宋_GB2312" w:cs="仿宋_GB2312" w:eastAsia="仿宋_GB2312"/>
                      <w:sz w:val="21"/>
                    </w:rPr>
                    <w:t>型电磁热风杀青机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:380V</w:t>
                  </w:r>
                  <w:r>
                    <w:rPr>
                      <w:rFonts w:ascii="仿宋_GB2312" w:hAnsi="仿宋_GB2312" w:cs="仿宋_GB2312" w:eastAsia="仿宋_GB2312"/>
                      <w:sz w:val="21"/>
                      <w:color w:val="000000"/>
                    </w:rPr>
                    <w:t>；加热方式：</w:t>
                  </w:r>
                  <w:r>
                    <w:rPr>
                      <w:rFonts w:ascii="仿宋_GB2312" w:hAnsi="仿宋_GB2312" w:cs="仿宋_GB2312" w:eastAsia="仿宋_GB2312"/>
                      <w:sz w:val="21"/>
                    </w:rPr>
                    <w:t>电加热，</w:t>
                  </w:r>
                  <w:r>
                    <w:rPr>
                      <w:rFonts w:ascii="仿宋_GB2312" w:hAnsi="仿宋_GB2312" w:cs="仿宋_GB2312" w:eastAsia="仿宋_GB2312"/>
                      <w:sz w:val="21"/>
                    </w:rPr>
                    <w:t>加热功率</w:t>
                  </w:r>
                  <w:r>
                    <w:rPr>
                      <w:rFonts w:ascii="仿宋_GB2312" w:hAnsi="仿宋_GB2312" w:cs="仿宋_GB2312" w:eastAsia="仿宋_GB2312"/>
                      <w:sz w:val="21"/>
                      <w:color w:val="000000"/>
                    </w:rPr>
                    <w:t>≥</w:t>
                  </w:r>
                  <w:r>
                    <w:rPr>
                      <w:rFonts w:ascii="仿宋_GB2312" w:hAnsi="仿宋_GB2312" w:cs="仿宋_GB2312" w:eastAsia="仿宋_GB2312"/>
                      <w:sz w:val="21"/>
                    </w:rPr>
                    <w:t>160kw</w:t>
                  </w:r>
                  <w:r>
                    <w:rPr>
                      <w:rFonts w:ascii="仿宋_GB2312" w:hAnsi="仿宋_GB2312" w:cs="仿宋_GB2312" w:eastAsia="仿宋_GB2312"/>
                      <w:sz w:val="21"/>
                    </w:rPr>
                    <w:t>，</w:t>
                  </w:r>
                  <w:r>
                    <w:rPr>
                      <w:rFonts w:ascii="仿宋_GB2312" w:hAnsi="仿宋_GB2312" w:cs="仿宋_GB2312" w:eastAsia="仿宋_GB2312"/>
                      <w:sz w:val="21"/>
                    </w:rPr>
                    <w:t>热风功率</w:t>
                  </w:r>
                  <w:r>
                    <w:rPr>
                      <w:rFonts w:ascii="仿宋_GB2312" w:hAnsi="仿宋_GB2312" w:cs="仿宋_GB2312" w:eastAsia="仿宋_GB2312"/>
                      <w:sz w:val="21"/>
                      <w:color w:val="000000"/>
                    </w:rPr>
                    <w:t>≥</w:t>
                  </w:r>
                  <w:r>
                    <w:rPr>
                      <w:rFonts w:ascii="仿宋_GB2312" w:hAnsi="仿宋_GB2312" w:cs="仿宋_GB2312" w:eastAsia="仿宋_GB2312"/>
                      <w:sz w:val="21"/>
                    </w:rPr>
                    <w:t>60KW</w:t>
                  </w:r>
                  <w:r>
                    <w:rPr>
                      <w:rFonts w:ascii="仿宋_GB2312" w:hAnsi="仿宋_GB2312" w:cs="仿宋_GB2312" w:eastAsia="仿宋_GB2312"/>
                      <w:sz w:val="21"/>
                    </w:rPr>
                    <w:t>；</w:t>
                  </w:r>
                  <w:r>
                    <w:rPr>
                      <w:rFonts w:ascii="仿宋_GB2312" w:hAnsi="仿宋_GB2312" w:cs="仿宋_GB2312" w:eastAsia="仿宋_GB2312"/>
                      <w:sz w:val="21"/>
                    </w:rPr>
                    <w:t>滚筒材质</w:t>
                  </w:r>
                  <w:r>
                    <w:rPr>
                      <w:rFonts w:ascii="仿宋_GB2312" w:hAnsi="仿宋_GB2312" w:cs="仿宋_GB2312" w:eastAsia="仿宋_GB2312"/>
                      <w:sz w:val="21"/>
                    </w:rPr>
                    <w:t>：</w:t>
                  </w:r>
                  <w:r>
                    <w:rPr>
                      <w:rFonts w:ascii="仿宋_GB2312" w:hAnsi="仿宋_GB2312" w:cs="仿宋_GB2312" w:eastAsia="仿宋_GB2312"/>
                      <w:sz w:val="21"/>
                    </w:rPr>
                    <w:t>碳钢</w:t>
                  </w:r>
                  <w:r>
                    <w:rPr>
                      <w:rFonts w:ascii="仿宋_GB2312" w:hAnsi="仿宋_GB2312" w:cs="仿宋_GB2312" w:eastAsia="仿宋_GB2312"/>
                      <w:sz w:val="21"/>
                    </w:rPr>
                    <w:t>，</w:t>
                  </w:r>
                  <w:r>
                    <w:rPr>
                      <w:rFonts w:ascii="仿宋_GB2312" w:hAnsi="仿宋_GB2312" w:cs="仿宋_GB2312" w:eastAsia="仿宋_GB2312"/>
                      <w:sz w:val="21"/>
                    </w:rPr>
                    <w:t>厚度</w:t>
                  </w:r>
                  <w:r>
                    <w:rPr>
                      <w:rFonts w:ascii="仿宋_GB2312" w:hAnsi="仿宋_GB2312" w:cs="仿宋_GB2312" w:eastAsia="仿宋_GB2312"/>
                      <w:sz w:val="21"/>
                      <w:color w:val="000000"/>
                    </w:rPr>
                    <w:t>≥</w:t>
                  </w:r>
                  <w:r>
                    <w:rPr>
                      <w:rFonts w:ascii="仿宋_GB2312" w:hAnsi="仿宋_GB2312" w:cs="仿宋_GB2312" w:eastAsia="仿宋_GB2312"/>
                      <w:sz w:val="21"/>
                    </w:rPr>
                    <w:t>6</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无级变速</w:t>
                  </w:r>
                  <w:r>
                    <w:rPr>
                      <w:rFonts w:ascii="仿宋_GB2312" w:hAnsi="仿宋_GB2312" w:cs="仿宋_GB2312" w:eastAsia="仿宋_GB2312"/>
                      <w:sz w:val="21"/>
                      <w:color w:val="000000"/>
                    </w:rPr>
                    <w:t>；</w:t>
                  </w:r>
                  <w:r>
                    <w:rPr>
                      <w:rFonts w:ascii="仿宋_GB2312" w:hAnsi="仿宋_GB2312" w:cs="仿宋_GB2312" w:eastAsia="仿宋_GB2312"/>
                      <w:sz w:val="21"/>
                    </w:rPr>
                    <w:t>配套安装及终身技术服务</w:t>
                  </w:r>
                  <w:r>
                    <w:rPr>
                      <w:rFonts w:ascii="仿宋_GB2312" w:hAnsi="仿宋_GB2312" w:cs="仿宋_GB2312" w:eastAsia="仿宋_GB2312"/>
                      <w:sz w:val="21"/>
                    </w:rPr>
                    <w:t>。</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茶叶揉捻机全自动加压及转数调节器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220</w:t>
                  </w:r>
                  <w:r>
                    <w:rPr>
                      <w:rFonts w:ascii="仿宋_GB2312" w:hAnsi="仿宋_GB2312" w:cs="仿宋_GB2312" w:eastAsia="仿宋_GB2312"/>
                      <w:sz w:val="21"/>
                      <w:color w:val="000000"/>
                    </w:rPr>
                    <w:t>V</w:t>
                  </w:r>
                  <w:r>
                    <w:rPr>
                      <w:rFonts w:ascii="仿宋_GB2312" w:hAnsi="仿宋_GB2312" w:cs="仿宋_GB2312" w:eastAsia="仿宋_GB2312"/>
                      <w:sz w:val="21"/>
                      <w:color w:val="000000"/>
                    </w:rPr>
                    <w:t>；</w:t>
                  </w:r>
                  <w:r>
                    <w:rPr>
                      <w:rFonts w:ascii="仿宋_GB2312" w:hAnsi="仿宋_GB2312" w:cs="仿宋_GB2312" w:eastAsia="仿宋_GB2312"/>
                      <w:sz w:val="21"/>
                    </w:rPr>
                    <w:t>加压电机功率</w:t>
                  </w:r>
                  <w:r>
                    <w:rPr>
                      <w:rFonts w:ascii="仿宋_GB2312" w:hAnsi="仿宋_GB2312" w:cs="仿宋_GB2312" w:eastAsia="仿宋_GB2312"/>
                      <w:sz w:val="21"/>
                    </w:rPr>
                    <w:t>≥</w:t>
                  </w:r>
                  <w:r>
                    <w:rPr>
                      <w:rFonts w:ascii="仿宋_GB2312" w:hAnsi="仿宋_GB2312" w:cs="仿宋_GB2312" w:eastAsia="仿宋_GB2312"/>
                      <w:sz w:val="21"/>
                    </w:rPr>
                    <w:t>220w,</w:t>
                  </w:r>
                  <w:r>
                    <w:rPr>
                      <w:rFonts w:ascii="仿宋_GB2312" w:hAnsi="仿宋_GB2312" w:cs="仿宋_GB2312" w:eastAsia="仿宋_GB2312"/>
                      <w:sz w:val="21"/>
                    </w:rPr>
                    <w:t>调速器功率≥</w:t>
                  </w:r>
                  <w:r>
                    <w:rPr>
                      <w:rFonts w:ascii="仿宋_GB2312" w:hAnsi="仿宋_GB2312" w:cs="仿宋_GB2312" w:eastAsia="仿宋_GB2312"/>
                      <w:sz w:val="21"/>
                    </w:rPr>
                    <w:t>4kw</w:t>
                  </w:r>
                  <w:r>
                    <w:rPr>
                      <w:rFonts w:ascii="仿宋_GB2312" w:hAnsi="仿宋_GB2312" w:cs="仿宋_GB2312" w:eastAsia="仿宋_GB2312"/>
                      <w:sz w:val="21"/>
                    </w:rPr>
                    <w:t>，转数可调节范围：</w:t>
                  </w:r>
                  <w:r>
                    <w:rPr>
                      <w:rFonts w:ascii="仿宋_GB2312" w:hAnsi="仿宋_GB2312" w:cs="仿宋_GB2312" w:eastAsia="仿宋_GB2312"/>
                      <w:sz w:val="21"/>
                    </w:rPr>
                    <w:t>0-50</w:t>
                  </w:r>
                  <w:r>
                    <w:rPr>
                      <w:rFonts w:ascii="仿宋_GB2312" w:hAnsi="仿宋_GB2312" w:cs="仿宋_GB2312" w:eastAsia="仿宋_GB2312"/>
                      <w:sz w:val="21"/>
                    </w:rPr>
                    <w:t>转</w:t>
                  </w:r>
                  <w:r>
                    <w:rPr>
                      <w:rFonts w:ascii="仿宋_GB2312" w:hAnsi="仿宋_GB2312" w:cs="仿宋_GB2312" w:eastAsia="仿宋_GB2312"/>
                      <w:sz w:val="21"/>
                    </w:rPr>
                    <w:t>/min</w:t>
                  </w:r>
                  <w:r>
                    <w:rPr>
                      <w:rFonts w:ascii="仿宋_GB2312" w:hAnsi="仿宋_GB2312" w:cs="仿宋_GB2312" w:eastAsia="仿宋_GB2312"/>
                      <w:sz w:val="21"/>
                    </w:rPr>
                    <w:t>；配套控制箱、安装及终身技术服务。</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YJV</w:t>
                  </w:r>
                  <w:r>
                    <w:rPr>
                      <w:rFonts w:ascii="仿宋_GB2312" w:hAnsi="仿宋_GB2312" w:cs="仿宋_GB2312" w:eastAsia="仿宋_GB2312"/>
                      <w:sz w:val="21"/>
                    </w:rPr>
                    <w:t>-50mm</w:t>
                  </w:r>
                  <w:r>
                    <w:rPr>
                      <w:rFonts w:ascii="仿宋_GB2312" w:hAnsi="仿宋_GB2312" w:cs="仿宋_GB2312" w:eastAsia="仿宋_GB2312"/>
                      <w:sz w:val="21"/>
                    </w:rPr>
                    <w:t>²单芯电缆</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GB/T 12706.1-2020</w:t>
                  </w:r>
                  <w:r>
                    <w:rPr>
                      <w:rFonts w:ascii="仿宋_GB2312" w:hAnsi="仿宋_GB2312" w:cs="仿宋_GB2312" w:eastAsia="仿宋_GB2312"/>
                      <w:sz w:val="21"/>
                    </w:rPr>
                    <w:t>要求。</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YJV</w:t>
                  </w:r>
                  <w:r>
                    <w:rPr>
                      <w:rFonts w:ascii="仿宋_GB2312" w:hAnsi="仿宋_GB2312" w:cs="仿宋_GB2312" w:eastAsia="仿宋_GB2312"/>
                      <w:sz w:val="21"/>
                    </w:rPr>
                    <w:t>-3</w:t>
                  </w:r>
                  <w:r>
                    <w:rPr>
                      <w:rFonts w:ascii="仿宋_GB2312" w:hAnsi="仿宋_GB2312" w:cs="仿宋_GB2312" w:eastAsia="仿宋_GB2312"/>
                      <w:sz w:val="21"/>
                    </w:rPr>
                    <w:t>×16mm²</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mm²</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GB/T 12706.1-2020</w:t>
                  </w:r>
                  <w:r>
                    <w:rPr>
                      <w:rFonts w:ascii="仿宋_GB2312" w:hAnsi="仿宋_GB2312" w:cs="仿宋_GB2312" w:eastAsia="仿宋_GB2312"/>
                      <w:sz w:val="21"/>
                    </w:rPr>
                    <w:t>要求。</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YJV</w:t>
                  </w:r>
                  <w:r>
                    <w:rPr>
                      <w:rFonts w:ascii="仿宋_GB2312" w:hAnsi="仿宋_GB2312" w:cs="仿宋_GB2312" w:eastAsia="仿宋_GB2312"/>
                      <w:sz w:val="21"/>
                    </w:rPr>
                    <w:t>-3</w:t>
                  </w:r>
                  <w:r>
                    <w:rPr>
                      <w:rFonts w:ascii="仿宋_GB2312" w:hAnsi="仿宋_GB2312" w:cs="仿宋_GB2312" w:eastAsia="仿宋_GB2312"/>
                      <w:sz w:val="21"/>
                    </w:rPr>
                    <w:t>×70mm²</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mm²</w:t>
                  </w:r>
                  <w:r>
                    <w:rPr>
                      <w:rFonts w:ascii="仿宋_GB2312" w:hAnsi="仿宋_GB2312" w:cs="仿宋_GB2312" w:eastAsia="仿宋_GB2312"/>
                      <w:sz w:val="21"/>
                    </w:rPr>
                    <w:t>，符合</w:t>
                  </w:r>
                  <w:r>
                    <w:rPr>
                      <w:rFonts w:ascii="仿宋_GB2312" w:hAnsi="仿宋_GB2312" w:cs="仿宋_GB2312" w:eastAsia="仿宋_GB2312"/>
                      <w:sz w:val="21"/>
                    </w:rPr>
                    <w:t>GB/T 12706.1-2020</w:t>
                  </w:r>
                  <w:r>
                    <w:rPr>
                      <w:rFonts w:ascii="仿宋_GB2312" w:hAnsi="仿宋_GB2312" w:cs="仿宋_GB2312" w:eastAsia="仿宋_GB2312"/>
                      <w:sz w:val="21"/>
                    </w:rPr>
                    <w:t>要求。</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注：1. 以“●”标注的为本项目核心产品 ； 2.安装要求：按照要求安装至指定位置。</w:t>
            </w:r>
          </w:p>
          <w:tbl>
            <w:tblPr>
              <w:tblBorders>
                <w:top w:val="single"/>
                <w:left w:val="single"/>
                <w:bottom w:val="single"/>
                <w:right w:val="single"/>
                <w:insideH w:val="single"/>
                <w:insideV w:val="single"/>
              </w:tblBorders>
            </w:tblPr>
            <w:tblGrid>
              <w:gridCol w:w="2553"/>
            </w:tblGrid>
            <w:tr>
              <w:tc>
                <w:tcPr>
                  <w:tcW w:type="dxa" w:w="2553"/>
                  <w:tcBorders>
                    <w:top w:val="none" w:color="000000" w:sz="4"/>
                    <w:left w:val="none" w:color="000000" w:sz="4"/>
                    <w:bottom w:val="single" w:color="E5E5E5" w:sz="4"/>
                    <w:right w:val="single" w:color="E5E5E5" w:sz="4"/>
                  </w:tcBorders>
                  <w:tcMar>
                    <w:top w:type="dxa" w:w="0"/>
                    <w:left w:type="dxa" w:w="0"/>
                    <w:bottom w:type="dxa" w:w="0"/>
                    <w:right w:type="dxa" w:w="0"/>
                  </w:tcMar>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自合同签订之日起60天内交付使用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西乡县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进度款，项目交付经验收合格后，达到付款条件起30个工作日内，支付合同总金额的50.0%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进度款，项目交付经验收合格后，达到付款条件起30个工作日内，支付合同总金额的50.0%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一、交付标准：（1）供应商向采购人提交项目实施过程中的所有资料。 （2）验收须以合同、招标文件及投标文件、澄清及国家相应的标准、规范等为依据。 （3）符合国家和履约相关的安全质量标准，行业技术规范标准；（4）所有设备及辅材为全新、未拆封、原厂合格正品，符合招标文件及投标文件承诺中采购人认可的合理最佳配置、参数规格及各项要求，无减配、以次充好，原厂合格证、配件、随机工具、用户使用手册（产品使用说明书）、保修卡等资料； （5）双方约定的其他验收标准。 （6）采购人在合同的履行期间以及履行期后，可以随时检查项目的执行情况，对采购标准、采购内容进行调查核实，并对发现的问题进行处理。二、验收方法：（1）核对设备数量、外观及随货资料完整性；进行安装调试后的功能测试；开展为期 15 天的试运行验收，确认设备稳定运行，所有指标达标后，双方签署验收文件；存在问题的，供应商需在 5 个工作日内整改完毕并申请复验。（2）双方约定的其他验收方法。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一、交付标准：（1）供应商向采购人提交项目实施过程中的所有资料。 （2）验收须以合同、招标文件及投标文件、澄清及国家相应的标准、规范等为依据。 （3）符合国家和履约相关的安全质量标准，行业技术规范标准；（4）所有设备及辅材为全新、未拆封、原厂合格正品，符合招标文件及投标文件承诺中采购人认可的合理最佳配置、参数规格及各项要求，无减配、以次充好，原厂合格证、配件、随机工具、用户使用手册（产品使用说明书）、保修卡等资料； （5）双方约定的其他验收标准。 （6）采购人在合同的履行期间以及履行期后，可以随时检查项目的执行情况，对采购标准、采购内容进行调查核实，并对发现的问题进行处理。二、验收方法：（1）核对设备数量、外观及随货资料完整性；进行安装调试后的功能测试；开展为期 15 天的试运行验收，确认设备稳定运行，所有指标达标后，双方签署验收文件；存在问题的，供应商需在 5 个工作日内整改完毕并申请复验。（2）双方约定的其他验收方法。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范围：所有设备主体及配套配件。（2）保修期：本项目整体免费质保2年。（3）供应商承诺的保修期起始时间为终验合格之日。（4）保修责任：质保期出现的质量问题由中标供应商负责解决并承担所有费用。保修期内，供应商需在接到报修通知后 24 小时内响应，48 小时内到场维修（偏远地区可延长至 72 小时），维修费用（含配件、人工）由供应商承担；需更换配件的，更换后配件保修期自更换之日起重新计算。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保修范围：所有设备主体及配套配件。（2）保修期：本项目整体免费质保2年。（3）供应商承诺的保修期起始时间为终验合格之日。（4）保修责任：质保期出现的质量问题由中标供应商负责解决并承担所有费用。保修期内，供应商需在接到报修通知后 24 小时内响应，48 小时内到场维修（偏远地区可延长至 72 小时），维修费用（含配件、人工）由供应商承担；需更换配件的，更换后配件保修期自更换之日起重新计算。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一、违约责任1.供应商违约：（1）逾期交付：每逾期 1 日，按合同总金额的 0.5‰支付违约金，逾期超过 15 日，采购人有权解除合同并要求赔偿损失。但采购人书面同意延迟或因采购人原因导致延迟的，供应商不承担违约责任。 （2）质量不合格：未达验收标准的，则视为供应商没有按时交货而违约，供应商无条件更换合格的设备；如逾期不能更换合格的设备，采购人有权终止本合同，供应商应另向采购人支付货款总额的 10 %的违约金。（3）保修违约：如经供应商维修或更换，设备仍不能达到合同约定的质量标准，采购人有权退货，供应商应退回全部货款，造成采购人损失的另行赔偿。2.采购人违约：（1）逾期付款：每逾期 1 日，按应付未付款项的 0.5‰支付违约金。（2）无故拒收设备：需支付合同总金额 5% 的违约金，赔偿投标人实际损失。二、争议解决方法双方因合同履行产生争议，应先友好协商解决。协商不成的，可向项目所在地政府采购监管部门申请调解。调解无效的，依法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一、违约责任1.供应商违约：（1）逾期交付：每逾期 1 日，按合同总金额的 0.5‰支付违约金，逾期超过 15 日，采购人有权解除合同并要求赔偿损失。但采购人书面同意延迟或因采购人原因导致延迟的，供应商不承担违约责任。 （2）质量不合格：未达验收标准的，则视为供应商没有按时交货而违约，供应商无条件更换合格的设备；如逾期不能更换合格的设备，采购人有权终止本合同，供应商应另向采购人支付货款总额的 10 %的违约金。（3）保修违约：如经供应商维修或更换，设备仍不能达到合同约定的质量标准，采购人有权退货，供应商应退回全部货款，造成采购人损失的另行赔偿。2.采购人违约：（1）逾期付款：每逾期 1 日，按应付未付款项的 0.5‰支付违约金。（2）无故拒收设备：需支付合同总金额 5% 的违约金，赔偿投标人实际损失。二、争议解决方法双方因合同履行产生争议，应先友好协商解决。协商不成的，可向项目所在地政府采购监管部门申请调解。调解无效的，依法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 材料应清晰可辨并进行电子签章 ）</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 材料应清晰可辨并进行电子签章 ）</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 材料应清晰可辨并进行电子签章 ）</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 材料应清晰可辨并进行电子签章 ）</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 材料应清晰可辨并进行电子签章 ）</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 材料应清晰可辨并进行电子签章 ）</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业绩一览表.docx 中小企业声明函.docx 商务要求响应表.docx 分项报价表.docx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投标有效期审查内容</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开标一览表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技术参数偏离表.docx 开标一览表 业绩一览表.docx 中小企业声明函.docx 商务要求响应表.docx 分项报价表.docx 投标人应提交的相关资格证明材料.docx 投标函 残疾人福利性单位声明函 标的清单 关于符合本国产品标准的声明函 投标文件封面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业绩一览表.docx 中小企业声明函.docx 商务要求响应表.docx 分项报价表.docx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 审查内容</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开标一览表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技术参数偏离表.docx 开标一览表 业绩一览表.docx 中小企业声明函.docx 商务要求响应表.docx 分项报价表.docx 投标人应提交的相关资格证明材料.docx 投标函 残疾人福利性单位声明函 标的清单 关于符合本国产品标准的声明函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投标人针对本项目进行具有详细、具体的实施方案，包括但不限于：①项目进度计划及保障措施②订货及供货组织安排③设备质量目标及措施④拟派人员配置及岗位职责⑤设备安装调试方案⑥交货验收方案。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一、评审内容：产品选型科学、合理、先进、配置齐全，满足招标文件要求。 二、赋分标准： 1、投标人所投设备完全满足招标文件技术参数且标“▲”号技术参数均提供了与之对应的证明材料（第三方机构出具的检测报告/技术白皮书/宣传彩页等）得20分； 2、标“▲”号参数每负偏离一项扣1分（未提供相对应的证明材料视为负偏离），扣完为止。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投标人针对本项目进行具有详细、具体的售后服务方案，包括但不限于：①各类故障解决措施及响应时效②备用设备与应急保障③维护与回访机制。 二、赋分标准：每提供一项内容得3分，满分9分。此项不提供不得分。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一、评审内容：根据项目采购内容及实际情况，提供设备技术指导培训方案。 内容包含：①培训目标；②培训对象；③培训内容（操作 / 维护 ）。 二、赋分标准：每提供一项内容得2分，满分6分。此项不提供不得分。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一、评审内容：投标人提供类似项目业绩。 二、赋分标准：投标人须提供 2024年8月1日至今类似项目业绩，投标文件内附中标通知书或合同/协议书复印件并加盖公章，提供一份业绩得2分，最高得4分；此项不提供不得分。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一、评审内容：针对本项目内容提供工作制度，包括不限于：①供货对接管理制度；②台账档案管理制度；③运输配送安全管理制度；④质量问题处理制度；⑤售后管理制度。二、赋分标准： 以上各项内容均有描述，得5分；每缺1项扣1分，扣完为止。此项不提供不得分。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一、评审内容：提供核心产品完整合法来源渠道证明。 二、赋分标准：提供产品授权书或销售协议等得5分，此项不提供不得分。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一、评审内容：属于农业机械推广鉴定大纲目录里面的设备须提供农业机械推广鉴定证书和检验报告。二、赋分标准：提供证书和检验报告复印件并加盖投标人公章得3分，此项不提供不得分。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2.以满足本次招标文件要求的最低报价为评审基准价，其价格为满分； 3.投标人报价得分=（评审基准价/报价）×30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投标人针对本项目进行具有详细、具体的实施方案，包括但不限于：①项目进度计划及保障措施②订货及供货组织安排③设备质量目标及措施④拟派人员配置及岗位职责⑤设备安装调试方案⑥交货验收方案。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一、评审内容：产品选型科学、合理、先进、配置齐全，满足招标文件要求。 二、赋分标准： 1、投标人所投设备完全满足招标文件技术参数且标“▲”号技术参数均提供了与之对应的证明材料（第三方机构出具的检测报告/技术白皮书/宣传彩页等）得20分； 2、标“▲”号参数每负偏离一项扣0.5分（未提供相对应的证明材料视为负偏离），扣完为止。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投标人针对本项目进行具有详细、具体的售后服务方案，包括但不限于：①各类故障解决措施及响应时效②备用设备与应急保障③维护与回访机制。 二、赋分标准：每提供一项内容得3分，满分9分。此项不提供不得分。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一、评审内容：根据项目采购内容及实际情况，提供设备技术指导培训方案。 内容包含：①培训目标；②培训对象；③培训内容（操作 / 维护 ）。 二、赋分标准：每提供一项内容得2分，满分6分。此项不提供不得分。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一、评审内容：投标人提供类似项目业绩。 二、赋分标准：投标人须提供 2024年8月1日至今类似项目业绩，投标文件内附中标通知书或合同/协议书复印件并加盖公章，提供一份业绩得2分，最高得4分；此项不提供不得分。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一、评审内容：针对本项目内容提供工作制度，包括不限于：①供货对接管理制度；②台账档案管理制度；③运输配送安全管理制度；④质量问题处理制度；⑤售后管理制度。二、赋分标准： 以上各项内容均有描述，得5分；每缺1项扣1分，扣完为止。此项不提供不得分。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一、评审内容：提供产品完整合法来源渠道证明。 二、赋分标准：每提供1个产品授权书或销售协议等得1分，最高5分。此项不提供不得分。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一、评审内容：属于农业机械推广鉴定大纲目录里面的设备须提供农业机械推广鉴定证书和检验报告。二、赋分标准：提供证书和检验报告复印件并加盖投标人公章得3分，此项不提供不得分。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2.以满足本次招标文件要求的最低报价为评审基准价，其价格为满分； 3.投标人报价得分=（评审基准价/报价）×30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