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8148E">
      <w:pPr>
        <w:pStyle w:val="2"/>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拟签订的合同文本</w:t>
      </w:r>
    </w:p>
    <w:p w14:paraId="471BB8FA">
      <w:pPr>
        <w:adjustRightInd w:val="0"/>
        <w:snapToGrid w:val="0"/>
        <w:spacing w:line="360" w:lineRule="auto"/>
        <w:ind w:firstLine="220" w:firstLineChars="100"/>
        <w:jc w:val="left"/>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 注：本合同作为合同的基本格式，甲乙双方有权在签订合同时对合同的相关条款及内容作进一步细化和修改，但不得偏离招标文件及投标文件）</w:t>
      </w:r>
    </w:p>
    <w:p w14:paraId="7F0B8FA1">
      <w:pPr>
        <w:pStyle w:val="12"/>
        <w:spacing w:line="360" w:lineRule="auto"/>
        <w:ind w:firstLine="440" w:firstLineChars="200"/>
        <w:rPr>
          <w:rFonts w:hint="eastAsia" w:ascii="仿宋" w:hAnsi="仿宋" w:eastAsia="仿宋" w:cs="仿宋"/>
          <w:color w:val="000000" w:themeColor="text1"/>
          <w:kern w:val="2"/>
          <w:sz w:val="22"/>
          <w:szCs w:val="22"/>
          <w14:textFill>
            <w14:solidFill>
              <w14:schemeClr w14:val="tx1"/>
            </w14:solidFill>
          </w14:textFill>
        </w:rPr>
      </w:pPr>
      <w:r>
        <w:rPr>
          <w:rFonts w:hint="eastAsia" w:ascii="仿宋" w:hAnsi="仿宋" w:eastAsia="仿宋" w:cs="仿宋"/>
          <w:color w:val="000000" w:themeColor="text1"/>
          <w:kern w:val="2"/>
          <w:sz w:val="22"/>
          <w:szCs w:val="22"/>
          <w14:textFill>
            <w14:solidFill>
              <w14:schemeClr w14:val="tx1"/>
            </w14:solidFill>
          </w14:textFill>
        </w:rPr>
        <w:t>甲方（买方）：</w:t>
      </w:r>
      <w:r>
        <w:rPr>
          <w:rFonts w:hint="eastAsia" w:ascii="仿宋" w:hAnsi="仿宋" w:eastAsia="仿宋" w:cs="仿宋"/>
          <w:color w:val="000000" w:themeColor="text1"/>
          <w:kern w:val="2"/>
          <w:sz w:val="22"/>
          <w:szCs w:val="22"/>
          <w:u w:val="single"/>
          <w14:textFill>
            <w14:solidFill>
              <w14:schemeClr w14:val="tx1"/>
            </w14:solidFill>
          </w14:textFill>
        </w:rPr>
        <w:t xml:space="preserve">                    </w:t>
      </w:r>
    </w:p>
    <w:p w14:paraId="304BE3D5">
      <w:pPr>
        <w:spacing w:line="360" w:lineRule="auto"/>
        <w:ind w:firstLine="440" w:firstLineChars="200"/>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 xml:space="preserve">乙方（卖方）： </w:t>
      </w:r>
      <w:r>
        <w:rPr>
          <w:rFonts w:hint="eastAsia" w:ascii="仿宋" w:hAnsi="仿宋" w:eastAsia="仿宋" w:cs="仿宋"/>
          <w:color w:val="000000" w:themeColor="text1"/>
          <w:sz w:val="22"/>
          <w:szCs w:val="22"/>
          <w:u w:val="single"/>
          <w14:textFill>
            <w14:solidFill>
              <w14:schemeClr w14:val="tx1"/>
            </w14:solidFill>
          </w14:textFill>
        </w:rPr>
        <w:t xml:space="preserve">                  </w:t>
      </w:r>
    </w:p>
    <w:p w14:paraId="7A2BDF16">
      <w:pPr>
        <w:pStyle w:val="12"/>
        <w:spacing w:line="360" w:lineRule="auto"/>
        <w:ind w:firstLine="440" w:firstLineChars="200"/>
        <w:rPr>
          <w:rFonts w:hint="eastAsia" w:ascii="仿宋" w:hAnsi="仿宋" w:eastAsia="仿宋" w:cs="仿宋"/>
          <w:color w:val="000000" w:themeColor="text1"/>
          <w:kern w:val="2"/>
          <w:sz w:val="22"/>
          <w:szCs w:val="22"/>
          <w14:textFill>
            <w14:solidFill>
              <w14:schemeClr w14:val="tx1"/>
            </w14:solidFill>
          </w14:textFill>
        </w:rPr>
      </w:pPr>
      <w:r>
        <w:rPr>
          <w:rFonts w:hint="eastAsia" w:ascii="仿宋" w:hAnsi="仿宋" w:eastAsia="仿宋" w:cs="仿宋"/>
          <w:color w:val="000000" w:themeColor="text1"/>
          <w:kern w:val="2"/>
          <w:sz w:val="22"/>
          <w:szCs w:val="22"/>
          <w14:textFill>
            <w14:solidFill>
              <w14:schemeClr w14:val="tx1"/>
            </w14:solidFill>
          </w14:textFill>
        </w:rPr>
        <w:t>签订地点：</w:t>
      </w:r>
      <w:r>
        <w:rPr>
          <w:rFonts w:hint="eastAsia" w:ascii="仿宋" w:hAnsi="仿宋" w:eastAsia="仿宋" w:cs="仿宋"/>
          <w:color w:val="000000" w:themeColor="text1"/>
          <w:kern w:val="2"/>
          <w:sz w:val="22"/>
          <w:szCs w:val="22"/>
          <w:u w:val="single"/>
          <w14:textFill>
            <w14:solidFill>
              <w14:schemeClr w14:val="tx1"/>
            </w14:solidFill>
          </w14:textFill>
        </w:rPr>
        <w:t xml:space="preserve">                       </w:t>
      </w:r>
    </w:p>
    <w:p w14:paraId="2F12A9D8">
      <w:pPr>
        <w:spacing w:line="360" w:lineRule="auto"/>
        <w:ind w:firstLine="440" w:firstLineChars="200"/>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签订时间：</w:t>
      </w:r>
      <w:r>
        <w:rPr>
          <w:rFonts w:hint="eastAsia" w:ascii="仿宋" w:hAnsi="仿宋" w:eastAsia="仿宋" w:cs="仿宋"/>
          <w:color w:val="000000" w:themeColor="text1"/>
          <w:sz w:val="22"/>
          <w:szCs w:val="22"/>
          <w:u w:val="single"/>
          <w14:textFill>
            <w14:solidFill>
              <w14:schemeClr w14:val="tx1"/>
            </w14:solidFill>
          </w14:textFill>
        </w:rPr>
        <w:t xml:space="preserve">                       </w:t>
      </w:r>
    </w:p>
    <w:p w14:paraId="080078C3">
      <w:pPr>
        <w:spacing w:line="360" w:lineRule="auto"/>
        <w:ind w:firstLine="440" w:firstLineChars="200"/>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合同编号：</w:t>
      </w:r>
      <w:r>
        <w:rPr>
          <w:rFonts w:hint="eastAsia" w:ascii="仿宋" w:hAnsi="仿宋" w:eastAsia="仿宋" w:cs="仿宋"/>
          <w:color w:val="000000" w:themeColor="text1"/>
          <w:sz w:val="22"/>
          <w:szCs w:val="22"/>
          <w:u w:val="single"/>
          <w14:textFill>
            <w14:solidFill>
              <w14:schemeClr w14:val="tx1"/>
            </w14:solidFill>
          </w14:textFill>
        </w:rPr>
        <w:t xml:space="preserve">                       </w:t>
      </w:r>
      <w:r>
        <w:rPr>
          <w:rFonts w:hint="eastAsia" w:ascii="仿宋" w:hAnsi="仿宋" w:eastAsia="仿宋" w:cs="仿宋"/>
          <w:color w:val="000000" w:themeColor="text1"/>
          <w:sz w:val="22"/>
          <w:szCs w:val="22"/>
          <w14:textFill>
            <w14:solidFill>
              <w14:schemeClr w14:val="tx1"/>
            </w14:solidFill>
          </w14:textFill>
        </w:rPr>
        <w:t xml:space="preserve">  </w:t>
      </w:r>
    </w:p>
    <w:p w14:paraId="709AA69E">
      <w:pPr>
        <w:spacing w:line="360" w:lineRule="auto"/>
        <w:ind w:firstLine="440" w:firstLineChars="200"/>
        <w:rPr>
          <w:rFonts w:hint="eastAsia" w:ascii="黑体" w:hAnsi="黑体" w:eastAsia="黑体" w:cs="黑体"/>
          <w:color w:val="000000" w:themeColor="text1"/>
          <w:sz w:val="22"/>
          <w:szCs w:val="22"/>
          <w:u w:val="single"/>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 xml:space="preserve">合同名称： </w:t>
      </w:r>
      <w:r>
        <w:rPr>
          <w:rFonts w:hint="eastAsia" w:ascii="仿宋" w:hAnsi="仿宋" w:eastAsia="仿宋" w:cs="仿宋"/>
          <w:color w:val="000000" w:themeColor="text1"/>
          <w:sz w:val="22"/>
          <w:szCs w:val="22"/>
          <w:u w:val="single"/>
          <w14:textFill>
            <w14:solidFill>
              <w14:schemeClr w14:val="tx1"/>
            </w14:solidFill>
          </w14:textFill>
        </w:rPr>
        <w:t xml:space="preserve">                      </w:t>
      </w:r>
      <w:r>
        <w:rPr>
          <w:rFonts w:hint="eastAsia" w:ascii="仿宋" w:hAnsi="仿宋" w:eastAsia="仿宋" w:cs="仿宋"/>
          <w:color w:val="000000" w:themeColor="text1"/>
          <w:sz w:val="22"/>
          <w:szCs w:val="22"/>
          <w14:textFill>
            <w14:solidFill>
              <w14:schemeClr w14:val="tx1"/>
            </w14:solidFill>
          </w14:textFill>
        </w:rPr>
        <w:t xml:space="preserve">           </w:t>
      </w:r>
      <w:r>
        <w:rPr>
          <w:rFonts w:hint="eastAsia" w:ascii="黑体" w:hAnsi="黑体" w:eastAsia="黑体" w:cs="黑体"/>
          <w:color w:val="000000" w:themeColor="text1"/>
          <w:kern w:val="1"/>
          <w:sz w:val="22"/>
          <w:szCs w:val="22"/>
          <w14:textFill>
            <w14:solidFill>
              <w14:schemeClr w14:val="tx1"/>
            </w14:solidFill>
          </w14:textFill>
        </w:rPr>
        <w:t xml:space="preserve">                </w:t>
      </w:r>
    </w:p>
    <w:p w14:paraId="6486B4F4">
      <w:pPr>
        <w:pStyle w:val="12"/>
        <w:adjustRightInd w:val="0"/>
        <w:snapToGrid w:val="0"/>
        <w:spacing w:line="360" w:lineRule="auto"/>
        <w:ind w:firstLine="240" w:firstLineChars="100"/>
        <w:rPr>
          <w:rFonts w:hint="eastAsia" w:ascii="仿宋" w:hAnsi="仿宋" w:eastAsia="仿宋" w:cs="仿宋"/>
          <w:color w:val="000000" w:themeColor="text1"/>
          <w14:textFill>
            <w14:solidFill>
              <w14:schemeClr w14:val="tx1"/>
            </w14:solidFill>
          </w14:textFill>
        </w:rPr>
      </w:pPr>
    </w:p>
    <w:p w14:paraId="6FD33EDE">
      <w:pPr>
        <w:pStyle w:val="12"/>
        <w:adjustRightInd w:val="0"/>
        <w:snapToGrid w:val="0"/>
        <w:spacing w:line="360" w:lineRule="auto"/>
        <w:ind w:firstLine="240" w:firstLineChars="1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根据《中华人民共和国政府采购法》及实施条例、《中华人民共和国民法典》和招标文件文件、投标文件等有关规定，为确保甲方采购项目的顺利实施，甲、乙双方在平等自愿原则下签订本合同，并共同遵守如下条款：</w:t>
      </w:r>
    </w:p>
    <w:p w14:paraId="5675F4EE">
      <w:pPr>
        <w:pStyle w:val="12"/>
        <w:adjustRightInd w:val="0"/>
        <w:snapToGrid w:val="0"/>
        <w:spacing w:line="360" w:lineRule="auto"/>
        <w:ind w:firstLine="241" w:firstLineChars="100"/>
        <w:outlineLvl w:val="1"/>
        <w:rPr>
          <w:rFonts w:hint="eastAsia" w:ascii="仿宋" w:hAnsi="仿宋" w:eastAsia="仿宋" w:cs="仿宋"/>
          <w:b/>
          <w:color w:val="000000" w:themeColor="text1"/>
          <w14:textFill>
            <w14:solidFill>
              <w14:schemeClr w14:val="tx1"/>
            </w14:solidFill>
          </w14:textFill>
        </w:rPr>
      </w:pPr>
      <w:bookmarkStart w:id="0" w:name="_Toc16582"/>
      <w:r>
        <w:rPr>
          <w:rFonts w:hint="eastAsia" w:ascii="仿宋" w:hAnsi="仿宋" w:eastAsia="仿宋" w:cs="仿宋"/>
          <w:b/>
          <w:color w:val="000000" w:themeColor="text1"/>
          <w14:textFill>
            <w14:solidFill>
              <w14:schemeClr w14:val="tx1"/>
            </w14:solidFill>
          </w14:textFill>
        </w:rPr>
        <w:t>第一条 合同标的及数量</w:t>
      </w:r>
      <w:bookmarkEnd w:id="0"/>
    </w:p>
    <w:p w14:paraId="69C4DEA5">
      <w:pPr>
        <w:pStyle w:val="12"/>
        <w:adjustRightInd w:val="0"/>
        <w:snapToGrid w:val="0"/>
        <w:spacing w:line="360" w:lineRule="auto"/>
        <w:ind w:firstLine="240" w:firstLineChars="100"/>
        <w:rPr>
          <w:rFonts w:hint="eastAsia" w:ascii="仿宋" w:hAnsi="仿宋" w:eastAsia="仿宋" w:cs="仿宋"/>
          <w:b/>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乙方向甲方提供下列货物（产品）：（可以以附件形式提供）</w:t>
      </w:r>
    </w:p>
    <w:tbl>
      <w:tblPr>
        <w:tblStyle w:val="10"/>
        <w:tblpPr w:leftFromText="180" w:rightFromText="180" w:vertAnchor="text" w:horzAnchor="margin" w:tblpX="-712" w:tblpY="309"/>
        <w:tblW w:w="98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143"/>
        <w:gridCol w:w="915"/>
        <w:gridCol w:w="840"/>
        <w:gridCol w:w="1095"/>
        <w:gridCol w:w="1215"/>
        <w:gridCol w:w="1035"/>
        <w:gridCol w:w="1269"/>
        <w:gridCol w:w="1404"/>
      </w:tblGrid>
      <w:tr w14:paraId="7ECB9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900" w:type="dxa"/>
            <w:vAlign w:val="center"/>
          </w:tcPr>
          <w:p w14:paraId="28C2CCC2">
            <w:pPr>
              <w:pStyle w:val="3"/>
              <w:adjustRightInd w:val="0"/>
              <w:snapToGrid w:val="0"/>
              <w:spacing w:line="240" w:lineRule="auto"/>
              <w:rPr>
                <w:rFonts w:hint="eastAsia" w:ascii="仿宋" w:hAnsi="仿宋" w:eastAsia="仿宋" w:cs="仿宋"/>
                <w:color w:val="000000" w:themeColor="text1"/>
                <w:sz w:val="24"/>
                <w:szCs w:val="24"/>
                <w14:textFill>
                  <w14:solidFill>
                    <w14:schemeClr w14:val="tx1"/>
                  </w14:solidFill>
                </w14:textFill>
              </w:rPr>
            </w:pPr>
            <w:bookmarkStart w:id="1" w:name="_Toc26243"/>
            <w:r>
              <w:rPr>
                <w:rFonts w:hint="eastAsia" w:ascii="仿宋" w:hAnsi="仿宋" w:eastAsia="仿宋" w:cs="仿宋"/>
                <w:color w:val="000000" w:themeColor="text1"/>
                <w:sz w:val="24"/>
                <w:szCs w:val="24"/>
                <w14:textFill>
                  <w14:solidFill>
                    <w14:schemeClr w14:val="tx1"/>
                  </w14:solidFill>
                </w14:textFill>
              </w:rPr>
              <w:t>序号</w:t>
            </w:r>
            <w:bookmarkEnd w:id="1"/>
          </w:p>
        </w:tc>
        <w:tc>
          <w:tcPr>
            <w:tcW w:w="1143" w:type="dxa"/>
            <w:vAlign w:val="center"/>
          </w:tcPr>
          <w:p w14:paraId="4324E511">
            <w:pPr>
              <w:pStyle w:val="3"/>
              <w:adjustRightInd w:val="0"/>
              <w:snapToGrid w:val="0"/>
              <w:spacing w:line="240" w:lineRule="auto"/>
              <w:rPr>
                <w:rFonts w:hint="eastAsia" w:ascii="仿宋" w:hAnsi="仿宋" w:eastAsia="仿宋" w:cs="仿宋"/>
                <w:color w:val="000000" w:themeColor="text1"/>
                <w:sz w:val="24"/>
                <w:szCs w:val="24"/>
                <w14:textFill>
                  <w14:solidFill>
                    <w14:schemeClr w14:val="tx1"/>
                  </w14:solidFill>
                </w14:textFill>
              </w:rPr>
            </w:pPr>
            <w:bookmarkStart w:id="2" w:name="_Toc6556"/>
            <w:r>
              <w:rPr>
                <w:rFonts w:hint="eastAsia" w:ascii="仿宋" w:hAnsi="仿宋" w:eastAsia="仿宋" w:cs="仿宋"/>
                <w:color w:val="000000" w:themeColor="text1"/>
                <w:sz w:val="24"/>
                <w:szCs w:val="24"/>
                <w14:textFill>
                  <w14:solidFill>
                    <w14:schemeClr w14:val="tx1"/>
                  </w14:solidFill>
                </w14:textFill>
              </w:rPr>
              <w:t>名称</w:t>
            </w:r>
            <w:bookmarkEnd w:id="2"/>
          </w:p>
        </w:tc>
        <w:tc>
          <w:tcPr>
            <w:tcW w:w="915" w:type="dxa"/>
            <w:vAlign w:val="center"/>
          </w:tcPr>
          <w:p w14:paraId="66D4EDC2">
            <w:pPr>
              <w:pStyle w:val="3"/>
              <w:adjustRightInd w:val="0"/>
              <w:snapToGrid w:val="0"/>
              <w:spacing w:line="240" w:lineRule="auto"/>
              <w:rPr>
                <w:rFonts w:hint="eastAsia" w:ascii="仿宋" w:hAnsi="仿宋" w:eastAsia="仿宋" w:cs="仿宋"/>
                <w:color w:val="000000" w:themeColor="text1"/>
                <w:sz w:val="24"/>
                <w:szCs w:val="24"/>
                <w14:textFill>
                  <w14:solidFill>
                    <w14:schemeClr w14:val="tx1"/>
                  </w14:solidFill>
                </w14:textFill>
              </w:rPr>
            </w:pPr>
            <w:bookmarkStart w:id="3" w:name="_Toc23319"/>
            <w:r>
              <w:rPr>
                <w:rFonts w:hint="eastAsia" w:ascii="仿宋" w:hAnsi="仿宋" w:eastAsia="仿宋" w:cs="仿宋"/>
                <w:color w:val="000000" w:themeColor="text1"/>
                <w:sz w:val="24"/>
                <w:szCs w:val="24"/>
                <w14:textFill>
                  <w14:solidFill>
                    <w14:schemeClr w14:val="tx1"/>
                  </w14:solidFill>
                </w14:textFill>
              </w:rPr>
              <w:t>规格</w:t>
            </w:r>
            <w:bookmarkEnd w:id="3"/>
          </w:p>
        </w:tc>
        <w:tc>
          <w:tcPr>
            <w:tcW w:w="840" w:type="dxa"/>
            <w:vAlign w:val="center"/>
          </w:tcPr>
          <w:p w14:paraId="277184E8">
            <w:pPr>
              <w:pStyle w:val="3"/>
              <w:adjustRightInd w:val="0"/>
              <w:snapToGrid w:val="0"/>
              <w:spacing w:line="240" w:lineRule="auto"/>
              <w:rPr>
                <w:rFonts w:hint="eastAsia" w:ascii="仿宋" w:hAnsi="仿宋" w:eastAsia="仿宋" w:cs="仿宋"/>
                <w:color w:val="000000" w:themeColor="text1"/>
                <w:sz w:val="24"/>
                <w:szCs w:val="24"/>
                <w14:textFill>
                  <w14:solidFill>
                    <w14:schemeClr w14:val="tx1"/>
                  </w14:solidFill>
                </w14:textFill>
              </w:rPr>
            </w:pPr>
            <w:bookmarkStart w:id="4" w:name="_Toc28484"/>
            <w:r>
              <w:rPr>
                <w:rFonts w:ascii="仿宋" w:hAnsi="仿宋" w:eastAsia="仿宋" w:cs="仿宋"/>
                <w:color w:val="000000" w:themeColor="text1"/>
                <w:sz w:val="24"/>
                <w:szCs w:val="24"/>
                <w14:textFill>
                  <w14:solidFill>
                    <w14:schemeClr w14:val="tx1"/>
                  </w14:solidFill>
                </w14:textFill>
              </w:rPr>
              <w:t>品牌</w:t>
            </w:r>
          </w:p>
        </w:tc>
        <w:tc>
          <w:tcPr>
            <w:tcW w:w="1095" w:type="dxa"/>
            <w:vAlign w:val="center"/>
          </w:tcPr>
          <w:p w14:paraId="3B793630">
            <w:pPr>
              <w:pStyle w:val="3"/>
              <w:adjustRightInd w:val="0"/>
              <w:snapToGrid w:val="0"/>
              <w:spacing w:line="24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制造商</w:t>
            </w:r>
          </w:p>
        </w:tc>
        <w:tc>
          <w:tcPr>
            <w:tcW w:w="1215" w:type="dxa"/>
            <w:vAlign w:val="center"/>
          </w:tcPr>
          <w:p w14:paraId="2C1BD7C8">
            <w:pPr>
              <w:pStyle w:val="3"/>
              <w:adjustRightInd w:val="0"/>
              <w:snapToGrid w:val="0"/>
              <w:spacing w:line="24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计量单位</w:t>
            </w:r>
            <w:bookmarkEnd w:id="4"/>
          </w:p>
        </w:tc>
        <w:tc>
          <w:tcPr>
            <w:tcW w:w="1035" w:type="dxa"/>
            <w:vAlign w:val="center"/>
          </w:tcPr>
          <w:p w14:paraId="26523ACD">
            <w:pPr>
              <w:pStyle w:val="3"/>
              <w:adjustRightInd w:val="0"/>
              <w:snapToGrid w:val="0"/>
              <w:spacing w:line="240" w:lineRule="auto"/>
              <w:rPr>
                <w:rFonts w:hint="eastAsia" w:ascii="仿宋" w:hAnsi="仿宋" w:eastAsia="仿宋" w:cs="仿宋"/>
                <w:color w:val="000000" w:themeColor="text1"/>
                <w:sz w:val="24"/>
                <w:szCs w:val="24"/>
                <w14:textFill>
                  <w14:solidFill>
                    <w14:schemeClr w14:val="tx1"/>
                  </w14:solidFill>
                </w14:textFill>
              </w:rPr>
            </w:pPr>
            <w:bookmarkStart w:id="5" w:name="_Toc11791"/>
            <w:r>
              <w:rPr>
                <w:rFonts w:hint="eastAsia" w:ascii="仿宋" w:hAnsi="仿宋" w:eastAsia="仿宋" w:cs="仿宋"/>
                <w:color w:val="000000" w:themeColor="text1"/>
                <w:sz w:val="24"/>
                <w:szCs w:val="24"/>
                <w14:textFill>
                  <w14:solidFill>
                    <w14:schemeClr w14:val="tx1"/>
                  </w14:solidFill>
                </w14:textFill>
              </w:rPr>
              <w:t>数量</w:t>
            </w:r>
            <w:bookmarkEnd w:id="5"/>
          </w:p>
        </w:tc>
        <w:tc>
          <w:tcPr>
            <w:tcW w:w="1269" w:type="dxa"/>
            <w:vAlign w:val="center"/>
          </w:tcPr>
          <w:p w14:paraId="7EDB94D5">
            <w:pPr>
              <w:pStyle w:val="3"/>
              <w:adjustRightInd w:val="0"/>
              <w:snapToGrid w:val="0"/>
              <w:spacing w:line="240" w:lineRule="auto"/>
              <w:rPr>
                <w:rFonts w:hint="eastAsia" w:ascii="仿宋" w:hAnsi="仿宋" w:eastAsia="仿宋" w:cs="仿宋"/>
                <w:color w:val="000000" w:themeColor="text1"/>
                <w:sz w:val="24"/>
                <w:szCs w:val="24"/>
                <w14:textFill>
                  <w14:solidFill>
                    <w14:schemeClr w14:val="tx1"/>
                  </w14:solidFill>
                </w14:textFill>
              </w:rPr>
            </w:pPr>
            <w:bookmarkStart w:id="6" w:name="_Toc12328"/>
            <w:r>
              <w:rPr>
                <w:rFonts w:hint="eastAsia" w:ascii="仿宋" w:hAnsi="仿宋" w:eastAsia="仿宋" w:cs="仿宋"/>
                <w:color w:val="000000" w:themeColor="text1"/>
                <w:sz w:val="24"/>
                <w:szCs w:val="24"/>
                <w14:textFill>
                  <w14:solidFill>
                    <w14:schemeClr w14:val="tx1"/>
                  </w14:solidFill>
                </w14:textFill>
              </w:rPr>
              <w:t>单价（元）</w:t>
            </w:r>
            <w:bookmarkEnd w:id="6"/>
          </w:p>
        </w:tc>
        <w:tc>
          <w:tcPr>
            <w:tcW w:w="1404" w:type="dxa"/>
            <w:vAlign w:val="center"/>
          </w:tcPr>
          <w:p w14:paraId="5AA768B7">
            <w:pPr>
              <w:pStyle w:val="3"/>
              <w:adjustRightInd w:val="0"/>
              <w:snapToGrid w:val="0"/>
              <w:spacing w:line="240" w:lineRule="auto"/>
              <w:ind w:firstLine="241" w:firstLineChars="100"/>
              <w:rPr>
                <w:rFonts w:hint="eastAsia" w:ascii="仿宋" w:hAnsi="仿宋" w:eastAsia="仿宋" w:cs="仿宋"/>
                <w:color w:val="000000" w:themeColor="text1"/>
                <w:sz w:val="24"/>
                <w:szCs w:val="24"/>
                <w14:textFill>
                  <w14:solidFill>
                    <w14:schemeClr w14:val="tx1"/>
                  </w14:solidFill>
                </w14:textFill>
              </w:rPr>
            </w:pPr>
            <w:bookmarkStart w:id="7" w:name="_Toc7450"/>
            <w:r>
              <w:rPr>
                <w:rFonts w:hint="eastAsia" w:ascii="仿宋" w:hAnsi="仿宋" w:eastAsia="仿宋" w:cs="仿宋"/>
                <w:color w:val="000000" w:themeColor="text1"/>
                <w:sz w:val="24"/>
                <w:szCs w:val="24"/>
                <w14:textFill>
                  <w14:solidFill>
                    <w14:schemeClr w14:val="tx1"/>
                  </w14:solidFill>
                </w14:textFill>
              </w:rPr>
              <w:t>金额 (元)</w:t>
            </w:r>
            <w:bookmarkEnd w:id="7"/>
          </w:p>
        </w:tc>
      </w:tr>
      <w:tr w14:paraId="6CD58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900" w:type="dxa"/>
          </w:tcPr>
          <w:p w14:paraId="081A7108">
            <w:pPr>
              <w:pStyle w:val="3"/>
              <w:rPr>
                <w:rFonts w:hint="eastAsia" w:ascii="仿宋" w:hAnsi="仿宋" w:eastAsia="仿宋" w:cs="仿宋"/>
                <w:color w:val="000000" w:themeColor="text1"/>
                <w:sz w:val="24"/>
                <w:szCs w:val="24"/>
                <w14:textFill>
                  <w14:solidFill>
                    <w14:schemeClr w14:val="tx1"/>
                  </w14:solidFill>
                </w14:textFill>
              </w:rPr>
            </w:pPr>
          </w:p>
        </w:tc>
        <w:tc>
          <w:tcPr>
            <w:tcW w:w="1143" w:type="dxa"/>
          </w:tcPr>
          <w:p w14:paraId="4D4E3B0C">
            <w:pPr>
              <w:pStyle w:val="3"/>
              <w:rPr>
                <w:rFonts w:hint="eastAsia" w:ascii="仿宋" w:hAnsi="仿宋" w:eastAsia="仿宋" w:cs="仿宋"/>
                <w:color w:val="000000" w:themeColor="text1"/>
                <w:sz w:val="24"/>
                <w:szCs w:val="24"/>
                <w14:textFill>
                  <w14:solidFill>
                    <w14:schemeClr w14:val="tx1"/>
                  </w14:solidFill>
                </w14:textFill>
              </w:rPr>
            </w:pPr>
          </w:p>
        </w:tc>
        <w:tc>
          <w:tcPr>
            <w:tcW w:w="915" w:type="dxa"/>
          </w:tcPr>
          <w:p w14:paraId="7FBA7640">
            <w:pPr>
              <w:pStyle w:val="3"/>
              <w:rPr>
                <w:rFonts w:hint="eastAsia" w:ascii="仿宋" w:hAnsi="仿宋" w:eastAsia="仿宋" w:cs="仿宋"/>
                <w:color w:val="000000" w:themeColor="text1"/>
                <w:sz w:val="24"/>
                <w:szCs w:val="24"/>
                <w14:textFill>
                  <w14:solidFill>
                    <w14:schemeClr w14:val="tx1"/>
                  </w14:solidFill>
                </w14:textFill>
              </w:rPr>
            </w:pPr>
          </w:p>
        </w:tc>
        <w:tc>
          <w:tcPr>
            <w:tcW w:w="840" w:type="dxa"/>
          </w:tcPr>
          <w:p w14:paraId="5E4825C1">
            <w:pPr>
              <w:pStyle w:val="3"/>
              <w:rPr>
                <w:rFonts w:hint="eastAsia" w:ascii="仿宋" w:hAnsi="仿宋" w:eastAsia="仿宋" w:cs="仿宋"/>
                <w:color w:val="000000" w:themeColor="text1"/>
                <w:sz w:val="24"/>
                <w:szCs w:val="24"/>
                <w14:textFill>
                  <w14:solidFill>
                    <w14:schemeClr w14:val="tx1"/>
                  </w14:solidFill>
                </w14:textFill>
              </w:rPr>
            </w:pPr>
          </w:p>
        </w:tc>
        <w:tc>
          <w:tcPr>
            <w:tcW w:w="1095" w:type="dxa"/>
          </w:tcPr>
          <w:p w14:paraId="1E992B2D">
            <w:pPr>
              <w:pStyle w:val="3"/>
              <w:rPr>
                <w:rFonts w:hint="eastAsia" w:ascii="仿宋" w:hAnsi="仿宋" w:eastAsia="仿宋" w:cs="仿宋"/>
                <w:color w:val="000000" w:themeColor="text1"/>
                <w:sz w:val="24"/>
                <w:szCs w:val="24"/>
                <w14:textFill>
                  <w14:solidFill>
                    <w14:schemeClr w14:val="tx1"/>
                  </w14:solidFill>
                </w14:textFill>
              </w:rPr>
            </w:pPr>
          </w:p>
        </w:tc>
        <w:tc>
          <w:tcPr>
            <w:tcW w:w="1215" w:type="dxa"/>
          </w:tcPr>
          <w:p w14:paraId="642C1C48">
            <w:pPr>
              <w:pStyle w:val="3"/>
              <w:rPr>
                <w:rFonts w:hint="eastAsia" w:ascii="仿宋" w:hAnsi="仿宋" w:eastAsia="仿宋" w:cs="仿宋"/>
                <w:color w:val="000000" w:themeColor="text1"/>
                <w:sz w:val="24"/>
                <w:szCs w:val="24"/>
                <w14:textFill>
                  <w14:solidFill>
                    <w14:schemeClr w14:val="tx1"/>
                  </w14:solidFill>
                </w14:textFill>
              </w:rPr>
            </w:pPr>
          </w:p>
        </w:tc>
        <w:tc>
          <w:tcPr>
            <w:tcW w:w="1035" w:type="dxa"/>
          </w:tcPr>
          <w:p w14:paraId="72F1FE70">
            <w:pPr>
              <w:pStyle w:val="3"/>
              <w:rPr>
                <w:rFonts w:hint="eastAsia" w:ascii="仿宋" w:hAnsi="仿宋" w:eastAsia="仿宋" w:cs="仿宋"/>
                <w:color w:val="000000" w:themeColor="text1"/>
                <w:sz w:val="24"/>
                <w:szCs w:val="24"/>
                <w14:textFill>
                  <w14:solidFill>
                    <w14:schemeClr w14:val="tx1"/>
                  </w14:solidFill>
                </w14:textFill>
              </w:rPr>
            </w:pPr>
          </w:p>
        </w:tc>
        <w:tc>
          <w:tcPr>
            <w:tcW w:w="1269" w:type="dxa"/>
          </w:tcPr>
          <w:p w14:paraId="4CED1197">
            <w:pPr>
              <w:pStyle w:val="3"/>
              <w:rPr>
                <w:rFonts w:hint="eastAsia" w:ascii="仿宋" w:hAnsi="仿宋" w:eastAsia="仿宋" w:cs="仿宋"/>
                <w:color w:val="000000" w:themeColor="text1"/>
                <w:sz w:val="24"/>
                <w:szCs w:val="24"/>
                <w14:textFill>
                  <w14:solidFill>
                    <w14:schemeClr w14:val="tx1"/>
                  </w14:solidFill>
                </w14:textFill>
              </w:rPr>
            </w:pPr>
          </w:p>
        </w:tc>
        <w:tc>
          <w:tcPr>
            <w:tcW w:w="1404" w:type="dxa"/>
          </w:tcPr>
          <w:p w14:paraId="3AB22ADC">
            <w:pPr>
              <w:pStyle w:val="3"/>
              <w:rPr>
                <w:rFonts w:hint="eastAsia" w:ascii="仿宋" w:hAnsi="仿宋" w:eastAsia="仿宋" w:cs="仿宋"/>
                <w:color w:val="000000" w:themeColor="text1"/>
                <w:sz w:val="24"/>
                <w:szCs w:val="24"/>
                <w14:textFill>
                  <w14:solidFill>
                    <w14:schemeClr w14:val="tx1"/>
                  </w14:solidFill>
                </w14:textFill>
              </w:rPr>
            </w:pPr>
          </w:p>
        </w:tc>
      </w:tr>
      <w:tr w14:paraId="4B59F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900" w:type="dxa"/>
          </w:tcPr>
          <w:p w14:paraId="656EFABE">
            <w:pPr>
              <w:pStyle w:val="4"/>
              <w:spacing w:line="360" w:lineRule="auto"/>
              <w:rPr>
                <w:rFonts w:hint="eastAsia" w:ascii="仿宋" w:hAnsi="仿宋" w:eastAsia="仿宋" w:cs="仿宋"/>
                <w:color w:val="000000" w:themeColor="text1"/>
                <w:sz w:val="24"/>
                <w:szCs w:val="24"/>
                <w14:textFill>
                  <w14:solidFill>
                    <w14:schemeClr w14:val="tx1"/>
                  </w14:solidFill>
                </w14:textFill>
              </w:rPr>
            </w:pPr>
          </w:p>
        </w:tc>
        <w:tc>
          <w:tcPr>
            <w:tcW w:w="1143" w:type="dxa"/>
          </w:tcPr>
          <w:p w14:paraId="3B53A880">
            <w:pPr>
              <w:pStyle w:val="3"/>
              <w:rPr>
                <w:rFonts w:hint="eastAsia" w:ascii="仿宋" w:hAnsi="仿宋" w:eastAsia="仿宋" w:cs="仿宋"/>
                <w:color w:val="000000" w:themeColor="text1"/>
                <w:sz w:val="24"/>
                <w:szCs w:val="24"/>
                <w14:textFill>
                  <w14:solidFill>
                    <w14:schemeClr w14:val="tx1"/>
                  </w14:solidFill>
                </w14:textFill>
              </w:rPr>
            </w:pPr>
          </w:p>
        </w:tc>
        <w:tc>
          <w:tcPr>
            <w:tcW w:w="915" w:type="dxa"/>
          </w:tcPr>
          <w:p w14:paraId="3172975C">
            <w:pPr>
              <w:pStyle w:val="3"/>
              <w:rPr>
                <w:rFonts w:hint="eastAsia" w:ascii="仿宋" w:hAnsi="仿宋" w:eastAsia="仿宋" w:cs="仿宋"/>
                <w:color w:val="000000" w:themeColor="text1"/>
                <w:sz w:val="24"/>
                <w:szCs w:val="24"/>
                <w14:textFill>
                  <w14:solidFill>
                    <w14:schemeClr w14:val="tx1"/>
                  </w14:solidFill>
                </w14:textFill>
              </w:rPr>
            </w:pPr>
          </w:p>
        </w:tc>
        <w:tc>
          <w:tcPr>
            <w:tcW w:w="840" w:type="dxa"/>
          </w:tcPr>
          <w:p w14:paraId="521CB0A1">
            <w:pPr>
              <w:pStyle w:val="3"/>
              <w:rPr>
                <w:rFonts w:hint="eastAsia" w:ascii="仿宋" w:hAnsi="仿宋" w:eastAsia="仿宋" w:cs="仿宋"/>
                <w:color w:val="000000" w:themeColor="text1"/>
                <w:sz w:val="24"/>
                <w:szCs w:val="24"/>
                <w14:textFill>
                  <w14:solidFill>
                    <w14:schemeClr w14:val="tx1"/>
                  </w14:solidFill>
                </w14:textFill>
              </w:rPr>
            </w:pPr>
          </w:p>
        </w:tc>
        <w:tc>
          <w:tcPr>
            <w:tcW w:w="1095" w:type="dxa"/>
          </w:tcPr>
          <w:p w14:paraId="1A157652">
            <w:pPr>
              <w:pStyle w:val="3"/>
              <w:rPr>
                <w:rFonts w:hint="eastAsia" w:ascii="仿宋" w:hAnsi="仿宋" w:eastAsia="仿宋" w:cs="仿宋"/>
                <w:color w:val="000000" w:themeColor="text1"/>
                <w:sz w:val="24"/>
                <w:szCs w:val="24"/>
                <w14:textFill>
                  <w14:solidFill>
                    <w14:schemeClr w14:val="tx1"/>
                  </w14:solidFill>
                </w14:textFill>
              </w:rPr>
            </w:pPr>
          </w:p>
        </w:tc>
        <w:tc>
          <w:tcPr>
            <w:tcW w:w="1215" w:type="dxa"/>
          </w:tcPr>
          <w:p w14:paraId="41F41378">
            <w:pPr>
              <w:pStyle w:val="3"/>
              <w:rPr>
                <w:rFonts w:hint="eastAsia" w:ascii="仿宋" w:hAnsi="仿宋" w:eastAsia="仿宋" w:cs="仿宋"/>
                <w:color w:val="000000" w:themeColor="text1"/>
                <w:sz w:val="24"/>
                <w:szCs w:val="24"/>
                <w14:textFill>
                  <w14:solidFill>
                    <w14:schemeClr w14:val="tx1"/>
                  </w14:solidFill>
                </w14:textFill>
              </w:rPr>
            </w:pPr>
          </w:p>
        </w:tc>
        <w:tc>
          <w:tcPr>
            <w:tcW w:w="1035" w:type="dxa"/>
          </w:tcPr>
          <w:p w14:paraId="7910DFE6">
            <w:pPr>
              <w:pStyle w:val="3"/>
              <w:rPr>
                <w:rFonts w:hint="eastAsia" w:ascii="仿宋" w:hAnsi="仿宋" w:eastAsia="仿宋" w:cs="仿宋"/>
                <w:color w:val="000000" w:themeColor="text1"/>
                <w:sz w:val="24"/>
                <w:szCs w:val="24"/>
                <w14:textFill>
                  <w14:solidFill>
                    <w14:schemeClr w14:val="tx1"/>
                  </w14:solidFill>
                </w14:textFill>
              </w:rPr>
            </w:pPr>
          </w:p>
        </w:tc>
        <w:tc>
          <w:tcPr>
            <w:tcW w:w="1269" w:type="dxa"/>
          </w:tcPr>
          <w:p w14:paraId="33EB7318">
            <w:pPr>
              <w:pStyle w:val="3"/>
              <w:rPr>
                <w:rFonts w:hint="eastAsia" w:ascii="仿宋" w:hAnsi="仿宋" w:eastAsia="仿宋" w:cs="仿宋"/>
                <w:color w:val="000000" w:themeColor="text1"/>
                <w:sz w:val="24"/>
                <w:szCs w:val="24"/>
                <w14:textFill>
                  <w14:solidFill>
                    <w14:schemeClr w14:val="tx1"/>
                  </w14:solidFill>
                </w14:textFill>
              </w:rPr>
            </w:pPr>
          </w:p>
        </w:tc>
        <w:tc>
          <w:tcPr>
            <w:tcW w:w="1404" w:type="dxa"/>
          </w:tcPr>
          <w:p w14:paraId="382F53AA">
            <w:pPr>
              <w:pStyle w:val="3"/>
              <w:rPr>
                <w:rFonts w:hint="eastAsia" w:ascii="仿宋" w:hAnsi="仿宋" w:eastAsia="仿宋" w:cs="仿宋"/>
                <w:color w:val="000000" w:themeColor="text1"/>
                <w:sz w:val="24"/>
                <w:szCs w:val="24"/>
                <w14:textFill>
                  <w14:solidFill>
                    <w14:schemeClr w14:val="tx1"/>
                  </w14:solidFill>
                </w14:textFill>
              </w:rPr>
            </w:pPr>
          </w:p>
        </w:tc>
      </w:tr>
      <w:tr w14:paraId="1F030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900" w:type="dxa"/>
          </w:tcPr>
          <w:p w14:paraId="7F5B0387">
            <w:pPr>
              <w:pStyle w:val="4"/>
              <w:spacing w:line="360" w:lineRule="auto"/>
              <w:rPr>
                <w:rFonts w:hint="eastAsia" w:ascii="仿宋" w:hAnsi="仿宋" w:eastAsia="仿宋" w:cs="仿宋"/>
                <w:color w:val="000000" w:themeColor="text1"/>
                <w:sz w:val="24"/>
                <w:szCs w:val="24"/>
                <w14:textFill>
                  <w14:solidFill>
                    <w14:schemeClr w14:val="tx1"/>
                  </w14:solidFill>
                </w14:textFill>
              </w:rPr>
            </w:pPr>
          </w:p>
        </w:tc>
        <w:tc>
          <w:tcPr>
            <w:tcW w:w="1143" w:type="dxa"/>
          </w:tcPr>
          <w:p w14:paraId="10CB2CA9">
            <w:pPr>
              <w:pStyle w:val="3"/>
              <w:rPr>
                <w:rFonts w:hint="eastAsia" w:ascii="仿宋" w:hAnsi="仿宋" w:eastAsia="仿宋" w:cs="仿宋"/>
                <w:color w:val="000000" w:themeColor="text1"/>
                <w:sz w:val="24"/>
                <w:szCs w:val="24"/>
                <w14:textFill>
                  <w14:solidFill>
                    <w14:schemeClr w14:val="tx1"/>
                  </w14:solidFill>
                </w14:textFill>
              </w:rPr>
            </w:pPr>
          </w:p>
        </w:tc>
        <w:tc>
          <w:tcPr>
            <w:tcW w:w="915" w:type="dxa"/>
          </w:tcPr>
          <w:p w14:paraId="315721EC">
            <w:pPr>
              <w:pStyle w:val="3"/>
              <w:rPr>
                <w:rFonts w:hint="eastAsia" w:ascii="仿宋" w:hAnsi="仿宋" w:eastAsia="仿宋" w:cs="仿宋"/>
                <w:color w:val="000000" w:themeColor="text1"/>
                <w:sz w:val="24"/>
                <w:szCs w:val="24"/>
                <w14:textFill>
                  <w14:solidFill>
                    <w14:schemeClr w14:val="tx1"/>
                  </w14:solidFill>
                </w14:textFill>
              </w:rPr>
            </w:pPr>
          </w:p>
        </w:tc>
        <w:tc>
          <w:tcPr>
            <w:tcW w:w="840" w:type="dxa"/>
          </w:tcPr>
          <w:p w14:paraId="414C8E69">
            <w:pPr>
              <w:pStyle w:val="3"/>
              <w:rPr>
                <w:rFonts w:hint="eastAsia" w:ascii="仿宋" w:hAnsi="仿宋" w:eastAsia="仿宋" w:cs="仿宋"/>
                <w:color w:val="000000" w:themeColor="text1"/>
                <w:sz w:val="24"/>
                <w:szCs w:val="24"/>
                <w14:textFill>
                  <w14:solidFill>
                    <w14:schemeClr w14:val="tx1"/>
                  </w14:solidFill>
                </w14:textFill>
              </w:rPr>
            </w:pPr>
          </w:p>
        </w:tc>
        <w:tc>
          <w:tcPr>
            <w:tcW w:w="1095" w:type="dxa"/>
          </w:tcPr>
          <w:p w14:paraId="5C6BE112">
            <w:pPr>
              <w:pStyle w:val="3"/>
              <w:rPr>
                <w:rFonts w:hint="eastAsia" w:ascii="仿宋" w:hAnsi="仿宋" w:eastAsia="仿宋" w:cs="仿宋"/>
                <w:color w:val="000000" w:themeColor="text1"/>
                <w:sz w:val="24"/>
                <w:szCs w:val="24"/>
                <w14:textFill>
                  <w14:solidFill>
                    <w14:schemeClr w14:val="tx1"/>
                  </w14:solidFill>
                </w14:textFill>
              </w:rPr>
            </w:pPr>
          </w:p>
        </w:tc>
        <w:tc>
          <w:tcPr>
            <w:tcW w:w="1215" w:type="dxa"/>
          </w:tcPr>
          <w:p w14:paraId="760A11FB">
            <w:pPr>
              <w:pStyle w:val="3"/>
              <w:rPr>
                <w:rFonts w:hint="eastAsia" w:ascii="仿宋" w:hAnsi="仿宋" w:eastAsia="仿宋" w:cs="仿宋"/>
                <w:color w:val="000000" w:themeColor="text1"/>
                <w:sz w:val="24"/>
                <w:szCs w:val="24"/>
                <w14:textFill>
                  <w14:solidFill>
                    <w14:schemeClr w14:val="tx1"/>
                  </w14:solidFill>
                </w14:textFill>
              </w:rPr>
            </w:pPr>
          </w:p>
        </w:tc>
        <w:tc>
          <w:tcPr>
            <w:tcW w:w="1035" w:type="dxa"/>
          </w:tcPr>
          <w:p w14:paraId="7A475164">
            <w:pPr>
              <w:pStyle w:val="3"/>
              <w:rPr>
                <w:rFonts w:hint="eastAsia" w:ascii="仿宋" w:hAnsi="仿宋" w:eastAsia="仿宋" w:cs="仿宋"/>
                <w:color w:val="000000" w:themeColor="text1"/>
                <w:sz w:val="24"/>
                <w:szCs w:val="24"/>
                <w14:textFill>
                  <w14:solidFill>
                    <w14:schemeClr w14:val="tx1"/>
                  </w14:solidFill>
                </w14:textFill>
              </w:rPr>
            </w:pPr>
          </w:p>
        </w:tc>
        <w:tc>
          <w:tcPr>
            <w:tcW w:w="1269" w:type="dxa"/>
          </w:tcPr>
          <w:p w14:paraId="291E7F2E">
            <w:pPr>
              <w:pStyle w:val="3"/>
              <w:rPr>
                <w:rFonts w:hint="eastAsia" w:ascii="仿宋" w:hAnsi="仿宋" w:eastAsia="仿宋" w:cs="仿宋"/>
                <w:color w:val="000000" w:themeColor="text1"/>
                <w:sz w:val="24"/>
                <w:szCs w:val="24"/>
                <w14:textFill>
                  <w14:solidFill>
                    <w14:schemeClr w14:val="tx1"/>
                  </w14:solidFill>
                </w14:textFill>
              </w:rPr>
            </w:pPr>
          </w:p>
        </w:tc>
        <w:tc>
          <w:tcPr>
            <w:tcW w:w="1404" w:type="dxa"/>
          </w:tcPr>
          <w:p w14:paraId="1416B8AB">
            <w:pPr>
              <w:pStyle w:val="3"/>
              <w:rPr>
                <w:rFonts w:hint="eastAsia" w:ascii="仿宋" w:hAnsi="仿宋" w:eastAsia="仿宋" w:cs="仿宋"/>
                <w:color w:val="000000" w:themeColor="text1"/>
                <w:sz w:val="24"/>
                <w:szCs w:val="24"/>
                <w14:textFill>
                  <w14:solidFill>
                    <w14:schemeClr w14:val="tx1"/>
                  </w14:solidFill>
                </w14:textFill>
              </w:rPr>
            </w:pPr>
          </w:p>
        </w:tc>
      </w:tr>
      <w:tr w14:paraId="7DAC4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900" w:type="dxa"/>
          </w:tcPr>
          <w:p w14:paraId="129C369E">
            <w:pPr>
              <w:pStyle w:val="3"/>
              <w:rPr>
                <w:rFonts w:hint="eastAsia" w:ascii="仿宋" w:hAnsi="仿宋" w:eastAsia="仿宋" w:cs="仿宋"/>
                <w:color w:val="000000" w:themeColor="text1"/>
                <w:sz w:val="24"/>
                <w:szCs w:val="24"/>
                <w14:textFill>
                  <w14:solidFill>
                    <w14:schemeClr w14:val="tx1"/>
                  </w14:solidFill>
                </w14:textFill>
              </w:rPr>
            </w:pPr>
          </w:p>
        </w:tc>
        <w:tc>
          <w:tcPr>
            <w:tcW w:w="1143" w:type="dxa"/>
          </w:tcPr>
          <w:p w14:paraId="39A94F54">
            <w:pPr>
              <w:pStyle w:val="3"/>
              <w:rPr>
                <w:rFonts w:hint="eastAsia" w:ascii="仿宋" w:hAnsi="仿宋" w:eastAsia="仿宋" w:cs="仿宋"/>
                <w:color w:val="000000" w:themeColor="text1"/>
                <w:sz w:val="24"/>
                <w:szCs w:val="24"/>
                <w14:textFill>
                  <w14:solidFill>
                    <w14:schemeClr w14:val="tx1"/>
                  </w14:solidFill>
                </w14:textFill>
              </w:rPr>
            </w:pPr>
          </w:p>
        </w:tc>
        <w:tc>
          <w:tcPr>
            <w:tcW w:w="915" w:type="dxa"/>
          </w:tcPr>
          <w:p w14:paraId="76AED951">
            <w:pPr>
              <w:pStyle w:val="3"/>
              <w:rPr>
                <w:rFonts w:hint="eastAsia" w:ascii="仿宋" w:hAnsi="仿宋" w:eastAsia="仿宋" w:cs="仿宋"/>
                <w:color w:val="000000" w:themeColor="text1"/>
                <w:sz w:val="24"/>
                <w:szCs w:val="24"/>
                <w14:textFill>
                  <w14:solidFill>
                    <w14:schemeClr w14:val="tx1"/>
                  </w14:solidFill>
                </w14:textFill>
              </w:rPr>
            </w:pPr>
          </w:p>
        </w:tc>
        <w:tc>
          <w:tcPr>
            <w:tcW w:w="840" w:type="dxa"/>
          </w:tcPr>
          <w:p w14:paraId="78983596">
            <w:pPr>
              <w:pStyle w:val="3"/>
              <w:rPr>
                <w:rFonts w:hint="eastAsia" w:ascii="仿宋" w:hAnsi="仿宋" w:eastAsia="仿宋" w:cs="仿宋"/>
                <w:color w:val="000000" w:themeColor="text1"/>
                <w:sz w:val="24"/>
                <w:szCs w:val="24"/>
                <w14:textFill>
                  <w14:solidFill>
                    <w14:schemeClr w14:val="tx1"/>
                  </w14:solidFill>
                </w14:textFill>
              </w:rPr>
            </w:pPr>
          </w:p>
        </w:tc>
        <w:tc>
          <w:tcPr>
            <w:tcW w:w="1095" w:type="dxa"/>
          </w:tcPr>
          <w:p w14:paraId="70A5CB62">
            <w:pPr>
              <w:pStyle w:val="3"/>
              <w:rPr>
                <w:rFonts w:hint="eastAsia" w:ascii="仿宋" w:hAnsi="仿宋" w:eastAsia="仿宋" w:cs="仿宋"/>
                <w:color w:val="000000" w:themeColor="text1"/>
                <w:sz w:val="24"/>
                <w:szCs w:val="24"/>
                <w14:textFill>
                  <w14:solidFill>
                    <w14:schemeClr w14:val="tx1"/>
                  </w14:solidFill>
                </w14:textFill>
              </w:rPr>
            </w:pPr>
          </w:p>
        </w:tc>
        <w:tc>
          <w:tcPr>
            <w:tcW w:w="1215" w:type="dxa"/>
          </w:tcPr>
          <w:p w14:paraId="06EE4C06">
            <w:pPr>
              <w:pStyle w:val="3"/>
              <w:rPr>
                <w:rFonts w:hint="eastAsia" w:ascii="仿宋" w:hAnsi="仿宋" w:eastAsia="仿宋" w:cs="仿宋"/>
                <w:color w:val="000000" w:themeColor="text1"/>
                <w:sz w:val="24"/>
                <w:szCs w:val="24"/>
                <w14:textFill>
                  <w14:solidFill>
                    <w14:schemeClr w14:val="tx1"/>
                  </w14:solidFill>
                </w14:textFill>
              </w:rPr>
            </w:pPr>
          </w:p>
        </w:tc>
        <w:tc>
          <w:tcPr>
            <w:tcW w:w="1035" w:type="dxa"/>
          </w:tcPr>
          <w:p w14:paraId="716A6154">
            <w:pPr>
              <w:pStyle w:val="3"/>
              <w:rPr>
                <w:rFonts w:hint="eastAsia" w:ascii="仿宋" w:hAnsi="仿宋" w:eastAsia="仿宋" w:cs="仿宋"/>
                <w:color w:val="000000" w:themeColor="text1"/>
                <w:sz w:val="24"/>
                <w:szCs w:val="24"/>
                <w14:textFill>
                  <w14:solidFill>
                    <w14:schemeClr w14:val="tx1"/>
                  </w14:solidFill>
                </w14:textFill>
              </w:rPr>
            </w:pPr>
          </w:p>
        </w:tc>
        <w:tc>
          <w:tcPr>
            <w:tcW w:w="1269" w:type="dxa"/>
          </w:tcPr>
          <w:p w14:paraId="4FAFBD17">
            <w:pPr>
              <w:pStyle w:val="3"/>
              <w:rPr>
                <w:rFonts w:hint="eastAsia" w:ascii="仿宋" w:hAnsi="仿宋" w:eastAsia="仿宋" w:cs="仿宋"/>
                <w:color w:val="000000" w:themeColor="text1"/>
                <w:sz w:val="24"/>
                <w:szCs w:val="24"/>
                <w14:textFill>
                  <w14:solidFill>
                    <w14:schemeClr w14:val="tx1"/>
                  </w14:solidFill>
                </w14:textFill>
              </w:rPr>
            </w:pPr>
          </w:p>
        </w:tc>
        <w:tc>
          <w:tcPr>
            <w:tcW w:w="1404" w:type="dxa"/>
          </w:tcPr>
          <w:p w14:paraId="67E85EDB">
            <w:pPr>
              <w:pStyle w:val="3"/>
              <w:rPr>
                <w:rFonts w:hint="eastAsia" w:ascii="仿宋" w:hAnsi="仿宋" w:eastAsia="仿宋" w:cs="仿宋"/>
                <w:color w:val="000000" w:themeColor="text1"/>
                <w:sz w:val="24"/>
                <w:szCs w:val="24"/>
                <w14:textFill>
                  <w14:solidFill>
                    <w14:schemeClr w14:val="tx1"/>
                  </w14:solidFill>
                </w14:textFill>
              </w:rPr>
            </w:pPr>
          </w:p>
        </w:tc>
      </w:tr>
      <w:tr w14:paraId="4A8B4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900" w:type="dxa"/>
          </w:tcPr>
          <w:p w14:paraId="3FD431F5">
            <w:pPr>
              <w:pStyle w:val="3"/>
              <w:rPr>
                <w:rFonts w:hint="eastAsia" w:ascii="仿宋" w:hAnsi="仿宋" w:eastAsia="仿宋" w:cs="仿宋"/>
                <w:color w:val="000000" w:themeColor="text1"/>
                <w:sz w:val="24"/>
                <w:szCs w:val="24"/>
                <w14:textFill>
                  <w14:solidFill>
                    <w14:schemeClr w14:val="tx1"/>
                  </w14:solidFill>
                </w14:textFill>
              </w:rPr>
            </w:pPr>
          </w:p>
        </w:tc>
        <w:tc>
          <w:tcPr>
            <w:tcW w:w="1143" w:type="dxa"/>
          </w:tcPr>
          <w:p w14:paraId="153872BD">
            <w:pPr>
              <w:pStyle w:val="3"/>
              <w:rPr>
                <w:rFonts w:hint="eastAsia" w:ascii="仿宋" w:hAnsi="仿宋" w:eastAsia="仿宋" w:cs="仿宋"/>
                <w:color w:val="000000" w:themeColor="text1"/>
                <w:sz w:val="24"/>
                <w:szCs w:val="24"/>
                <w14:textFill>
                  <w14:solidFill>
                    <w14:schemeClr w14:val="tx1"/>
                  </w14:solidFill>
                </w14:textFill>
              </w:rPr>
            </w:pPr>
          </w:p>
        </w:tc>
        <w:tc>
          <w:tcPr>
            <w:tcW w:w="915" w:type="dxa"/>
          </w:tcPr>
          <w:p w14:paraId="0F9E4C4F">
            <w:pPr>
              <w:pStyle w:val="3"/>
              <w:rPr>
                <w:rFonts w:hint="eastAsia" w:ascii="仿宋" w:hAnsi="仿宋" w:eastAsia="仿宋" w:cs="仿宋"/>
                <w:color w:val="000000" w:themeColor="text1"/>
                <w:sz w:val="24"/>
                <w:szCs w:val="24"/>
                <w14:textFill>
                  <w14:solidFill>
                    <w14:schemeClr w14:val="tx1"/>
                  </w14:solidFill>
                </w14:textFill>
              </w:rPr>
            </w:pPr>
          </w:p>
        </w:tc>
        <w:tc>
          <w:tcPr>
            <w:tcW w:w="840" w:type="dxa"/>
          </w:tcPr>
          <w:p w14:paraId="5ACFE5A3">
            <w:pPr>
              <w:pStyle w:val="3"/>
              <w:rPr>
                <w:rFonts w:hint="eastAsia" w:ascii="仿宋" w:hAnsi="仿宋" w:eastAsia="仿宋" w:cs="仿宋"/>
                <w:color w:val="000000" w:themeColor="text1"/>
                <w:sz w:val="24"/>
                <w:szCs w:val="24"/>
                <w14:textFill>
                  <w14:solidFill>
                    <w14:schemeClr w14:val="tx1"/>
                  </w14:solidFill>
                </w14:textFill>
              </w:rPr>
            </w:pPr>
          </w:p>
        </w:tc>
        <w:tc>
          <w:tcPr>
            <w:tcW w:w="1095" w:type="dxa"/>
          </w:tcPr>
          <w:p w14:paraId="15BC98CC">
            <w:pPr>
              <w:pStyle w:val="3"/>
              <w:rPr>
                <w:rFonts w:hint="eastAsia" w:ascii="仿宋" w:hAnsi="仿宋" w:eastAsia="仿宋" w:cs="仿宋"/>
                <w:color w:val="000000" w:themeColor="text1"/>
                <w:sz w:val="24"/>
                <w:szCs w:val="24"/>
                <w14:textFill>
                  <w14:solidFill>
                    <w14:schemeClr w14:val="tx1"/>
                  </w14:solidFill>
                </w14:textFill>
              </w:rPr>
            </w:pPr>
          </w:p>
        </w:tc>
        <w:tc>
          <w:tcPr>
            <w:tcW w:w="1215" w:type="dxa"/>
          </w:tcPr>
          <w:p w14:paraId="6CAE3BF3">
            <w:pPr>
              <w:pStyle w:val="3"/>
              <w:rPr>
                <w:rFonts w:hint="eastAsia" w:ascii="仿宋" w:hAnsi="仿宋" w:eastAsia="仿宋" w:cs="仿宋"/>
                <w:color w:val="000000" w:themeColor="text1"/>
                <w:sz w:val="24"/>
                <w:szCs w:val="24"/>
                <w14:textFill>
                  <w14:solidFill>
                    <w14:schemeClr w14:val="tx1"/>
                  </w14:solidFill>
                </w14:textFill>
              </w:rPr>
            </w:pPr>
          </w:p>
        </w:tc>
        <w:tc>
          <w:tcPr>
            <w:tcW w:w="1035" w:type="dxa"/>
          </w:tcPr>
          <w:p w14:paraId="5ADC8DED">
            <w:pPr>
              <w:pStyle w:val="3"/>
              <w:rPr>
                <w:rFonts w:hint="eastAsia" w:ascii="仿宋" w:hAnsi="仿宋" w:eastAsia="仿宋" w:cs="仿宋"/>
                <w:color w:val="000000" w:themeColor="text1"/>
                <w:sz w:val="24"/>
                <w:szCs w:val="24"/>
                <w14:textFill>
                  <w14:solidFill>
                    <w14:schemeClr w14:val="tx1"/>
                  </w14:solidFill>
                </w14:textFill>
              </w:rPr>
            </w:pPr>
          </w:p>
        </w:tc>
        <w:tc>
          <w:tcPr>
            <w:tcW w:w="1269" w:type="dxa"/>
          </w:tcPr>
          <w:p w14:paraId="54072AF9">
            <w:pPr>
              <w:pStyle w:val="3"/>
              <w:rPr>
                <w:rFonts w:hint="eastAsia" w:ascii="仿宋" w:hAnsi="仿宋" w:eastAsia="仿宋" w:cs="仿宋"/>
                <w:color w:val="000000" w:themeColor="text1"/>
                <w:sz w:val="24"/>
                <w:szCs w:val="24"/>
                <w14:textFill>
                  <w14:solidFill>
                    <w14:schemeClr w14:val="tx1"/>
                  </w14:solidFill>
                </w14:textFill>
              </w:rPr>
            </w:pPr>
          </w:p>
        </w:tc>
        <w:tc>
          <w:tcPr>
            <w:tcW w:w="1404" w:type="dxa"/>
          </w:tcPr>
          <w:p w14:paraId="5510887E">
            <w:pPr>
              <w:pStyle w:val="3"/>
              <w:rPr>
                <w:rFonts w:hint="eastAsia" w:ascii="仿宋" w:hAnsi="仿宋" w:eastAsia="仿宋" w:cs="仿宋"/>
                <w:color w:val="000000" w:themeColor="text1"/>
                <w:sz w:val="24"/>
                <w:szCs w:val="24"/>
                <w14:textFill>
                  <w14:solidFill>
                    <w14:schemeClr w14:val="tx1"/>
                  </w14:solidFill>
                </w14:textFill>
              </w:rPr>
            </w:pPr>
          </w:p>
        </w:tc>
      </w:tr>
      <w:tr w14:paraId="1AF32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900" w:type="dxa"/>
          </w:tcPr>
          <w:p w14:paraId="7DC70F32">
            <w:pPr>
              <w:pStyle w:val="3"/>
              <w:rPr>
                <w:rFonts w:hint="eastAsia" w:ascii="仿宋" w:hAnsi="仿宋" w:eastAsia="仿宋" w:cs="仿宋"/>
                <w:color w:val="000000" w:themeColor="text1"/>
                <w:sz w:val="24"/>
                <w:szCs w:val="24"/>
                <w14:textFill>
                  <w14:solidFill>
                    <w14:schemeClr w14:val="tx1"/>
                  </w14:solidFill>
                </w14:textFill>
              </w:rPr>
            </w:pPr>
          </w:p>
        </w:tc>
        <w:tc>
          <w:tcPr>
            <w:tcW w:w="1143" w:type="dxa"/>
          </w:tcPr>
          <w:p w14:paraId="209FC80C">
            <w:pPr>
              <w:pStyle w:val="3"/>
              <w:rPr>
                <w:rFonts w:hint="eastAsia" w:ascii="仿宋" w:hAnsi="仿宋" w:eastAsia="仿宋" w:cs="仿宋"/>
                <w:color w:val="000000" w:themeColor="text1"/>
                <w:sz w:val="24"/>
                <w:szCs w:val="24"/>
                <w14:textFill>
                  <w14:solidFill>
                    <w14:schemeClr w14:val="tx1"/>
                  </w14:solidFill>
                </w14:textFill>
              </w:rPr>
            </w:pPr>
          </w:p>
        </w:tc>
        <w:tc>
          <w:tcPr>
            <w:tcW w:w="915" w:type="dxa"/>
          </w:tcPr>
          <w:p w14:paraId="146A4247">
            <w:pPr>
              <w:pStyle w:val="3"/>
              <w:rPr>
                <w:rFonts w:hint="eastAsia" w:ascii="仿宋" w:hAnsi="仿宋" w:eastAsia="仿宋" w:cs="仿宋"/>
                <w:color w:val="000000" w:themeColor="text1"/>
                <w:sz w:val="24"/>
                <w:szCs w:val="24"/>
                <w14:textFill>
                  <w14:solidFill>
                    <w14:schemeClr w14:val="tx1"/>
                  </w14:solidFill>
                </w14:textFill>
              </w:rPr>
            </w:pPr>
          </w:p>
        </w:tc>
        <w:tc>
          <w:tcPr>
            <w:tcW w:w="840" w:type="dxa"/>
          </w:tcPr>
          <w:p w14:paraId="420AB2F9">
            <w:pPr>
              <w:pStyle w:val="3"/>
              <w:rPr>
                <w:rFonts w:hint="eastAsia" w:ascii="仿宋" w:hAnsi="仿宋" w:eastAsia="仿宋" w:cs="仿宋"/>
                <w:color w:val="000000" w:themeColor="text1"/>
                <w:sz w:val="24"/>
                <w:szCs w:val="24"/>
                <w14:textFill>
                  <w14:solidFill>
                    <w14:schemeClr w14:val="tx1"/>
                  </w14:solidFill>
                </w14:textFill>
              </w:rPr>
            </w:pPr>
          </w:p>
        </w:tc>
        <w:tc>
          <w:tcPr>
            <w:tcW w:w="1095" w:type="dxa"/>
          </w:tcPr>
          <w:p w14:paraId="3D12B833">
            <w:pPr>
              <w:pStyle w:val="3"/>
              <w:rPr>
                <w:rFonts w:hint="eastAsia" w:ascii="仿宋" w:hAnsi="仿宋" w:eastAsia="仿宋" w:cs="仿宋"/>
                <w:color w:val="000000" w:themeColor="text1"/>
                <w:sz w:val="24"/>
                <w:szCs w:val="24"/>
                <w14:textFill>
                  <w14:solidFill>
                    <w14:schemeClr w14:val="tx1"/>
                  </w14:solidFill>
                </w14:textFill>
              </w:rPr>
            </w:pPr>
          </w:p>
        </w:tc>
        <w:tc>
          <w:tcPr>
            <w:tcW w:w="1215" w:type="dxa"/>
          </w:tcPr>
          <w:p w14:paraId="1050FDAD">
            <w:pPr>
              <w:pStyle w:val="3"/>
              <w:rPr>
                <w:rFonts w:hint="eastAsia" w:ascii="仿宋" w:hAnsi="仿宋" w:eastAsia="仿宋" w:cs="仿宋"/>
                <w:color w:val="000000" w:themeColor="text1"/>
                <w:sz w:val="24"/>
                <w:szCs w:val="24"/>
                <w14:textFill>
                  <w14:solidFill>
                    <w14:schemeClr w14:val="tx1"/>
                  </w14:solidFill>
                </w14:textFill>
              </w:rPr>
            </w:pPr>
          </w:p>
        </w:tc>
        <w:tc>
          <w:tcPr>
            <w:tcW w:w="1035" w:type="dxa"/>
          </w:tcPr>
          <w:p w14:paraId="558E480E">
            <w:pPr>
              <w:pStyle w:val="3"/>
              <w:rPr>
                <w:rFonts w:hint="eastAsia" w:ascii="仿宋" w:hAnsi="仿宋" w:eastAsia="仿宋" w:cs="仿宋"/>
                <w:color w:val="000000" w:themeColor="text1"/>
                <w:sz w:val="24"/>
                <w:szCs w:val="24"/>
                <w14:textFill>
                  <w14:solidFill>
                    <w14:schemeClr w14:val="tx1"/>
                  </w14:solidFill>
                </w14:textFill>
              </w:rPr>
            </w:pPr>
          </w:p>
        </w:tc>
        <w:tc>
          <w:tcPr>
            <w:tcW w:w="1269" w:type="dxa"/>
          </w:tcPr>
          <w:p w14:paraId="58A109A8">
            <w:pPr>
              <w:pStyle w:val="3"/>
              <w:rPr>
                <w:rFonts w:hint="eastAsia" w:ascii="仿宋" w:hAnsi="仿宋" w:eastAsia="仿宋" w:cs="仿宋"/>
                <w:color w:val="000000" w:themeColor="text1"/>
                <w:sz w:val="24"/>
                <w:szCs w:val="24"/>
                <w14:textFill>
                  <w14:solidFill>
                    <w14:schemeClr w14:val="tx1"/>
                  </w14:solidFill>
                </w14:textFill>
              </w:rPr>
            </w:pPr>
          </w:p>
        </w:tc>
        <w:tc>
          <w:tcPr>
            <w:tcW w:w="1404" w:type="dxa"/>
          </w:tcPr>
          <w:p w14:paraId="15A58392">
            <w:pPr>
              <w:pStyle w:val="3"/>
              <w:rPr>
                <w:rFonts w:hint="eastAsia" w:ascii="仿宋" w:hAnsi="仿宋" w:eastAsia="仿宋" w:cs="仿宋"/>
                <w:color w:val="000000" w:themeColor="text1"/>
                <w:sz w:val="24"/>
                <w:szCs w:val="24"/>
                <w14:textFill>
                  <w14:solidFill>
                    <w14:schemeClr w14:val="tx1"/>
                  </w14:solidFill>
                </w14:textFill>
              </w:rPr>
            </w:pPr>
          </w:p>
        </w:tc>
      </w:tr>
      <w:tr w14:paraId="48A21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2958" w:type="dxa"/>
            <w:gridSpan w:val="3"/>
          </w:tcPr>
          <w:p w14:paraId="1C875AE8">
            <w:pPr>
              <w:pStyle w:val="3"/>
              <w:ind w:firstLine="354" w:firstLineChars="147"/>
              <w:rPr>
                <w:rFonts w:hint="eastAsia" w:ascii="仿宋" w:hAnsi="仿宋" w:eastAsia="仿宋" w:cs="仿宋"/>
                <w:color w:val="000000" w:themeColor="text1"/>
                <w:sz w:val="24"/>
                <w:szCs w:val="24"/>
                <w14:textFill>
                  <w14:solidFill>
                    <w14:schemeClr w14:val="tx1"/>
                  </w14:solidFill>
                </w14:textFill>
              </w:rPr>
            </w:pPr>
            <w:bookmarkStart w:id="8" w:name="_Toc12416"/>
            <w:r>
              <w:rPr>
                <w:rFonts w:hint="eastAsia" w:ascii="仿宋" w:hAnsi="仿宋" w:eastAsia="仿宋" w:cs="仿宋"/>
                <w:color w:val="000000" w:themeColor="text1"/>
                <w:sz w:val="24"/>
                <w:szCs w:val="24"/>
                <w14:textFill>
                  <w14:solidFill>
                    <w14:schemeClr w14:val="tx1"/>
                  </w14:solidFill>
                </w14:textFill>
              </w:rPr>
              <w:t>合计</w:t>
            </w:r>
            <w:bookmarkEnd w:id="8"/>
          </w:p>
        </w:tc>
        <w:tc>
          <w:tcPr>
            <w:tcW w:w="840" w:type="dxa"/>
            <w:vAlign w:val="center"/>
          </w:tcPr>
          <w:p w14:paraId="24F84BC6">
            <w:pPr>
              <w:pStyle w:val="3"/>
              <w:rPr>
                <w:rFonts w:hint="eastAsia" w:ascii="仿宋" w:hAnsi="仿宋" w:eastAsia="仿宋" w:cs="仿宋"/>
                <w:color w:val="000000" w:themeColor="text1"/>
                <w:sz w:val="24"/>
                <w:szCs w:val="24"/>
                <w14:textFill>
                  <w14:solidFill>
                    <w14:schemeClr w14:val="tx1"/>
                  </w14:solidFill>
                </w14:textFill>
              </w:rPr>
            </w:pPr>
            <w:bookmarkStart w:id="9" w:name="_Toc3021"/>
          </w:p>
        </w:tc>
        <w:tc>
          <w:tcPr>
            <w:tcW w:w="1095" w:type="dxa"/>
            <w:vAlign w:val="center"/>
          </w:tcPr>
          <w:p w14:paraId="23DA1EA0">
            <w:pPr>
              <w:pStyle w:val="3"/>
              <w:rPr>
                <w:rFonts w:hint="eastAsia" w:ascii="仿宋" w:hAnsi="仿宋" w:eastAsia="仿宋" w:cs="仿宋"/>
                <w:color w:val="000000" w:themeColor="text1"/>
                <w:sz w:val="24"/>
                <w:szCs w:val="24"/>
                <w14:textFill>
                  <w14:solidFill>
                    <w14:schemeClr w14:val="tx1"/>
                  </w14:solidFill>
                </w14:textFill>
              </w:rPr>
            </w:pPr>
          </w:p>
        </w:tc>
        <w:tc>
          <w:tcPr>
            <w:tcW w:w="2250" w:type="dxa"/>
            <w:gridSpan w:val="2"/>
            <w:vAlign w:val="center"/>
          </w:tcPr>
          <w:p w14:paraId="541BBA4C">
            <w:pPr>
              <w:pStyle w:val="3"/>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大写</w:t>
            </w:r>
            <w:bookmarkEnd w:id="9"/>
          </w:p>
        </w:tc>
        <w:tc>
          <w:tcPr>
            <w:tcW w:w="2673" w:type="dxa"/>
            <w:gridSpan w:val="2"/>
            <w:vAlign w:val="center"/>
          </w:tcPr>
          <w:p w14:paraId="4AE5EACF">
            <w:pPr>
              <w:pStyle w:val="3"/>
              <w:rPr>
                <w:rFonts w:hint="eastAsia" w:ascii="仿宋" w:hAnsi="仿宋" w:eastAsia="仿宋" w:cs="仿宋"/>
                <w:color w:val="000000" w:themeColor="text1"/>
                <w:sz w:val="24"/>
                <w:szCs w:val="24"/>
                <w14:textFill>
                  <w14:solidFill>
                    <w14:schemeClr w14:val="tx1"/>
                  </w14:solidFill>
                </w14:textFill>
              </w:rPr>
            </w:pPr>
            <w:bookmarkStart w:id="10" w:name="_Toc3291"/>
            <w:r>
              <w:rPr>
                <w:rFonts w:eastAsia="仿宋" w:cs="Arial"/>
                <w:color w:val="000000" w:themeColor="text1"/>
                <w:sz w:val="24"/>
                <w:szCs w:val="24"/>
                <w14:textFill>
                  <w14:solidFill>
                    <w14:schemeClr w14:val="tx1"/>
                  </w14:solidFill>
                </w14:textFill>
              </w:rPr>
              <w:t>¥</w:t>
            </w:r>
            <w:bookmarkEnd w:id="10"/>
          </w:p>
        </w:tc>
      </w:tr>
    </w:tbl>
    <w:p w14:paraId="02EB2EFF">
      <w:pPr>
        <w:pStyle w:val="12"/>
        <w:adjustRightInd w:val="0"/>
        <w:snapToGrid w:val="0"/>
        <w:spacing w:line="360" w:lineRule="auto"/>
        <w:ind w:firstLine="241" w:firstLineChars="100"/>
        <w:outlineLvl w:val="1"/>
        <w:rPr>
          <w:rFonts w:hint="eastAsia" w:ascii="仿宋" w:hAnsi="仿宋" w:eastAsia="仿宋" w:cs="仿宋"/>
          <w:b/>
          <w:color w:val="000000" w:themeColor="text1"/>
          <w14:textFill>
            <w14:solidFill>
              <w14:schemeClr w14:val="tx1"/>
            </w14:solidFill>
          </w14:textFill>
        </w:rPr>
      </w:pPr>
      <w:bookmarkStart w:id="11" w:name="_Toc5759"/>
      <w:r>
        <w:rPr>
          <w:rFonts w:hint="eastAsia" w:ascii="仿宋" w:hAnsi="仿宋" w:eastAsia="仿宋" w:cs="仿宋"/>
          <w:b/>
          <w:color w:val="000000" w:themeColor="text1"/>
          <w14:textFill>
            <w14:solidFill>
              <w14:schemeClr w14:val="tx1"/>
            </w14:solidFill>
          </w14:textFill>
        </w:rPr>
        <w:t>第二条 合同价款</w:t>
      </w:r>
      <w:bookmarkEnd w:id="11"/>
    </w:p>
    <w:p w14:paraId="36A0BB56">
      <w:pPr>
        <w:pStyle w:val="3"/>
        <w:adjustRightInd w:val="0"/>
        <w:snapToGrid w:val="0"/>
        <w:ind w:firstLine="240" w:firstLineChars="100"/>
        <w:jc w:val="left"/>
        <w:rPr>
          <w:rFonts w:hint="eastAsia" w:ascii="仿宋" w:hAnsi="仿宋" w:eastAsia="仿宋" w:cs="仿宋"/>
          <w:b w:val="0"/>
          <w:color w:val="000000" w:themeColor="text1"/>
          <w:sz w:val="24"/>
          <w:szCs w:val="24"/>
          <w14:textFill>
            <w14:solidFill>
              <w14:schemeClr w14:val="tx1"/>
            </w14:solidFill>
          </w14:textFill>
        </w:rPr>
      </w:pPr>
      <w:bookmarkStart w:id="12" w:name="_Toc16920"/>
      <w:r>
        <w:rPr>
          <w:rFonts w:hint="eastAsia" w:ascii="仿宋" w:hAnsi="仿宋" w:eastAsia="仿宋" w:cs="仿宋"/>
          <w:b w:val="0"/>
          <w:color w:val="000000" w:themeColor="text1"/>
          <w:sz w:val="24"/>
          <w:szCs w:val="24"/>
          <w14:textFill>
            <w14:solidFill>
              <w14:schemeClr w14:val="tx1"/>
            </w14:solidFill>
          </w14:textFill>
        </w:rPr>
        <w:t>1、合同总价为人民币</w:t>
      </w:r>
      <w:r>
        <w:rPr>
          <w:rFonts w:hint="eastAsia" w:ascii="仿宋" w:hAnsi="仿宋" w:eastAsia="仿宋" w:cs="仿宋"/>
          <w:b w:val="0"/>
          <w:color w:val="000000" w:themeColor="text1"/>
          <w:sz w:val="24"/>
          <w:szCs w:val="24"/>
          <w:u w:val="single"/>
          <w14:textFill>
            <w14:solidFill>
              <w14:schemeClr w14:val="tx1"/>
            </w14:solidFill>
          </w14:textFill>
        </w:rPr>
        <w:t xml:space="preserve">大写：        ，小写：      </w:t>
      </w:r>
      <w:r>
        <w:rPr>
          <w:rFonts w:hint="eastAsia" w:ascii="仿宋" w:hAnsi="仿宋" w:eastAsia="仿宋" w:cs="仿宋"/>
          <w:b w:val="0"/>
          <w:color w:val="000000" w:themeColor="text1"/>
          <w:sz w:val="24"/>
          <w:szCs w:val="24"/>
          <w14:textFill>
            <w14:solidFill>
              <w14:schemeClr w14:val="tx1"/>
            </w14:solidFill>
          </w14:textFill>
        </w:rPr>
        <w:t>。</w:t>
      </w:r>
      <w:bookmarkEnd w:id="12"/>
    </w:p>
    <w:p w14:paraId="7843DAEF">
      <w:pPr>
        <w:pStyle w:val="3"/>
        <w:adjustRightInd w:val="0"/>
        <w:snapToGrid w:val="0"/>
        <w:ind w:firstLine="240" w:firstLineChars="100"/>
        <w:jc w:val="left"/>
        <w:rPr>
          <w:rFonts w:hint="eastAsia" w:ascii="仿宋" w:hAnsi="仿宋" w:eastAsia="仿宋" w:cs="仿宋"/>
          <w:b w:val="0"/>
          <w:color w:val="000000" w:themeColor="text1"/>
          <w:sz w:val="24"/>
          <w:szCs w:val="24"/>
          <w14:textFill>
            <w14:solidFill>
              <w14:schemeClr w14:val="tx1"/>
            </w14:solidFill>
          </w14:textFill>
        </w:rPr>
      </w:pPr>
      <w:bookmarkStart w:id="13" w:name="_Toc22771"/>
      <w:r>
        <w:rPr>
          <w:rFonts w:hint="eastAsia" w:ascii="仿宋" w:hAnsi="仿宋" w:eastAsia="仿宋" w:cs="仿宋"/>
          <w:b w:val="0"/>
          <w:color w:val="000000" w:themeColor="text1"/>
          <w:sz w:val="24"/>
          <w:szCs w:val="24"/>
          <w14:textFill>
            <w14:solidFill>
              <w14:schemeClr w14:val="tx1"/>
            </w14:solidFill>
          </w14:textFill>
        </w:rPr>
        <w:t>2、本合同总价是货物（产品）包装、运输等其他有关各项的含税费用。</w:t>
      </w:r>
      <w:bookmarkEnd w:id="13"/>
    </w:p>
    <w:p w14:paraId="08209724">
      <w:pPr>
        <w:pStyle w:val="3"/>
        <w:adjustRightInd w:val="0"/>
        <w:snapToGrid w:val="0"/>
        <w:ind w:firstLine="240" w:firstLineChars="100"/>
        <w:jc w:val="left"/>
        <w:rPr>
          <w:rFonts w:hint="eastAsia" w:ascii="仿宋" w:hAnsi="仿宋" w:eastAsia="仿宋" w:cs="仿宋"/>
          <w:b w:val="0"/>
          <w:color w:val="000000" w:themeColor="text1"/>
          <w:sz w:val="24"/>
          <w:szCs w:val="24"/>
          <w14:textFill>
            <w14:solidFill>
              <w14:schemeClr w14:val="tx1"/>
            </w14:solidFill>
          </w14:textFill>
        </w:rPr>
      </w:pPr>
      <w:bookmarkStart w:id="14" w:name="_Toc11740"/>
      <w:r>
        <w:rPr>
          <w:rFonts w:hint="eastAsia" w:ascii="仿宋" w:hAnsi="仿宋" w:eastAsia="仿宋" w:cs="仿宋"/>
          <w:b w:val="0"/>
          <w:color w:val="000000" w:themeColor="text1"/>
          <w:sz w:val="24"/>
          <w:szCs w:val="24"/>
          <w14:textFill>
            <w14:solidFill>
              <w14:schemeClr w14:val="tx1"/>
            </w14:solidFill>
          </w14:textFill>
        </w:rPr>
        <w:t>3、本合同总价还包含乙方应当提供的伴随服务和售后服务费用。</w:t>
      </w:r>
      <w:bookmarkEnd w:id="14"/>
    </w:p>
    <w:p w14:paraId="3526632D">
      <w:pPr>
        <w:pStyle w:val="3"/>
        <w:adjustRightInd w:val="0"/>
        <w:snapToGrid w:val="0"/>
        <w:ind w:firstLine="240" w:firstLineChars="100"/>
        <w:jc w:val="left"/>
        <w:rPr>
          <w:rFonts w:hint="eastAsia" w:ascii="仿宋" w:hAnsi="仿宋" w:eastAsia="仿宋" w:cs="仿宋"/>
          <w:b w:val="0"/>
          <w:color w:val="000000" w:themeColor="text1"/>
          <w:sz w:val="24"/>
          <w:szCs w:val="24"/>
          <w14:textFill>
            <w14:solidFill>
              <w14:schemeClr w14:val="tx1"/>
            </w14:solidFill>
          </w14:textFill>
        </w:rPr>
      </w:pPr>
      <w:bookmarkStart w:id="15" w:name="_Toc28511"/>
      <w:r>
        <w:rPr>
          <w:rFonts w:hint="eastAsia" w:ascii="仿宋" w:hAnsi="仿宋" w:eastAsia="仿宋" w:cs="仿宋"/>
          <w:b w:val="0"/>
          <w:color w:val="000000" w:themeColor="text1"/>
          <w:sz w:val="24"/>
          <w:szCs w:val="24"/>
          <w14:textFill>
            <w14:solidFill>
              <w14:schemeClr w14:val="tx1"/>
            </w14:solidFill>
          </w14:textFill>
        </w:rPr>
        <w:t>4、本合同执行期间合同总价不变，甲方无须另向乙方支付本合同规定之外的其他任何费用。</w:t>
      </w:r>
      <w:bookmarkEnd w:id="15"/>
    </w:p>
    <w:p w14:paraId="49F7616C">
      <w:pPr>
        <w:pStyle w:val="3"/>
        <w:adjustRightInd w:val="0"/>
        <w:snapToGrid w:val="0"/>
        <w:ind w:firstLine="240" w:firstLineChars="100"/>
        <w:jc w:val="left"/>
        <w:rPr>
          <w:rFonts w:hint="eastAsia" w:ascii="仿宋" w:hAnsi="仿宋" w:eastAsia="仿宋" w:cs="仿宋"/>
          <w:b w:val="0"/>
          <w:color w:val="000000" w:themeColor="text1"/>
          <w:sz w:val="24"/>
          <w:szCs w:val="24"/>
          <w14:textFill>
            <w14:solidFill>
              <w14:schemeClr w14:val="tx1"/>
            </w14:solidFill>
          </w14:textFill>
        </w:rPr>
      </w:pPr>
      <w:bookmarkStart w:id="16" w:name="_Toc1038"/>
      <w:r>
        <w:rPr>
          <w:rFonts w:hint="eastAsia" w:ascii="仿宋" w:hAnsi="仿宋" w:eastAsia="仿宋" w:cs="仿宋"/>
          <w:b w:val="0"/>
          <w:color w:val="000000" w:themeColor="text1"/>
          <w:sz w:val="24"/>
          <w:szCs w:val="24"/>
          <w14:textFill>
            <w14:solidFill>
              <w14:schemeClr w14:val="tx1"/>
            </w14:solidFill>
          </w14:textFill>
        </w:rPr>
        <w:t>5、本合同总价需包含完成本项目所必须的全部费用。（产品如涉及专利等方面问题，应按国家相关规定取得授权并确保不发生纠纷，乙方须承担相关费用，如产生纠纷由乙方承担全部责任。）</w:t>
      </w:r>
      <w:bookmarkEnd w:id="16"/>
    </w:p>
    <w:p w14:paraId="5F4F2E8E">
      <w:pPr>
        <w:pStyle w:val="3"/>
        <w:adjustRightInd w:val="0"/>
        <w:snapToGrid w:val="0"/>
        <w:ind w:firstLine="241" w:firstLineChars="100"/>
        <w:jc w:val="both"/>
        <w:rPr>
          <w:rFonts w:hint="eastAsia" w:ascii="仿宋" w:hAnsi="仿宋" w:eastAsia="仿宋" w:cs="仿宋"/>
          <w:color w:val="000000" w:themeColor="text1"/>
          <w:sz w:val="24"/>
          <w:szCs w:val="24"/>
          <w:lang w:eastAsia="zh-CN"/>
          <w14:textFill>
            <w14:solidFill>
              <w14:schemeClr w14:val="tx1"/>
            </w14:solidFill>
          </w14:textFill>
        </w:rPr>
      </w:pPr>
      <w:bookmarkStart w:id="17" w:name="_Toc11403"/>
      <w:r>
        <w:rPr>
          <w:rFonts w:hint="eastAsia" w:ascii="仿宋" w:hAnsi="仿宋" w:eastAsia="仿宋" w:cs="仿宋"/>
          <w:color w:val="000000" w:themeColor="text1"/>
          <w:sz w:val="24"/>
          <w:szCs w:val="24"/>
          <w14:textFill>
            <w14:solidFill>
              <w14:schemeClr w14:val="tx1"/>
            </w14:solidFill>
          </w14:textFill>
        </w:rPr>
        <w:t>第三条 履约保证金</w:t>
      </w:r>
      <w:r>
        <w:rPr>
          <w:rFonts w:hint="eastAsia" w:ascii="仿宋" w:hAnsi="仿宋" w:eastAsia="仿宋" w:cs="仿宋"/>
          <w:color w:val="000000" w:themeColor="text1"/>
          <w:sz w:val="24"/>
          <w:szCs w:val="24"/>
          <w:lang w:eastAsia="zh-CN"/>
          <w14:textFill>
            <w14:solidFill>
              <w14:schemeClr w14:val="tx1"/>
            </w14:solidFill>
          </w14:textFill>
        </w:rPr>
        <w:t>（</w:t>
      </w:r>
      <w:r>
        <w:rPr>
          <w:rFonts w:hint="eastAsia" w:ascii="仿宋" w:hAnsi="仿宋" w:eastAsia="仿宋" w:cs="仿宋"/>
          <w:color w:val="000000" w:themeColor="text1"/>
          <w:sz w:val="24"/>
          <w:szCs w:val="24"/>
          <w:lang w:val="en-US" w:eastAsia="zh-CN"/>
          <w14:textFill>
            <w14:solidFill>
              <w14:schemeClr w14:val="tx1"/>
            </w14:solidFill>
          </w14:textFill>
        </w:rPr>
        <w:t>若有</w:t>
      </w:r>
      <w:r>
        <w:rPr>
          <w:rFonts w:hint="eastAsia" w:ascii="仿宋" w:hAnsi="仿宋" w:eastAsia="仿宋" w:cs="仿宋"/>
          <w:color w:val="000000" w:themeColor="text1"/>
          <w:sz w:val="24"/>
          <w:szCs w:val="24"/>
          <w:lang w:eastAsia="zh-CN"/>
          <w14:textFill>
            <w14:solidFill>
              <w14:schemeClr w14:val="tx1"/>
            </w14:solidFill>
          </w14:textFill>
        </w:rPr>
        <w:t>）</w:t>
      </w:r>
      <w:bookmarkStart w:id="29" w:name="_GoBack"/>
      <w:bookmarkEnd w:id="29"/>
    </w:p>
    <w:p w14:paraId="64E519CD">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1、缴纳要求：乙方应在本合同签订前，按本合同总价的 3% 向甲方足额缴纳履约保证金，保证金金额为人民币大写：</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，小写：</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086F8CA2">
      <w:pPr>
        <w:spacing w:line="360" w:lineRule="auto"/>
        <w:rPr>
          <w:rFonts w:hint="eastAsia" w:ascii="仿宋" w:hAnsi="仿宋" w:eastAsia="仿宋" w:cs="仿宋"/>
          <w:sz w:val="24"/>
          <w:szCs w:val="24"/>
        </w:rPr>
      </w:pPr>
      <w:r>
        <w:rPr>
          <w:rFonts w:hint="eastAsia" w:ascii="仿宋" w:hAnsi="仿宋" w:eastAsia="仿宋" w:cs="仿宋"/>
          <w:sz w:val="24"/>
          <w:szCs w:val="24"/>
        </w:rPr>
        <w:t>2、缴纳方式：乙方可选择以下任意一种合法合规方式缴纳，缴纳凭证需提交甲方备案：</w:t>
      </w:r>
    </w:p>
    <w:p w14:paraId="372CB8DC">
      <w:pPr>
        <w:spacing w:line="360" w:lineRule="auto"/>
        <w:rPr>
          <w:rFonts w:hint="eastAsia" w:ascii="仿宋" w:hAnsi="仿宋" w:eastAsia="仿宋" w:cs="仿宋"/>
          <w:sz w:val="24"/>
          <w:szCs w:val="24"/>
        </w:rPr>
      </w:pPr>
      <w:r>
        <w:rPr>
          <w:rFonts w:hint="eastAsia" w:ascii="仿宋" w:hAnsi="仿宋" w:eastAsia="仿宋" w:cs="仿宋"/>
          <w:sz w:val="24"/>
          <w:szCs w:val="24"/>
        </w:rPr>
        <w:t>（1）银行转账：乙方将保证金转入甲方指定账户，转账时注明 “XX 项目履约保证金”；</w:t>
      </w:r>
    </w:p>
    <w:p w14:paraId="6C54ADA0">
      <w:pPr>
        <w:spacing w:line="360" w:lineRule="auto"/>
        <w:rPr>
          <w:rFonts w:hint="eastAsia" w:ascii="仿宋" w:hAnsi="仿宋" w:eastAsia="仿宋" w:cs="仿宋"/>
          <w:sz w:val="24"/>
          <w:szCs w:val="24"/>
        </w:rPr>
      </w:pPr>
      <w:r>
        <w:rPr>
          <w:rFonts w:hint="eastAsia" w:ascii="仿宋" w:hAnsi="仿宋" w:eastAsia="仿宋" w:cs="仿宋"/>
          <w:sz w:val="24"/>
          <w:szCs w:val="24"/>
        </w:rPr>
        <w:t>（2）支票 / 汇票 / 本票：乙方交付有效足额的银行支票、商业汇票或银行本票，甲方核实无误后出具收款凭证；</w:t>
      </w:r>
    </w:p>
    <w:p w14:paraId="658CD1D8">
      <w:pPr>
        <w:spacing w:line="360" w:lineRule="auto"/>
        <w:rPr>
          <w:rFonts w:hint="eastAsia" w:ascii="仿宋" w:hAnsi="仿宋" w:eastAsia="仿宋" w:cs="仿宋"/>
          <w:sz w:val="24"/>
          <w:szCs w:val="24"/>
        </w:rPr>
      </w:pPr>
      <w:r>
        <w:rPr>
          <w:rFonts w:hint="eastAsia" w:ascii="仿宋" w:hAnsi="仿宋" w:eastAsia="仿宋" w:cs="仿宋"/>
          <w:sz w:val="24"/>
          <w:szCs w:val="24"/>
        </w:rPr>
        <w:t>（3）保函 / 保险：乙方提供具备相应资质的金融机构或保险公司出具的履约保函 / 履约保险保单，保函 / 保单有效期需覆盖本合同履约期限及质量保证期，条款需经甲方审核确认。</w:t>
      </w:r>
    </w:p>
    <w:p w14:paraId="2E343B82">
      <w:pPr>
        <w:spacing w:line="360" w:lineRule="auto"/>
        <w:rPr>
          <w:rFonts w:hint="eastAsia" w:ascii="仿宋" w:hAnsi="仿宋" w:eastAsia="仿宋" w:cs="仿宋"/>
          <w:sz w:val="24"/>
          <w:szCs w:val="24"/>
        </w:rPr>
      </w:pPr>
      <w:r>
        <w:rPr>
          <w:rFonts w:hint="eastAsia" w:ascii="仿宋" w:hAnsi="仿宋" w:eastAsia="仿宋" w:cs="仿宋"/>
          <w:sz w:val="24"/>
          <w:szCs w:val="24"/>
        </w:rPr>
        <w:t>3、缴纳时限：乙方应在收到甲方签约通知后至本合同签订前完成缴纳，逾期未足额缴纳的，甲方有权拒绝签订本合同，并追究乙方缔约过失责任。</w:t>
      </w:r>
    </w:p>
    <w:p w14:paraId="19AEB1AA">
      <w:pPr>
        <w:spacing w:line="360" w:lineRule="auto"/>
        <w:rPr>
          <w:rFonts w:hint="eastAsia" w:ascii="仿宋" w:hAnsi="仿宋" w:eastAsia="仿宋" w:cs="仿宋"/>
          <w:sz w:val="24"/>
          <w:szCs w:val="24"/>
        </w:rPr>
      </w:pPr>
      <w:r>
        <w:rPr>
          <w:rFonts w:hint="eastAsia" w:ascii="仿宋" w:hAnsi="仿宋" w:eastAsia="仿宋" w:cs="仿宋"/>
          <w:sz w:val="24"/>
          <w:szCs w:val="24"/>
        </w:rPr>
        <w:t>4、缴纳保证金退还：</w:t>
      </w:r>
    </w:p>
    <w:p w14:paraId="761AC0CF">
      <w:pPr>
        <w:spacing w:line="360" w:lineRule="auto"/>
        <w:rPr>
          <w:rFonts w:hint="eastAsia" w:ascii="仿宋" w:hAnsi="仿宋" w:eastAsia="仿宋" w:cs="仿宋"/>
          <w:sz w:val="24"/>
          <w:szCs w:val="24"/>
        </w:rPr>
      </w:pPr>
      <w:r>
        <w:rPr>
          <w:rFonts w:hint="eastAsia" w:ascii="仿宋" w:hAnsi="仿宋" w:eastAsia="仿宋" w:cs="仿宋"/>
          <w:sz w:val="24"/>
          <w:szCs w:val="24"/>
        </w:rPr>
        <w:t>（1）本合同项下货物经甲方终验合格，且乙方无任何违约情形的，乙方可向甲方提交书面退还申请及相关证明材料；</w:t>
      </w:r>
    </w:p>
    <w:p w14:paraId="409BFC4B">
      <w:pPr>
        <w:spacing w:line="360" w:lineRule="auto"/>
        <w:rPr>
          <w:rFonts w:hint="eastAsia" w:ascii="仿宋" w:hAnsi="仿宋" w:eastAsia="仿宋" w:cs="仿宋"/>
          <w:sz w:val="24"/>
          <w:szCs w:val="24"/>
        </w:rPr>
      </w:pPr>
      <w:r>
        <w:rPr>
          <w:rFonts w:hint="eastAsia" w:ascii="仿宋" w:hAnsi="仿宋" w:eastAsia="仿宋" w:cs="仿宋"/>
          <w:sz w:val="24"/>
          <w:szCs w:val="24"/>
        </w:rPr>
        <w:t>（2）甲方在收到完整材料后 15 个工作日内，按乙方原缴纳方式无息退还（保函 / 保险方式的，协助乙方办理注销手续）；</w:t>
      </w:r>
    </w:p>
    <w:p w14:paraId="009FD831">
      <w:pPr>
        <w:spacing w:line="360" w:lineRule="auto"/>
        <w:rPr>
          <w:rFonts w:hint="eastAsia" w:ascii="仿宋" w:hAnsi="仿宋" w:eastAsia="仿宋" w:cs="仿宋"/>
          <w:sz w:val="24"/>
          <w:szCs w:val="24"/>
        </w:rPr>
      </w:pPr>
      <w:r>
        <w:rPr>
          <w:rFonts w:hint="eastAsia" w:ascii="仿宋" w:hAnsi="仿宋" w:eastAsia="仿宋" w:cs="仿宋"/>
          <w:sz w:val="24"/>
          <w:szCs w:val="24"/>
        </w:rPr>
        <w:t>（3）若乙方存在本合同约定的违约情形，甲方有权从保证金中直接扣除违约金、赔偿金等款项，不足部分有权向乙方追偿，剩余保证金无息退还。</w:t>
      </w:r>
    </w:p>
    <w:p w14:paraId="1B84F641">
      <w:pPr>
        <w:pStyle w:val="3"/>
        <w:adjustRightInd w:val="0"/>
        <w:snapToGrid w:val="0"/>
        <w:ind w:firstLine="241" w:firstLineChars="100"/>
        <w:jc w:val="both"/>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第四条 货款支付</w:t>
      </w:r>
      <w:bookmarkEnd w:id="17"/>
    </w:p>
    <w:p w14:paraId="15499075">
      <w:pPr>
        <w:pStyle w:val="12"/>
        <w:adjustRightInd w:val="0"/>
        <w:snapToGrid w:val="0"/>
        <w:spacing w:line="360" w:lineRule="auto"/>
        <w:ind w:firstLine="240" w:firstLineChars="100"/>
        <w:outlineLvl w:val="1"/>
        <w:rPr>
          <w:rFonts w:hint="eastAsia" w:ascii="仿宋" w:hAnsi="仿宋" w:eastAsia="仿宋" w:cs="仿宋"/>
          <w:color w:val="000000" w:themeColor="text1"/>
          <w14:textFill>
            <w14:solidFill>
              <w14:schemeClr w14:val="tx1"/>
            </w14:solidFill>
          </w14:textFill>
        </w:rPr>
      </w:pPr>
      <w:bookmarkStart w:id="18" w:name="_Toc26850"/>
      <w:r>
        <w:rPr>
          <w:rFonts w:hint="eastAsia" w:ascii="仿宋" w:hAnsi="仿宋" w:eastAsia="仿宋" w:cs="仿宋"/>
          <w:color w:val="000000" w:themeColor="text1"/>
          <w14:textFill>
            <w14:solidFill>
              <w14:schemeClr w14:val="tx1"/>
            </w14:solidFill>
          </w14:textFill>
        </w:rPr>
        <w:t>执行招标文件内要求</w:t>
      </w:r>
    </w:p>
    <w:p w14:paraId="6857F00E">
      <w:pPr>
        <w:pStyle w:val="12"/>
        <w:adjustRightInd w:val="0"/>
        <w:snapToGrid w:val="0"/>
        <w:spacing w:line="360" w:lineRule="auto"/>
        <w:ind w:firstLine="241" w:firstLineChars="100"/>
        <w:outlineLvl w:val="1"/>
        <w:rPr>
          <w:rFonts w:hint="eastAsia" w:ascii="仿宋" w:hAnsi="仿宋" w:eastAsia="仿宋" w:cs="仿宋"/>
          <w:b/>
          <w:color w:val="000000" w:themeColor="text1"/>
          <w14:textFill>
            <w14:solidFill>
              <w14:schemeClr w14:val="tx1"/>
            </w14:solidFill>
          </w14:textFill>
        </w:rPr>
      </w:pPr>
      <w:r>
        <w:rPr>
          <w:rFonts w:hint="eastAsia" w:ascii="仿宋" w:hAnsi="仿宋" w:eastAsia="仿宋" w:cs="仿宋"/>
          <w:b/>
          <w:bCs/>
          <w:color w:val="000000" w:themeColor="text1"/>
          <w:kern w:val="0"/>
          <w14:textFill>
            <w14:solidFill>
              <w14:schemeClr w14:val="tx1"/>
            </w14:solidFill>
          </w14:textFill>
        </w:rPr>
        <w:t>第五条 交货期与地点</w:t>
      </w:r>
      <w:bookmarkEnd w:id="18"/>
    </w:p>
    <w:p w14:paraId="0F5ED638">
      <w:pPr>
        <w:pStyle w:val="12"/>
        <w:adjustRightInd w:val="0"/>
        <w:snapToGrid w:val="0"/>
        <w:spacing w:line="360" w:lineRule="auto"/>
        <w:ind w:firstLine="240" w:firstLineChars="1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1.交货期：执行招标文件内要求</w:t>
      </w:r>
    </w:p>
    <w:p w14:paraId="33950F6C">
      <w:pPr>
        <w:pStyle w:val="12"/>
        <w:adjustRightInd w:val="0"/>
        <w:snapToGrid w:val="0"/>
        <w:spacing w:line="360" w:lineRule="auto"/>
        <w:ind w:firstLine="240" w:firstLineChars="1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1.1.乙方未征得采购人同意和谅解而单方面延迟履行合同期限，将按违约终止合同。</w:t>
      </w:r>
    </w:p>
    <w:p w14:paraId="2B8965BB">
      <w:pPr>
        <w:pStyle w:val="12"/>
        <w:adjustRightInd w:val="0"/>
        <w:snapToGrid w:val="0"/>
        <w:spacing w:line="360" w:lineRule="auto"/>
        <w:ind w:firstLine="240" w:firstLineChars="1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1.2采购人遇到可能妨碍按时完工的情况，应当及时以书面形式通知采购人，说明原由、拖延的期限等；采购人在收到通知后，尽快进行情况评估并确定是否通过修改合同，酌情延长服务时间或者通过协商加收误期赔偿金。</w:t>
      </w:r>
    </w:p>
    <w:p w14:paraId="28BCAA61">
      <w:pPr>
        <w:pStyle w:val="12"/>
        <w:adjustRightInd w:val="0"/>
        <w:snapToGrid w:val="0"/>
        <w:spacing w:line="360" w:lineRule="auto"/>
        <w:ind w:firstLine="240" w:firstLineChars="1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1.3如在供货过程中出现不可抗力得原因影响供货时间的，交货期相应顺延。</w:t>
      </w:r>
    </w:p>
    <w:p w14:paraId="08B97292">
      <w:pPr>
        <w:pStyle w:val="12"/>
        <w:adjustRightInd w:val="0"/>
        <w:snapToGrid w:val="0"/>
        <w:spacing w:line="360" w:lineRule="auto"/>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2.地点：</w:t>
      </w:r>
      <w:r>
        <w:rPr>
          <w:rFonts w:hint="eastAsia" w:ascii="仿宋" w:hAnsi="仿宋" w:eastAsia="仿宋" w:cs="仿宋"/>
          <w:color w:val="000000" w:themeColor="text1"/>
          <w:kern w:val="2"/>
          <w14:textFill>
            <w14:solidFill>
              <w14:schemeClr w14:val="tx1"/>
            </w14:solidFill>
          </w14:textFill>
        </w:rPr>
        <w:t>采购人指定地点。</w:t>
      </w:r>
    </w:p>
    <w:p w14:paraId="0DF2C5C8">
      <w:pPr>
        <w:pStyle w:val="12"/>
        <w:adjustRightInd w:val="0"/>
        <w:snapToGrid w:val="0"/>
        <w:spacing w:line="360" w:lineRule="auto"/>
        <w:ind w:firstLine="241" w:firstLineChars="100"/>
        <w:outlineLvl w:val="1"/>
        <w:rPr>
          <w:rFonts w:hint="eastAsia" w:ascii="仿宋" w:hAnsi="仿宋" w:eastAsia="仿宋" w:cs="仿宋"/>
          <w:b/>
          <w:color w:val="000000" w:themeColor="text1"/>
          <w14:textFill>
            <w14:solidFill>
              <w14:schemeClr w14:val="tx1"/>
            </w14:solidFill>
          </w14:textFill>
        </w:rPr>
      </w:pPr>
      <w:bookmarkStart w:id="19" w:name="_Toc5671"/>
      <w:r>
        <w:rPr>
          <w:rFonts w:hint="eastAsia" w:ascii="仿宋" w:hAnsi="仿宋" w:eastAsia="仿宋" w:cs="仿宋"/>
          <w:b/>
          <w:color w:val="000000" w:themeColor="text1"/>
          <w14:textFill>
            <w14:solidFill>
              <w14:schemeClr w14:val="tx1"/>
            </w14:solidFill>
          </w14:textFill>
        </w:rPr>
        <w:t>第六条 质量保证</w:t>
      </w:r>
      <w:bookmarkEnd w:id="19"/>
    </w:p>
    <w:p w14:paraId="036E46E3">
      <w:pPr>
        <w:pStyle w:val="12"/>
        <w:adjustRightInd w:val="0"/>
        <w:snapToGrid w:val="0"/>
        <w:spacing w:line="360" w:lineRule="auto"/>
        <w:ind w:firstLine="240" w:firstLineChars="1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1、乙方须提供全新的、未使用过的合格正品货物，完全符合合同规定的质量、规格的要求。</w:t>
      </w:r>
    </w:p>
    <w:p w14:paraId="4D206DAD">
      <w:pPr>
        <w:pStyle w:val="12"/>
        <w:adjustRightInd w:val="0"/>
        <w:snapToGrid w:val="0"/>
        <w:spacing w:line="360" w:lineRule="auto"/>
        <w:ind w:firstLine="240" w:firstLineChars="1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2、乙方提供的配套资料必须是真实有效的。</w:t>
      </w:r>
    </w:p>
    <w:p w14:paraId="51569DDC">
      <w:pPr>
        <w:pStyle w:val="12"/>
        <w:adjustRightInd w:val="0"/>
        <w:snapToGrid w:val="0"/>
        <w:spacing w:line="360" w:lineRule="auto"/>
        <w:ind w:firstLine="240" w:firstLineChars="1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3、质量标准按照最新颁布的国家标准、行业标准或制造商企业标准确定，上述标准不一致的，以严格标准为准。</w:t>
      </w:r>
    </w:p>
    <w:p w14:paraId="632BCC70">
      <w:pPr>
        <w:pStyle w:val="12"/>
        <w:adjustRightInd w:val="0"/>
        <w:snapToGrid w:val="0"/>
        <w:spacing w:line="360" w:lineRule="auto"/>
        <w:ind w:firstLine="240" w:firstLineChars="1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4、乙方所提供货物还应符合国家和陕西省有关安全、环保、节能之规定，“3C”认证的货物（产品）应加贴“3C”认证标志。</w:t>
      </w:r>
    </w:p>
    <w:p w14:paraId="6D52A94D">
      <w:pPr>
        <w:pStyle w:val="12"/>
        <w:adjustRightInd w:val="0"/>
        <w:snapToGrid w:val="0"/>
        <w:spacing w:line="360" w:lineRule="auto"/>
        <w:ind w:firstLine="240" w:firstLineChars="1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5、货物制造质量出现问题，乙方应负责三包（包修、包换、包退），费用由乙方负担，甲方有权到乙方生产场地检查货物质量和生产进度。</w:t>
      </w:r>
    </w:p>
    <w:p w14:paraId="78E41A83">
      <w:pPr>
        <w:pStyle w:val="12"/>
        <w:adjustRightInd w:val="0"/>
        <w:snapToGrid w:val="0"/>
        <w:spacing w:line="360" w:lineRule="auto"/>
        <w:ind w:firstLine="241" w:firstLineChars="100"/>
        <w:outlineLvl w:val="1"/>
        <w:rPr>
          <w:rFonts w:hint="eastAsia" w:ascii="仿宋" w:hAnsi="仿宋" w:eastAsia="仿宋" w:cs="仿宋"/>
          <w:b/>
          <w:color w:val="000000" w:themeColor="text1"/>
          <w14:textFill>
            <w14:solidFill>
              <w14:schemeClr w14:val="tx1"/>
            </w14:solidFill>
          </w14:textFill>
        </w:rPr>
      </w:pPr>
      <w:bookmarkStart w:id="20" w:name="_Toc7279"/>
      <w:r>
        <w:rPr>
          <w:rFonts w:hint="eastAsia" w:ascii="仿宋" w:hAnsi="仿宋" w:eastAsia="仿宋" w:cs="仿宋"/>
          <w:b/>
          <w:color w:val="000000" w:themeColor="text1"/>
          <w14:textFill>
            <w14:solidFill>
              <w14:schemeClr w14:val="tx1"/>
            </w14:solidFill>
          </w14:textFill>
        </w:rPr>
        <w:t>第七条 权利保证</w:t>
      </w:r>
      <w:bookmarkEnd w:id="20"/>
    </w:p>
    <w:p w14:paraId="4F2DB9DB">
      <w:pPr>
        <w:pStyle w:val="12"/>
        <w:adjustRightInd w:val="0"/>
        <w:snapToGrid w:val="0"/>
        <w:spacing w:line="360" w:lineRule="auto"/>
        <w:ind w:firstLine="240" w:firstLineChars="1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1、乙方保证对其出售的货物享有合法的权利。</w:t>
      </w:r>
    </w:p>
    <w:p w14:paraId="7DEA4810">
      <w:pPr>
        <w:pStyle w:val="12"/>
        <w:adjustRightInd w:val="0"/>
        <w:snapToGrid w:val="0"/>
        <w:spacing w:line="360" w:lineRule="auto"/>
        <w:ind w:firstLine="240" w:firstLineChars="1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2、乙方保证对其出售的货物上不存在任何未曾向甲方透露的担保物权，如抵押权、质押权、留置权。</w:t>
      </w:r>
    </w:p>
    <w:p w14:paraId="219BB5E0">
      <w:pPr>
        <w:pStyle w:val="12"/>
        <w:adjustRightInd w:val="0"/>
        <w:snapToGrid w:val="0"/>
        <w:spacing w:line="360" w:lineRule="auto"/>
        <w:ind w:firstLine="240" w:firstLineChars="1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3、乙方保证对其出售的货物或其任何一部分没有侵犯第三方的专利权、版权、商标权或其他权利。</w:t>
      </w:r>
    </w:p>
    <w:p w14:paraId="4BFF86E2">
      <w:pPr>
        <w:pStyle w:val="12"/>
        <w:adjustRightInd w:val="0"/>
        <w:snapToGrid w:val="0"/>
        <w:spacing w:line="360" w:lineRule="auto"/>
        <w:ind w:firstLine="240" w:firstLineChars="100"/>
        <w:rPr>
          <w:rFonts w:hint="eastAsia" w:ascii="仿宋" w:hAnsi="仿宋" w:eastAsia="仿宋" w:cs="仿宋"/>
          <w:b/>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4、如甲方在使用该货物构成上述侵权的，则由乙方承担全部责任。</w:t>
      </w:r>
    </w:p>
    <w:p w14:paraId="411C12B1">
      <w:pPr>
        <w:pStyle w:val="12"/>
        <w:adjustRightInd w:val="0"/>
        <w:snapToGrid w:val="0"/>
        <w:spacing w:line="360" w:lineRule="auto"/>
        <w:ind w:firstLine="241" w:firstLineChars="100"/>
        <w:outlineLvl w:val="1"/>
        <w:rPr>
          <w:rFonts w:hint="eastAsia" w:ascii="仿宋" w:hAnsi="仿宋" w:eastAsia="仿宋" w:cs="仿宋"/>
          <w:color w:val="000000" w:themeColor="text1"/>
          <w14:textFill>
            <w14:solidFill>
              <w14:schemeClr w14:val="tx1"/>
            </w14:solidFill>
          </w14:textFill>
        </w:rPr>
      </w:pPr>
      <w:bookmarkStart w:id="21" w:name="_Toc129"/>
      <w:r>
        <w:rPr>
          <w:rFonts w:hint="eastAsia" w:ascii="仿宋" w:hAnsi="仿宋" w:eastAsia="仿宋" w:cs="仿宋"/>
          <w:b/>
          <w:color w:val="000000" w:themeColor="text1"/>
          <w14:textFill>
            <w14:solidFill>
              <w14:schemeClr w14:val="tx1"/>
            </w14:solidFill>
          </w14:textFill>
        </w:rPr>
        <w:t>第八条 包装要求与运输方式</w:t>
      </w:r>
      <w:bookmarkEnd w:id="21"/>
      <w:r>
        <w:rPr>
          <w:rFonts w:hint="eastAsia" w:ascii="仿宋" w:hAnsi="仿宋" w:eastAsia="仿宋" w:cs="仿宋"/>
          <w:b/>
          <w:color w:val="000000" w:themeColor="text1"/>
          <w14:textFill>
            <w14:solidFill>
              <w14:schemeClr w14:val="tx1"/>
            </w14:solidFill>
          </w14:textFill>
        </w:rPr>
        <w:t xml:space="preserve">  </w:t>
      </w:r>
    </w:p>
    <w:p w14:paraId="183AE1F3">
      <w:pPr>
        <w:pStyle w:val="12"/>
        <w:adjustRightInd w:val="0"/>
        <w:snapToGrid w:val="0"/>
        <w:spacing w:line="360" w:lineRule="auto"/>
        <w:ind w:firstLine="240" w:firstLineChars="1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1、除合同另有规定外，乙方提供的全部货物均应按标准保护措施进行包装，该包装应适应于远距离运输、防潮、防震、防锈和防野蛮装卸，以确保货物安全运抵指定地点。</w:t>
      </w:r>
    </w:p>
    <w:p w14:paraId="3A64618B">
      <w:pPr>
        <w:pStyle w:val="12"/>
        <w:adjustRightInd w:val="0"/>
        <w:snapToGrid w:val="0"/>
        <w:spacing w:line="360" w:lineRule="auto"/>
        <w:ind w:firstLine="240" w:firstLineChars="1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2、每一包装单元应附详细的装箱单和质量合格证。</w:t>
      </w:r>
    </w:p>
    <w:p w14:paraId="719BEDF1">
      <w:pPr>
        <w:pStyle w:val="12"/>
        <w:adjustRightInd w:val="0"/>
        <w:snapToGrid w:val="0"/>
        <w:spacing w:line="360" w:lineRule="auto"/>
        <w:ind w:firstLine="240" w:firstLineChars="1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3、货物（产品）运输方式：</w:t>
      </w:r>
      <w:r>
        <w:rPr>
          <w:rFonts w:hint="eastAsia" w:ascii="仿宋" w:hAnsi="仿宋" w:eastAsia="仿宋" w:cs="仿宋"/>
          <w:color w:val="000000" w:themeColor="text1"/>
          <w:u w:val="single"/>
          <w14:textFill>
            <w14:solidFill>
              <w14:schemeClr w14:val="tx1"/>
            </w14:solidFill>
          </w14:textFill>
        </w:rPr>
        <w:t xml:space="preserve">       </w:t>
      </w:r>
      <w:r>
        <w:rPr>
          <w:rFonts w:hint="eastAsia" w:ascii="仿宋" w:hAnsi="仿宋" w:eastAsia="仿宋" w:cs="仿宋"/>
          <w:color w:val="000000" w:themeColor="text1"/>
          <w14:textFill>
            <w14:solidFill>
              <w14:schemeClr w14:val="tx1"/>
            </w14:solidFill>
          </w14:textFill>
        </w:rPr>
        <w:t>。</w:t>
      </w:r>
    </w:p>
    <w:p w14:paraId="53E75678">
      <w:pPr>
        <w:pStyle w:val="12"/>
        <w:adjustRightInd w:val="0"/>
        <w:snapToGrid w:val="0"/>
        <w:spacing w:line="360" w:lineRule="auto"/>
        <w:ind w:firstLine="240" w:firstLineChars="1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4、乙方负责货物（产品）运输，货物运输的合理损耗及计算方法。</w:t>
      </w:r>
    </w:p>
    <w:p w14:paraId="7B10401C">
      <w:pPr>
        <w:pStyle w:val="12"/>
        <w:adjustRightInd w:val="0"/>
        <w:snapToGrid w:val="0"/>
        <w:spacing w:line="360" w:lineRule="auto"/>
        <w:ind w:firstLine="241" w:firstLineChars="100"/>
        <w:outlineLvl w:val="1"/>
        <w:rPr>
          <w:rFonts w:hint="eastAsia" w:ascii="仿宋" w:hAnsi="仿宋" w:eastAsia="仿宋" w:cs="仿宋"/>
          <w:color w:val="000000" w:themeColor="text1"/>
          <w14:textFill>
            <w14:solidFill>
              <w14:schemeClr w14:val="tx1"/>
            </w14:solidFill>
          </w14:textFill>
        </w:rPr>
      </w:pPr>
      <w:bookmarkStart w:id="22" w:name="_Toc11592"/>
      <w:r>
        <w:rPr>
          <w:rFonts w:hint="eastAsia" w:ascii="仿宋" w:hAnsi="仿宋" w:eastAsia="仿宋" w:cs="仿宋"/>
          <w:b/>
          <w:color w:val="000000" w:themeColor="text1"/>
          <w14:textFill>
            <w14:solidFill>
              <w14:schemeClr w14:val="tx1"/>
            </w14:solidFill>
          </w14:textFill>
        </w:rPr>
        <w:t>第九条 验收</w:t>
      </w:r>
      <w:bookmarkEnd w:id="22"/>
    </w:p>
    <w:p w14:paraId="2C644925">
      <w:pPr>
        <w:pStyle w:val="12"/>
        <w:adjustRightInd w:val="0"/>
        <w:snapToGrid w:val="0"/>
        <w:spacing w:line="360" w:lineRule="auto"/>
        <w:ind w:firstLine="240" w:firstLineChars="1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1、货物验收由甲方组织，乙方配合，并按下列程序进行：</w:t>
      </w:r>
    </w:p>
    <w:p w14:paraId="71421845">
      <w:pPr>
        <w:pStyle w:val="12"/>
        <w:adjustRightInd w:val="0"/>
        <w:snapToGrid w:val="0"/>
        <w:spacing w:line="360" w:lineRule="auto"/>
        <w:ind w:firstLine="240" w:firstLineChars="1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（1）交货验收时，乙方须提供设备清单、检测报告（计量认证、3C认证、农业机械推广鉴定证书）、调试记录、原厂合格证、配件、随机工具、用户使用手册（产品使用说明书）、保修卡等资料交付给甲方；</w:t>
      </w:r>
    </w:p>
    <w:p w14:paraId="2710FA5E">
      <w:pPr>
        <w:pStyle w:val="12"/>
        <w:adjustRightInd w:val="0"/>
        <w:snapToGrid w:val="0"/>
        <w:spacing w:line="360" w:lineRule="auto"/>
        <w:ind w:firstLine="240" w:firstLineChars="1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（2）到货验收 ：货物到达后，按合同第一条款的货物清单和装箱单经行逐一核对，同时检查货物外观，是否有划痕或破损的，并做好相应记录；</w:t>
      </w:r>
    </w:p>
    <w:p w14:paraId="06BB6B47">
      <w:pPr>
        <w:pStyle w:val="12"/>
        <w:adjustRightInd w:val="0"/>
        <w:snapToGrid w:val="0"/>
        <w:spacing w:line="360" w:lineRule="auto"/>
        <w:ind w:firstLine="240" w:firstLineChars="1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（3）货物初验：乙方应在货物到货之日起，</w:t>
      </w:r>
      <w:r>
        <w:rPr>
          <w:rFonts w:hint="eastAsia" w:ascii="仿宋" w:hAnsi="仿宋" w:eastAsia="仿宋" w:cs="仿宋"/>
          <w:color w:val="000000" w:themeColor="text1"/>
          <w:u w:val="single"/>
          <w14:textFill>
            <w14:solidFill>
              <w14:schemeClr w14:val="tx1"/>
            </w14:solidFill>
          </w14:textFill>
        </w:rPr>
        <w:t xml:space="preserve">    </w:t>
      </w:r>
      <w:r>
        <w:rPr>
          <w:rFonts w:hint="eastAsia" w:ascii="仿宋" w:hAnsi="仿宋" w:eastAsia="仿宋" w:cs="仿宋"/>
          <w:color w:val="000000" w:themeColor="text1"/>
          <w14:textFill>
            <w14:solidFill>
              <w14:schemeClr w14:val="tx1"/>
            </w14:solidFill>
          </w14:textFill>
        </w:rPr>
        <w:t>日内全部完成安装调试完毕；乙方安装调试完毕后</w:t>
      </w:r>
      <w:r>
        <w:rPr>
          <w:rFonts w:hint="eastAsia" w:ascii="仿宋" w:hAnsi="仿宋" w:eastAsia="仿宋" w:cs="仿宋"/>
          <w:color w:val="000000" w:themeColor="text1"/>
          <w:u w:val="single"/>
          <w14:textFill>
            <w14:solidFill>
              <w14:schemeClr w14:val="tx1"/>
            </w14:solidFill>
          </w14:textFill>
        </w:rPr>
        <w:t xml:space="preserve">      </w:t>
      </w:r>
      <w:r>
        <w:rPr>
          <w:rFonts w:hint="eastAsia" w:ascii="仿宋" w:hAnsi="仿宋" w:eastAsia="仿宋" w:cs="仿宋"/>
          <w:color w:val="000000" w:themeColor="text1"/>
          <w14:textFill>
            <w14:solidFill>
              <w14:schemeClr w14:val="tx1"/>
            </w14:solidFill>
          </w14:textFill>
        </w:rPr>
        <w:t>日内完成初步验收；初步验收合格后，进入试用期，开展为期</w:t>
      </w:r>
      <w:r>
        <w:rPr>
          <w:rFonts w:hint="eastAsia" w:ascii="仿宋" w:hAnsi="仿宋" w:eastAsia="仿宋" w:cs="仿宋"/>
          <w:color w:val="000000" w:themeColor="text1"/>
          <w:u w:val="single"/>
          <w14:textFill>
            <w14:solidFill>
              <w14:schemeClr w14:val="tx1"/>
            </w14:solidFill>
          </w14:textFill>
        </w:rPr>
        <w:t xml:space="preserve"> 15 </w:t>
      </w:r>
      <w:r>
        <w:rPr>
          <w:rFonts w:hint="eastAsia" w:ascii="仿宋" w:hAnsi="仿宋" w:eastAsia="仿宋" w:cs="仿宋"/>
          <w:color w:val="000000" w:themeColor="text1"/>
          <w14:textFill>
            <w14:solidFill>
              <w14:schemeClr w14:val="tx1"/>
            </w14:solidFill>
          </w14:textFill>
        </w:rPr>
        <w:t>天的试运行；试用期间发生重大质量问题，修复后试用期相应顺延；</w:t>
      </w:r>
    </w:p>
    <w:p w14:paraId="21781BF1">
      <w:pPr>
        <w:pStyle w:val="12"/>
        <w:adjustRightInd w:val="0"/>
        <w:snapToGrid w:val="0"/>
        <w:spacing w:line="360" w:lineRule="auto"/>
        <w:ind w:firstLine="240" w:firstLineChars="1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（4）货物终验：试用期结束后</w:t>
      </w:r>
      <w:r>
        <w:rPr>
          <w:rFonts w:hint="eastAsia" w:ascii="仿宋" w:hAnsi="仿宋" w:eastAsia="仿宋" w:cs="仿宋"/>
          <w:color w:val="000000" w:themeColor="text1"/>
          <w:u w:val="single"/>
          <w14:textFill>
            <w14:solidFill>
              <w14:schemeClr w14:val="tx1"/>
            </w14:solidFill>
          </w14:textFill>
        </w:rPr>
        <w:t xml:space="preserve">     </w:t>
      </w:r>
      <w:r>
        <w:rPr>
          <w:rFonts w:hint="eastAsia" w:ascii="仿宋" w:hAnsi="仿宋" w:eastAsia="仿宋" w:cs="仿宋"/>
          <w:color w:val="000000" w:themeColor="text1"/>
          <w14:textFill>
            <w14:solidFill>
              <w14:schemeClr w14:val="tx1"/>
            </w14:solidFill>
          </w14:textFill>
        </w:rPr>
        <w:t>日内完成最终验收；</w:t>
      </w:r>
    </w:p>
    <w:p w14:paraId="66D6CBC8">
      <w:pPr>
        <w:pStyle w:val="12"/>
        <w:adjustRightInd w:val="0"/>
        <w:snapToGrid w:val="0"/>
        <w:spacing w:line="360" w:lineRule="auto"/>
        <w:ind w:firstLine="240" w:firstLineChars="1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（5）货物和相关配套质量验收合格，双方签署质量验收报告。</w:t>
      </w:r>
    </w:p>
    <w:p w14:paraId="78EB5CA7">
      <w:pPr>
        <w:pStyle w:val="12"/>
        <w:adjustRightInd w:val="0"/>
        <w:snapToGrid w:val="0"/>
        <w:spacing w:line="360" w:lineRule="auto"/>
        <w:ind w:firstLine="240" w:firstLineChars="1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2、货物验收依据：</w:t>
      </w:r>
    </w:p>
    <w:p w14:paraId="78BF8D04">
      <w:pPr>
        <w:pStyle w:val="4"/>
        <w:snapToGrid w:val="0"/>
        <w:spacing w:line="360" w:lineRule="auto"/>
        <w:ind w:firstLine="240" w:firstLineChars="1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（1）采购文件；</w:t>
      </w:r>
    </w:p>
    <w:p w14:paraId="45111751">
      <w:pPr>
        <w:pStyle w:val="4"/>
        <w:snapToGrid w:val="0"/>
        <w:spacing w:line="360" w:lineRule="auto"/>
        <w:ind w:firstLine="240" w:firstLineChars="1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（2）投标文件；</w:t>
      </w:r>
    </w:p>
    <w:p w14:paraId="355617F2">
      <w:pPr>
        <w:pStyle w:val="4"/>
        <w:snapToGrid w:val="0"/>
        <w:spacing w:line="360" w:lineRule="auto"/>
        <w:ind w:firstLine="240" w:firstLineChars="1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（3）采购合同及补充协议；</w:t>
      </w:r>
    </w:p>
    <w:p w14:paraId="110EC2D0">
      <w:pPr>
        <w:pStyle w:val="12"/>
        <w:adjustRightInd w:val="0"/>
        <w:snapToGrid w:val="0"/>
        <w:spacing w:line="360" w:lineRule="auto"/>
        <w:ind w:firstLine="240" w:firstLineChars="1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（4）货物（产品）合格的检测报告。</w:t>
      </w:r>
    </w:p>
    <w:p w14:paraId="1E6CCBE3">
      <w:pPr>
        <w:pStyle w:val="12"/>
        <w:adjustRightInd w:val="0"/>
        <w:snapToGrid w:val="0"/>
        <w:spacing w:line="360" w:lineRule="auto"/>
        <w:ind w:firstLine="240" w:firstLineChars="1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3、货物验收时发现问题的处理办法：</w:t>
      </w:r>
    </w:p>
    <w:p w14:paraId="72D4C32F">
      <w:pPr>
        <w:pStyle w:val="12"/>
        <w:adjustRightInd w:val="0"/>
        <w:snapToGrid w:val="0"/>
        <w:spacing w:line="360" w:lineRule="auto"/>
        <w:ind w:firstLine="240" w:firstLineChars="1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（1）乙方提供不符合采购文件和本合同规定的货物（产品），甲方有权拒绝接受；</w:t>
      </w:r>
    </w:p>
    <w:p w14:paraId="5D4529EF">
      <w:pPr>
        <w:pStyle w:val="12"/>
        <w:adjustRightInd w:val="0"/>
        <w:snapToGrid w:val="0"/>
        <w:spacing w:line="360" w:lineRule="auto"/>
        <w:ind w:firstLine="240" w:firstLineChars="1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2）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14:paraId="42DC0EF5">
      <w:pPr>
        <w:pStyle w:val="12"/>
        <w:adjustRightInd w:val="0"/>
        <w:snapToGrid w:val="0"/>
        <w:spacing w:line="360" w:lineRule="auto"/>
        <w:ind w:firstLine="240" w:firstLineChars="1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（3）如货物经乙方</w:t>
      </w:r>
      <w:r>
        <w:rPr>
          <w:rFonts w:hint="eastAsia" w:ascii="仿宋" w:hAnsi="仿宋" w:eastAsia="仿宋" w:cs="仿宋"/>
          <w:color w:val="000000" w:themeColor="text1"/>
          <w:u w:val="single"/>
          <w14:textFill>
            <w14:solidFill>
              <w14:schemeClr w14:val="tx1"/>
            </w14:solidFill>
          </w14:textFill>
        </w:rPr>
        <w:t xml:space="preserve"> 2 </w:t>
      </w:r>
      <w:r>
        <w:rPr>
          <w:rFonts w:hint="eastAsia" w:ascii="仿宋" w:hAnsi="仿宋" w:eastAsia="仿宋" w:cs="仿宋"/>
          <w:color w:val="000000" w:themeColor="text1"/>
          <w14:textFill>
            <w14:solidFill>
              <w14:schemeClr w14:val="tx1"/>
            </w14:solidFill>
          </w14:textFill>
        </w:rPr>
        <w:t>次维修仍不能达到合同约定的质量标准，甲方有权退货，并视作乙方不能交付货物而须支付违约赔偿金给甲方，甲方还可依法追究乙方的违约责任； </w:t>
      </w:r>
    </w:p>
    <w:p w14:paraId="015B88CA">
      <w:pPr>
        <w:pStyle w:val="12"/>
        <w:adjustRightInd w:val="0"/>
        <w:snapToGrid w:val="0"/>
        <w:spacing w:line="360" w:lineRule="auto"/>
        <w:ind w:firstLine="241" w:firstLineChars="1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b/>
          <w:bCs/>
          <w:color w:val="000000" w:themeColor="text1"/>
          <w14:textFill>
            <w14:solidFill>
              <w14:schemeClr w14:val="tx1"/>
            </w14:solidFill>
          </w14:textFill>
        </w:rPr>
        <w:t>（</w:t>
      </w:r>
      <w:r>
        <w:rPr>
          <w:rFonts w:hint="eastAsia" w:ascii="仿宋" w:hAnsi="仿宋" w:eastAsia="仿宋" w:cs="仿宋"/>
          <w:color w:val="000000" w:themeColor="text1"/>
          <w14:textFill>
            <w14:solidFill>
              <w14:schemeClr w14:val="tx1"/>
            </w14:solidFill>
          </w14:textFill>
        </w:rPr>
        <w:t>4）货物安装完成</w:t>
      </w:r>
      <w:r>
        <w:rPr>
          <w:rFonts w:hint="eastAsia" w:ascii="仿宋" w:hAnsi="仿宋" w:eastAsia="仿宋" w:cs="仿宋"/>
          <w:color w:val="000000" w:themeColor="text1"/>
          <w:u w:val="single"/>
          <w14:textFill>
            <w14:solidFill>
              <w14:schemeClr w14:val="tx1"/>
            </w14:solidFill>
          </w14:textFill>
        </w:rPr>
        <w:t xml:space="preserve"> 15 </w:t>
      </w:r>
      <w:r>
        <w:rPr>
          <w:rFonts w:hint="eastAsia" w:ascii="仿宋" w:hAnsi="仿宋" w:eastAsia="仿宋" w:cs="仿宋"/>
          <w:color w:val="000000" w:themeColor="text1"/>
          <w14:textFill>
            <w14:solidFill>
              <w14:schemeClr w14:val="tx1"/>
            </w14:solidFill>
          </w14:textFill>
        </w:rPr>
        <w:t>日后，且具备验收条件，乙方提出验收，而甲方无故不进行验收工作并已使用货物的，视同为已安装调试完成并验收合格。</w:t>
      </w:r>
    </w:p>
    <w:p w14:paraId="1860B78D">
      <w:pPr>
        <w:pStyle w:val="12"/>
        <w:adjustRightInd w:val="0"/>
        <w:snapToGrid w:val="0"/>
        <w:spacing w:line="360" w:lineRule="auto"/>
        <w:ind w:firstLine="240" w:firstLineChars="1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（5）乙方不能完整交付货物及本条第一款规定的单证和工具的，必须负责补齐，否则视为未按合同约定交货；</w:t>
      </w:r>
    </w:p>
    <w:p w14:paraId="4D250BC4">
      <w:pPr>
        <w:pStyle w:val="12"/>
        <w:adjustRightInd w:val="0"/>
        <w:snapToGrid w:val="0"/>
        <w:spacing w:line="360" w:lineRule="auto"/>
        <w:ind w:firstLine="240" w:firstLineChars="1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（6）超出合理磅差的处理方法：</w:t>
      </w:r>
      <w:r>
        <w:rPr>
          <w:rFonts w:hint="eastAsia" w:ascii="仿宋" w:hAnsi="仿宋" w:eastAsia="仿宋" w:cs="仿宋"/>
          <w:color w:val="000000" w:themeColor="text1"/>
          <w:u w:val="single"/>
          <w14:textFill>
            <w14:solidFill>
              <w14:schemeClr w14:val="tx1"/>
            </w14:solidFill>
          </w14:textFill>
        </w:rPr>
        <w:t xml:space="preserve">      </w:t>
      </w:r>
      <w:r>
        <w:rPr>
          <w:rFonts w:hint="eastAsia" w:ascii="仿宋" w:hAnsi="仿宋" w:eastAsia="仿宋" w:cs="仿宋"/>
          <w:color w:val="000000" w:themeColor="text1"/>
          <w14:textFill>
            <w14:solidFill>
              <w14:schemeClr w14:val="tx1"/>
            </w14:solidFill>
          </w14:textFill>
        </w:rPr>
        <w:t xml:space="preserve"> 。</w:t>
      </w:r>
    </w:p>
    <w:p w14:paraId="02532AAB">
      <w:pPr>
        <w:pStyle w:val="12"/>
        <w:adjustRightInd w:val="0"/>
        <w:snapToGrid w:val="0"/>
        <w:spacing w:line="360" w:lineRule="auto"/>
        <w:ind w:firstLine="241" w:firstLineChars="100"/>
        <w:outlineLvl w:val="1"/>
        <w:rPr>
          <w:rFonts w:hint="eastAsia" w:ascii="仿宋" w:hAnsi="仿宋" w:eastAsia="仿宋" w:cs="仿宋"/>
          <w:b/>
          <w:color w:val="000000" w:themeColor="text1"/>
          <w14:textFill>
            <w14:solidFill>
              <w14:schemeClr w14:val="tx1"/>
            </w14:solidFill>
          </w14:textFill>
        </w:rPr>
      </w:pPr>
      <w:bookmarkStart w:id="23" w:name="_Toc32307"/>
      <w:r>
        <w:rPr>
          <w:rFonts w:hint="eastAsia" w:ascii="仿宋" w:hAnsi="仿宋" w:eastAsia="仿宋" w:cs="仿宋"/>
          <w:b/>
          <w:color w:val="000000" w:themeColor="text1"/>
          <w14:textFill>
            <w14:solidFill>
              <w14:schemeClr w14:val="tx1"/>
            </w14:solidFill>
          </w14:textFill>
        </w:rPr>
        <w:t>第十条 售后服务</w:t>
      </w:r>
      <w:bookmarkEnd w:id="23"/>
    </w:p>
    <w:p w14:paraId="25E016B8">
      <w:pPr>
        <w:pStyle w:val="12"/>
        <w:adjustRightInd w:val="0"/>
        <w:snapToGrid w:val="0"/>
        <w:spacing w:line="360" w:lineRule="auto"/>
        <w:ind w:firstLine="240" w:firstLineChars="100"/>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乙方应按照国家有关法律法规和“三包”规定以及采购文件要求和投标文件的“服务承诺”提供服务，并提供</w:t>
      </w:r>
      <w:r>
        <w:rPr>
          <w:rFonts w:hint="eastAsia" w:ascii="仿宋" w:hAnsi="仿宋" w:eastAsia="仿宋" w:cs="仿宋"/>
          <w:color w:val="000000" w:themeColor="text1"/>
          <w:kern w:val="0"/>
          <w:u w:val="single"/>
          <w14:textFill>
            <w14:solidFill>
              <w14:schemeClr w14:val="tx1"/>
            </w14:solidFill>
          </w14:textFill>
        </w:rPr>
        <w:t xml:space="preserve">       </w:t>
      </w:r>
      <w:r>
        <w:rPr>
          <w:rFonts w:hint="eastAsia" w:ascii="仿宋" w:hAnsi="仿宋" w:eastAsia="仿宋" w:cs="仿宋"/>
          <w:color w:val="000000" w:themeColor="text1"/>
          <w:kern w:val="0"/>
          <w14:textFill>
            <w14:solidFill>
              <w14:schemeClr w14:val="tx1"/>
            </w14:solidFill>
          </w14:textFill>
        </w:rPr>
        <w:t>年（按照投标文件承诺执行，不得少于2年）免费售后和维护服务及</w:t>
      </w:r>
      <w:r>
        <w:rPr>
          <w:rFonts w:hint="eastAsia" w:ascii="仿宋" w:hAnsi="仿宋" w:eastAsia="仿宋" w:cs="仿宋"/>
          <w:color w:val="000000" w:themeColor="text1"/>
          <w14:textFill>
            <w14:solidFill>
              <w14:schemeClr w14:val="tx1"/>
            </w14:solidFill>
          </w14:textFill>
        </w:rPr>
        <w:t>软件终身免费升级</w:t>
      </w:r>
      <w:r>
        <w:rPr>
          <w:rFonts w:hint="eastAsia" w:ascii="仿宋" w:hAnsi="仿宋" w:eastAsia="仿宋" w:cs="仿宋"/>
          <w:color w:val="000000" w:themeColor="text1"/>
          <w:kern w:val="0"/>
          <w14:textFill>
            <w14:solidFill>
              <w14:schemeClr w14:val="tx1"/>
            </w14:solidFill>
          </w14:textFill>
        </w:rPr>
        <w:t>。</w:t>
      </w:r>
    </w:p>
    <w:p w14:paraId="227F85E1">
      <w:pPr>
        <w:pStyle w:val="12"/>
        <w:adjustRightInd w:val="0"/>
        <w:snapToGrid w:val="0"/>
        <w:spacing w:line="360" w:lineRule="auto"/>
        <w:ind w:firstLine="241" w:firstLineChars="100"/>
        <w:outlineLvl w:val="1"/>
        <w:rPr>
          <w:rFonts w:hint="eastAsia" w:ascii="仿宋" w:hAnsi="仿宋" w:eastAsia="仿宋" w:cs="仿宋"/>
          <w:color w:val="000000" w:themeColor="text1"/>
          <w14:textFill>
            <w14:solidFill>
              <w14:schemeClr w14:val="tx1"/>
            </w14:solidFill>
          </w14:textFill>
        </w:rPr>
      </w:pPr>
      <w:bookmarkStart w:id="24" w:name="_Toc11515"/>
      <w:r>
        <w:rPr>
          <w:rFonts w:hint="eastAsia" w:ascii="仿宋" w:hAnsi="仿宋" w:eastAsia="仿宋" w:cs="仿宋"/>
          <w:b/>
          <w:color w:val="000000" w:themeColor="text1"/>
          <w14:textFill>
            <w14:solidFill>
              <w14:schemeClr w14:val="tx1"/>
            </w14:solidFill>
          </w14:textFill>
        </w:rPr>
        <w:t>第十一条 违约责任</w:t>
      </w:r>
      <w:bookmarkEnd w:id="24"/>
    </w:p>
    <w:p w14:paraId="240CDB86">
      <w:pPr>
        <w:pStyle w:val="12"/>
        <w:adjustRightInd w:val="0"/>
        <w:snapToGrid w:val="0"/>
        <w:spacing w:line="360" w:lineRule="auto"/>
        <w:ind w:firstLine="240" w:firstLineChars="1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1、甲方违约责任</w:t>
      </w:r>
    </w:p>
    <w:p w14:paraId="3EB2BA8A">
      <w:pPr>
        <w:pStyle w:val="12"/>
        <w:adjustRightInd w:val="0"/>
        <w:snapToGrid w:val="0"/>
        <w:spacing w:line="360" w:lineRule="auto"/>
        <w:ind w:firstLine="240" w:firstLineChars="1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（1）甲方无正当理由拒收货物的，甲方应偿付合同总价</w:t>
      </w:r>
      <w:r>
        <w:rPr>
          <w:rFonts w:hint="eastAsia" w:ascii="仿宋" w:hAnsi="仿宋" w:eastAsia="仿宋" w:cs="仿宋"/>
          <w:color w:val="000000" w:themeColor="text1"/>
          <w:u w:val="single"/>
          <w14:textFill>
            <w14:solidFill>
              <w14:schemeClr w14:val="tx1"/>
            </w14:solidFill>
          </w14:textFill>
        </w:rPr>
        <w:t xml:space="preserve"> 5 </w:t>
      </w:r>
      <w:r>
        <w:rPr>
          <w:rFonts w:hint="eastAsia" w:ascii="仿宋" w:hAnsi="仿宋" w:eastAsia="仿宋" w:cs="仿宋"/>
          <w:color w:val="000000" w:themeColor="text1"/>
          <w14:textFill>
            <w14:solidFill>
              <w14:schemeClr w14:val="tx1"/>
            </w14:solidFill>
          </w14:textFill>
        </w:rPr>
        <w:t>%的违约金；</w:t>
      </w:r>
    </w:p>
    <w:p w14:paraId="5733B7EC">
      <w:pPr>
        <w:pStyle w:val="12"/>
        <w:adjustRightInd w:val="0"/>
        <w:snapToGrid w:val="0"/>
        <w:spacing w:line="360" w:lineRule="auto"/>
        <w:ind w:firstLine="240" w:firstLineChars="1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（2）甲方逾期支付货款的，除应及时付足货款外，应向乙方每天支付欠款总额</w:t>
      </w:r>
      <w:r>
        <w:rPr>
          <w:rFonts w:hint="eastAsia" w:ascii="仿宋" w:hAnsi="仿宋" w:eastAsia="仿宋" w:cs="仿宋"/>
          <w:color w:val="000000" w:themeColor="text1"/>
          <w:u w:val="single"/>
          <w14:textFill>
            <w14:solidFill>
              <w14:schemeClr w14:val="tx1"/>
            </w14:solidFill>
          </w14:textFill>
        </w:rPr>
        <w:t xml:space="preserve"> 0.5  </w:t>
      </w:r>
      <w:r>
        <w:rPr>
          <w:rFonts w:hint="eastAsia" w:ascii="仿宋" w:hAnsi="仿宋" w:eastAsia="仿宋" w:cs="仿宋"/>
          <w:color w:val="000000" w:themeColor="text1"/>
          <w14:textFill>
            <w14:solidFill>
              <w14:schemeClr w14:val="tx1"/>
            </w14:solidFill>
          </w14:textFill>
        </w:rPr>
        <w:t>‰的滞纳金；但累计滞纳金总额不超过欠款总额的</w:t>
      </w:r>
      <w:r>
        <w:rPr>
          <w:rFonts w:hint="eastAsia" w:ascii="仿宋" w:hAnsi="仿宋" w:eastAsia="仿宋" w:cs="仿宋"/>
          <w:color w:val="000000" w:themeColor="text1"/>
          <w:u w:val="single"/>
          <w14:textFill>
            <w14:solidFill>
              <w14:schemeClr w14:val="tx1"/>
            </w14:solidFill>
          </w14:textFill>
        </w:rPr>
        <w:t xml:space="preserve"> 5  </w:t>
      </w:r>
      <w:r>
        <w:rPr>
          <w:rFonts w:hint="eastAsia" w:ascii="仿宋" w:hAnsi="仿宋" w:eastAsia="仿宋" w:cs="仿宋"/>
          <w:color w:val="000000" w:themeColor="text1"/>
          <w14:textFill>
            <w14:solidFill>
              <w14:schemeClr w14:val="tx1"/>
            </w14:solidFill>
          </w14:textFill>
        </w:rPr>
        <w:t>%。</w:t>
      </w:r>
    </w:p>
    <w:p w14:paraId="60DE4F7C">
      <w:pPr>
        <w:pStyle w:val="12"/>
        <w:adjustRightInd w:val="0"/>
        <w:snapToGrid w:val="0"/>
        <w:spacing w:line="360" w:lineRule="auto"/>
        <w:ind w:firstLine="240" w:firstLineChars="1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2、乙方违约责任</w:t>
      </w:r>
    </w:p>
    <w:p w14:paraId="688156D8">
      <w:pPr>
        <w:widowControl/>
        <w:adjustRightInd w:val="0"/>
        <w:snapToGrid w:val="0"/>
        <w:spacing w:line="360" w:lineRule="auto"/>
        <w:ind w:firstLine="240" w:firstLineChars="100"/>
        <w:jc w:val="left"/>
        <w:rPr>
          <w:rFonts w:hint="eastAsia" w:ascii="仿宋" w:hAnsi="仿宋" w:eastAsia="仿宋" w:cs="仿宋"/>
          <w:color w:val="000000" w:themeColor="text1"/>
          <w:kern w:val="0"/>
          <w:sz w:val="24"/>
          <w:szCs w:val="24"/>
          <w:lang w:eastAsia="zh-CN"/>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（1）如乙方不能交付货物，甲方有权扣留全部履约保证金</w:t>
      </w:r>
      <w:r>
        <w:rPr>
          <w:rFonts w:hint="eastAsia" w:ascii="仿宋" w:hAnsi="仿宋" w:eastAsia="仿宋" w:cs="仿宋"/>
          <w:color w:val="000000" w:themeColor="text1"/>
          <w:kern w:val="0"/>
          <w:sz w:val="24"/>
          <w:szCs w:val="24"/>
          <w:lang w:eastAsia="zh-CN"/>
          <w14:textFill>
            <w14:solidFill>
              <w14:schemeClr w14:val="tx1"/>
            </w14:solidFill>
          </w14:textFill>
        </w:rPr>
        <w:t>（</w:t>
      </w:r>
      <w:r>
        <w:rPr>
          <w:rFonts w:hint="eastAsia" w:ascii="仿宋" w:hAnsi="仿宋" w:eastAsia="仿宋" w:cs="仿宋"/>
          <w:color w:val="000000" w:themeColor="text1"/>
          <w:kern w:val="0"/>
          <w:sz w:val="24"/>
          <w:szCs w:val="24"/>
          <w:lang w:val="en-US" w:eastAsia="zh-CN"/>
          <w14:textFill>
            <w14:solidFill>
              <w14:schemeClr w14:val="tx1"/>
            </w14:solidFill>
          </w14:textFill>
        </w:rPr>
        <w:t>若有</w:t>
      </w:r>
      <w:r>
        <w:rPr>
          <w:rFonts w:hint="eastAsia" w:ascii="仿宋" w:hAnsi="仿宋" w:eastAsia="仿宋" w:cs="仿宋"/>
          <w:color w:val="000000" w:themeColor="text1"/>
          <w:kern w:val="0"/>
          <w:sz w:val="24"/>
          <w:szCs w:val="24"/>
          <w:lang w:eastAsia="zh-CN"/>
          <w14:textFill>
            <w14:solidFill>
              <w14:schemeClr w14:val="tx1"/>
            </w14:solidFill>
          </w14:textFill>
        </w:rPr>
        <w:t>）</w:t>
      </w:r>
      <w:r>
        <w:rPr>
          <w:rFonts w:hint="eastAsia" w:ascii="仿宋" w:hAnsi="仿宋" w:eastAsia="仿宋" w:cs="仿宋"/>
          <w:color w:val="000000" w:themeColor="text1"/>
          <w:kern w:val="0"/>
          <w:sz w:val="24"/>
          <w:szCs w:val="24"/>
          <w14:textFill>
            <w14:solidFill>
              <w14:schemeClr w14:val="tx1"/>
            </w14:solidFill>
          </w14:textFill>
        </w:rPr>
        <w:t>；同时乙方应向甲方支付合同总价</w:t>
      </w:r>
      <w:r>
        <w:rPr>
          <w:rFonts w:hint="eastAsia" w:ascii="仿宋" w:hAnsi="仿宋" w:eastAsia="仿宋" w:cs="仿宋"/>
          <w:color w:val="000000" w:themeColor="text1"/>
          <w:sz w:val="24"/>
          <w:szCs w:val="24"/>
          <w:u w:val="single"/>
          <w14:textFill>
            <w14:solidFill>
              <w14:schemeClr w14:val="tx1"/>
            </w14:solidFill>
          </w14:textFill>
        </w:rPr>
        <w:t xml:space="preserve"> 10 </w:t>
      </w:r>
      <w:r>
        <w:rPr>
          <w:rFonts w:hint="eastAsia" w:ascii="仿宋" w:hAnsi="仿宋" w:eastAsia="仿宋" w:cs="仿宋"/>
          <w:color w:val="000000" w:themeColor="text1"/>
          <w:kern w:val="0"/>
          <w:sz w:val="24"/>
          <w:szCs w:val="24"/>
          <w14:textFill>
            <w14:solidFill>
              <w14:schemeClr w14:val="tx1"/>
            </w14:solidFill>
          </w14:textFill>
        </w:rPr>
        <w:t>％的违约金；</w:t>
      </w:r>
    </w:p>
    <w:p w14:paraId="4F8F5747">
      <w:pPr>
        <w:widowControl/>
        <w:adjustRightInd w:val="0"/>
        <w:snapToGrid w:val="0"/>
        <w:spacing w:line="360" w:lineRule="auto"/>
        <w:ind w:firstLine="240" w:firstLineChars="100"/>
        <w:jc w:val="left"/>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（2）乙方逾期交付货物的，每逾期1天，乙方向甲方偿付逾期交货部分货款总额的</w:t>
      </w:r>
      <w:r>
        <w:rPr>
          <w:rFonts w:hint="eastAsia" w:ascii="仿宋" w:hAnsi="仿宋" w:eastAsia="仿宋" w:cs="仿宋"/>
          <w:color w:val="000000" w:themeColor="text1"/>
          <w:kern w:val="0"/>
          <w:sz w:val="24"/>
          <w:szCs w:val="24"/>
          <w:u w:val="single"/>
          <w14:textFill>
            <w14:solidFill>
              <w14:schemeClr w14:val="tx1"/>
            </w14:solidFill>
          </w14:textFill>
        </w:rPr>
        <w:t xml:space="preserve"> 0.5  </w:t>
      </w:r>
      <w:r>
        <w:rPr>
          <w:rFonts w:hint="eastAsia" w:ascii="仿宋" w:hAnsi="仿宋" w:eastAsia="仿宋" w:cs="仿宋"/>
          <w:color w:val="000000" w:themeColor="text1"/>
          <w:kern w:val="0"/>
          <w:sz w:val="24"/>
          <w:szCs w:val="24"/>
          <w14:textFill>
            <w14:solidFill>
              <w14:schemeClr w14:val="tx1"/>
            </w14:solidFill>
          </w14:textFill>
        </w:rPr>
        <w:t>‰的滞纳金。如乙方逾期交货达</w:t>
      </w:r>
      <w:r>
        <w:rPr>
          <w:rFonts w:hint="eastAsia" w:ascii="仿宋" w:hAnsi="仿宋" w:eastAsia="仿宋" w:cs="仿宋"/>
          <w:color w:val="000000" w:themeColor="text1"/>
          <w:sz w:val="24"/>
          <w:szCs w:val="24"/>
          <w:u w:val="single"/>
          <w14:textFill>
            <w14:solidFill>
              <w14:schemeClr w14:val="tx1"/>
            </w14:solidFill>
          </w14:textFill>
        </w:rPr>
        <w:t xml:space="preserve"> 15 </w:t>
      </w:r>
      <w:r>
        <w:rPr>
          <w:rFonts w:hint="eastAsia" w:ascii="仿宋" w:hAnsi="仿宋" w:eastAsia="仿宋" w:cs="仿宋"/>
          <w:color w:val="000000" w:themeColor="text1"/>
          <w:kern w:val="0"/>
          <w:sz w:val="24"/>
          <w:szCs w:val="24"/>
          <w14:textFill>
            <w14:solidFill>
              <w14:schemeClr w14:val="tx1"/>
            </w14:solidFill>
          </w14:textFill>
        </w:rPr>
        <w:t xml:space="preserve">天，甲方有权解除合同，解除合同的通知自到达乙方时生效；但甲方书面同意延迟或因甲方原因导致延迟的，乙方不承担违约责任。 </w:t>
      </w:r>
    </w:p>
    <w:p w14:paraId="454773C8">
      <w:pPr>
        <w:widowControl/>
        <w:adjustRightInd w:val="0"/>
        <w:snapToGrid w:val="0"/>
        <w:spacing w:line="360" w:lineRule="auto"/>
        <w:ind w:firstLine="240" w:firstLineChars="100"/>
        <w:jc w:val="left"/>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（3）乙方所交付的货物品种、型号、规格不符合合同规定的，甲方有权拒收。甲方拒收的，乙方应向甲方支付货款总额</w:t>
      </w:r>
      <w:r>
        <w:rPr>
          <w:rFonts w:hint="eastAsia" w:ascii="仿宋" w:hAnsi="仿宋" w:eastAsia="仿宋" w:cs="仿宋"/>
          <w:color w:val="000000" w:themeColor="text1"/>
          <w:kern w:val="0"/>
          <w:sz w:val="24"/>
          <w:szCs w:val="24"/>
          <w:u w:val="single"/>
          <w14:textFill>
            <w14:solidFill>
              <w14:schemeClr w14:val="tx1"/>
            </w14:solidFill>
          </w14:textFill>
        </w:rPr>
        <w:t xml:space="preserve"> 10 </w:t>
      </w:r>
      <w:r>
        <w:rPr>
          <w:rFonts w:hint="eastAsia" w:ascii="仿宋" w:hAnsi="仿宋" w:eastAsia="仿宋" w:cs="仿宋"/>
          <w:color w:val="000000" w:themeColor="text1"/>
          <w:kern w:val="0"/>
          <w:sz w:val="24"/>
          <w:szCs w:val="24"/>
          <w14:textFill>
            <w14:solidFill>
              <w14:schemeClr w14:val="tx1"/>
            </w14:solidFill>
          </w14:textFill>
        </w:rPr>
        <w:t>%的违约金；</w:t>
      </w:r>
    </w:p>
    <w:p w14:paraId="61CAB436">
      <w:pPr>
        <w:pStyle w:val="12"/>
        <w:adjustRightInd w:val="0"/>
        <w:snapToGrid w:val="0"/>
        <w:spacing w:line="360" w:lineRule="auto"/>
        <w:ind w:firstLine="240" w:firstLineChars="1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（4）乙方货物质量不符合本合同规定标准的，则视为乙方没有按时交货而违约，乙方须在</w:t>
      </w:r>
      <w:r>
        <w:rPr>
          <w:rFonts w:hint="eastAsia" w:ascii="仿宋" w:hAnsi="仿宋" w:eastAsia="仿宋" w:cs="仿宋"/>
          <w:color w:val="000000" w:themeColor="text1"/>
          <w:u w:val="single"/>
          <w14:textFill>
            <w14:solidFill>
              <w14:schemeClr w14:val="tx1"/>
            </w14:solidFill>
          </w14:textFill>
        </w:rPr>
        <w:t xml:space="preserve"> 7 </w:t>
      </w:r>
      <w:r>
        <w:rPr>
          <w:rFonts w:hint="eastAsia" w:ascii="仿宋" w:hAnsi="仿宋" w:eastAsia="仿宋" w:cs="仿宋"/>
          <w:color w:val="000000" w:themeColor="text1"/>
          <w14:textFill>
            <w14:solidFill>
              <w14:schemeClr w14:val="tx1"/>
            </w14:solidFill>
          </w14:textFill>
        </w:rPr>
        <w:t>天内无条件更换合格的货物，如逾期不能更换合格的货物，甲方有权终止本合同，乙方应另向甲方支付货款总额的</w:t>
      </w:r>
      <w:r>
        <w:rPr>
          <w:rFonts w:hint="eastAsia" w:ascii="仿宋" w:hAnsi="仿宋" w:eastAsia="仿宋" w:cs="仿宋"/>
          <w:color w:val="000000" w:themeColor="text1"/>
          <w:u w:val="single"/>
          <w14:textFill>
            <w14:solidFill>
              <w14:schemeClr w14:val="tx1"/>
            </w14:solidFill>
          </w14:textFill>
        </w:rPr>
        <w:t xml:space="preserve"> 10 </w:t>
      </w:r>
      <w:r>
        <w:rPr>
          <w:rFonts w:hint="eastAsia" w:ascii="仿宋" w:hAnsi="仿宋" w:eastAsia="仿宋" w:cs="仿宋"/>
          <w:color w:val="000000" w:themeColor="text1"/>
          <w14:textFill>
            <w14:solidFill>
              <w14:schemeClr w14:val="tx1"/>
            </w14:solidFill>
          </w14:textFill>
        </w:rPr>
        <w:t>%的违约金；</w:t>
      </w:r>
    </w:p>
    <w:p w14:paraId="3B344040">
      <w:pPr>
        <w:pStyle w:val="12"/>
        <w:adjustRightInd w:val="0"/>
        <w:snapToGrid w:val="0"/>
        <w:spacing w:line="360" w:lineRule="auto"/>
        <w:ind w:firstLine="240" w:firstLineChars="100"/>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（5）在乙方承诺的或国家规定的质量保证期内（取两者中最长的期限），如经乙方</w:t>
      </w:r>
      <w:r>
        <w:rPr>
          <w:rFonts w:hint="eastAsia" w:ascii="仿宋" w:hAnsi="仿宋" w:eastAsia="仿宋" w:cs="仿宋"/>
          <w:color w:val="000000" w:themeColor="text1"/>
          <w:kern w:val="0"/>
          <w:u w:val="single"/>
          <w14:textFill>
            <w14:solidFill>
              <w14:schemeClr w14:val="tx1"/>
            </w14:solidFill>
          </w14:textFill>
        </w:rPr>
        <w:t xml:space="preserve">  2  </w:t>
      </w:r>
      <w:r>
        <w:rPr>
          <w:rFonts w:hint="eastAsia" w:ascii="仿宋" w:hAnsi="仿宋" w:eastAsia="仿宋" w:cs="仿宋"/>
          <w:color w:val="000000" w:themeColor="text1"/>
          <w:kern w:val="0"/>
          <w14:textFill>
            <w14:solidFill>
              <w14:schemeClr w14:val="tx1"/>
            </w14:solidFill>
          </w14:textFill>
        </w:rPr>
        <w:t>次维修或更换，货物仍不能达到合同约定的质量标准，甲方有权退货，乙方应退回全部货款，并按第3款处理，同时，乙方还须赔偿甲方因此遭受的损失；</w:t>
      </w:r>
    </w:p>
    <w:p w14:paraId="384B3C3F">
      <w:pPr>
        <w:pStyle w:val="12"/>
        <w:adjustRightInd w:val="0"/>
        <w:snapToGrid w:val="0"/>
        <w:spacing w:line="360" w:lineRule="auto"/>
        <w:ind w:firstLine="240" w:firstLineChars="100"/>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（6）乙方未按本合同第三条的规定向甲方交付履约保证金的，应按应交付履约保证金的</w:t>
      </w:r>
      <w:r>
        <w:rPr>
          <w:rFonts w:hint="eastAsia" w:ascii="仿宋" w:hAnsi="仿宋" w:eastAsia="仿宋" w:cs="仿宋"/>
          <w:color w:val="000000" w:themeColor="text1"/>
          <w:kern w:val="0"/>
          <w:u w:val="single"/>
          <w14:textFill>
            <w14:solidFill>
              <w14:schemeClr w14:val="tx1"/>
            </w14:solidFill>
          </w14:textFill>
        </w:rPr>
        <w:t xml:space="preserve"> </w:t>
      </w:r>
      <w:r>
        <w:rPr>
          <w:rFonts w:hint="eastAsia" w:ascii="仿宋" w:hAnsi="仿宋" w:eastAsia="仿宋" w:cs="仿宋"/>
          <w:color w:val="000000" w:themeColor="text1"/>
          <w:u w:val="single"/>
          <w14:textFill>
            <w14:solidFill>
              <w14:schemeClr w14:val="tx1"/>
            </w14:solidFill>
          </w14:textFill>
        </w:rPr>
        <w:t xml:space="preserve">3 </w:t>
      </w:r>
      <w:r>
        <w:rPr>
          <w:rFonts w:hint="eastAsia" w:ascii="仿宋" w:hAnsi="仿宋" w:eastAsia="仿宋" w:cs="仿宋"/>
          <w:color w:val="000000" w:themeColor="text1"/>
          <w:kern w:val="0"/>
          <w14:textFill>
            <w14:solidFill>
              <w14:schemeClr w14:val="tx1"/>
            </w14:solidFill>
          </w14:textFill>
        </w:rPr>
        <w:t>%向甲方支付违约金，该违约金的支付不影响乙方应承担的其他违约责任；</w:t>
      </w:r>
    </w:p>
    <w:p w14:paraId="27274602">
      <w:pPr>
        <w:pStyle w:val="12"/>
        <w:adjustRightInd w:val="0"/>
        <w:snapToGrid w:val="0"/>
        <w:spacing w:line="360" w:lineRule="auto"/>
        <w:ind w:firstLine="240" w:firstLineChars="100"/>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（7）乙方未按本合同的规定和“服务承诺”提供伴随服务/售后服务的，应按合同总价款的</w:t>
      </w:r>
      <w:r>
        <w:rPr>
          <w:rFonts w:hint="eastAsia" w:ascii="仿宋" w:hAnsi="仿宋" w:eastAsia="仿宋" w:cs="仿宋"/>
          <w:color w:val="000000" w:themeColor="text1"/>
          <w:kern w:val="0"/>
          <w:u w:val="single"/>
          <w14:textFill>
            <w14:solidFill>
              <w14:schemeClr w14:val="tx1"/>
            </w14:solidFill>
          </w14:textFill>
        </w:rPr>
        <w:t xml:space="preserve"> 5 </w:t>
      </w:r>
      <w:r>
        <w:rPr>
          <w:rFonts w:hint="eastAsia" w:ascii="仿宋" w:hAnsi="仿宋" w:eastAsia="仿宋" w:cs="仿宋"/>
          <w:color w:val="000000" w:themeColor="text1"/>
          <w:kern w:val="0"/>
          <w14:textFill>
            <w14:solidFill>
              <w14:schemeClr w14:val="tx1"/>
            </w14:solidFill>
          </w14:textFill>
        </w:rPr>
        <w:t>%向甲方承担违约责任；</w:t>
      </w:r>
    </w:p>
    <w:p w14:paraId="18216443">
      <w:pPr>
        <w:pStyle w:val="12"/>
        <w:adjustRightInd w:val="0"/>
        <w:snapToGrid w:val="0"/>
        <w:spacing w:line="360" w:lineRule="auto"/>
        <w:ind w:firstLine="240" w:firstLineChars="100"/>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（8）乙方在承担上述1-7款一项或多项违约责任后，仍应继续履行合同规定的义务（甲方解除合同的除外）。甲方未能及时追究乙方的任何一项违约责任并不表明甲方放弃追究乙方该项或其他违约责任；</w:t>
      </w:r>
    </w:p>
    <w:p w14:paraId="145001E5">
      <w:pPr>
        <w:pStyle w:val="12"/>
        <w:adjustRightInd w:val="0"/>
        <w:snapToGrid w:val="0"/>
        <w:spacing w:line="360" w:lineRule="auto"/>
        <w:ind w:firstLine="240" w:firstLineChars="1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（9）乙方偿付的违约金不足以弥补甲方损失的，还应按甲方损失尚未弥补的部分，支付赔偿金给甲方。</w:t>
      </w:r>
    </w:p>
    <w:p w14:paraId="4273898E">
      <w:pPr>
        <w:widowControl/>
        <w:adjustRightInd w:val="0"/>
        <w:snapToGrid w:val="0"/>
        <w:spacing w:line="360" w:lineRule="auto"/>
        <w:ind w:firstLine="241" w:firstLineChars="100"/>
        <w:jc w:val="left"/>
        <w:outlineLvl w:val="1"/>
        <w:rPr>
          <w:rFonts w:hint="eastAsia" w:ascii="仿宋" w:hAnsi="仿宋" w:eastAsia="仿宋" w:cs="仿宋"/>
          <w:color w:val="000000" w:themeColor="text1"/>
          <w:kern w:val="0"/>
          <w:sz w:val="24"/>
          <w:szCs w:val="24"/>
          <w14:textFill>
            <w14:solidFill>
              <w14:schemeClr w14:val="tx1"/>
            </w14:solidFill>
          </w14:textFill>
        </w:rPr>
      </w:pPr>
      <w:bookmarkStart w:id="25" w:name="_Toc31609"/>
      <w:r>
        <w:rPr>
          <w:rFonts w:hint="eastAsia" w:ascii="仿宋" w:hAnsi="仿宋" w:eastAsia="仿宋" w:cs="仿宋"/>
          <w:b/>
          <w:color w:val="000000" w:themeColor="text1"/>
          <w:sz w:val="24"/>
          <w:szCs w:val="24"/>
          <w14:textFill>
            <w14:solidFill>
              <w14:schemeClr w14:val="tx1"/>
            </w14:solidFill>
          </w14:textFill>
        </w:rPr>
        <w:t xml:space="preserve">第十二条 </w:t>
      </w:r>
      <w:r>
        <w:rPr>
          <w:rFonts w:hint="eastAsia" w:ascii="仿宋" w:hAnsi="仿宋" w:eastAsia="仿宋" w:cs="仿宋"/>
          <w:b/>
          <w:color w:val="000000" w:themeColor="text1"/>
          <w:kern w:val="0"/>
          <w:sz w:val="24"/>
          <w:szCs w:val="24"/>
          <w14:textFill>
            <w14:solidFill>
              <w14:schemeClr w14:val="tx1"/>
            </w14:solidFill>
          </w14:textFill>
        </w:rPr>
        <w:t>合同的变更和终止</w:t>
      </w:r>
      <w:bookmarkEnd w:id="25"/>
    </w:p>
    <w:p w14:paraId="446B7C55">
      <w:pPr>
        <w:widowControl/>
        <w:adjustRightInd w:val="0"/>
        <w:snapToGrid w:val="0"/>
        <w:spacing w:line="360" w:lineRule="auto"/>
        <w:ind w:firstLine="480" w:firstLineChars="200"/>
        <w:jc w:val="left"/>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除《中华人民共和国政府采购法》第49条、第50条第二款规定的情形外，本合同一经签订，甲乙双方不得擅自变更、中止或终止合同。</w:t>
      </w:r>
    </w:p>
    <w:p w14:paraId="3B50C8F6">
      <w:pPr>
        <w:widowControl/>
        <w:adjustRightInd w:val="0"/>
        <w:snapToGrid w:val="0"/>
        <w:spacing w:line="360" w:lineRule="auto"/>
        <w:ind w:firstLine="241" w:firstLineChars="100"/>
        <w:jc w:val="left"/>
        <w:outlineLvl w:val="1"/>
        <w:rPr>
          <w:rFonts w:hint="eastAsia" w:ascii="仿宋" w:hAnsi="仿宋" w:eastAsia="仿宋" w:cs="仿宋"/>
          <w:b/>
          <w:color w:val="000000" w:themeColor="text1"/>
          <w:kern w:val="0"/>
          <w:sz w:val="24"/>
          <w:szCs w:val="24"/>
          <w14:textFill>
            <w14:solidFill>
              <w14:schemeClr w14:val="tx1"/>
            </w14:solidFill>
          </w14:textFill>
        </w:rPr>
      </w:pPr>
      <w:bookmarkStart w:id="26" w:name="_Toc304"/>
      <w:r>
        <w:rPr>
          <w:rFonts w:hint="eastAsia" w:ascii="仿宋" w:hAnsi="仿宋" w:eastAsia="仿宋" w:cs="仿宋"/>
          <w:b/>
          <w:color w:val="000000" w:themeColor="text1"/>
          <w:kern w:val="0"/>
          <w:sz w:val="24"/>
          <w:szCs w:val="24"/>
          <w14:textFill>
            <w14:solidFill>
              <w14:schemeClr w14:val="tx1"/>
            </w14:solidFill>
          </w14:textFill>
        </w:rPr>
        <w:t>第十三条 争议的解决</w:t>
      </w:r>
      <w:bookmarkEnd w:id="26"/>
    </w:p>
    <w:p w14:paraId="17B5A1AE">
      <w:pPr>
        <w:pStyle w:val="12"/>
        <w:adjustRightInd w:val="0"/>
        <w:snapToGrid w:val="0"/>
        <w:spacing w:line="360" w:lineRule="auto"/>
        <w:ind w:firstLine="240" w:firstLineChars="1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1、因货物的质量问题发生争议，由质量技术监督部门或其指定的质量鉴定机构进行质量鉴定。货物符合标准的，鉴定费由甲方承担；货物不符合质量标准的，鉴定费由乙方承担。</w:t>
      </w:r>
    </w:p>
    <w:p w14:paraId="3FF61926">
      <w:pPr>
        <w:pStyle w:val="12"/>
        <w:adjustRightInd w:val="0"/>
        <w:snapToGrid w:val="0"/>
        <w:spacing w:line="360" w:lineRule="auto"/>
        <w:ind w:firstLine="240" w:firstLineChars="100"/>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2、因履行本合同引起的或与本合同有关的争议，甲、乙双方应首先通过友好协商解决，如果协商不成，则采取以下第</w:t>
      </w:r>
      <w:r>
        <w:rPr>
          <w:rFonts w:hint="eastAsia" w:ascii="仿宋" w:hAnsi="仿宋" w:eastAsia="仿宋" w:cs="仿宋"/>
          <w:color w:val="000000" w:themeColor="text1"/>
          <w:kern w:val="0"/>
          <w:u w:val="single"/>
          <w14:textFill>
            <w14:solidFill>
              <w14:schemeClr w14:val="tx1"/>
            </w14:solidFill>
          </w14:textFill>
        </w:rPr>
        <w:t xml:space="preserve"> 1 </w:t>
      </w:r>
      <w:r>
        <w:rPr>
          <w:rFonts w:hint="eastAsia" w:ascii="仿宋" w:hAnsi="仿宋" w:eastAsia="仿宋" w:cs="仿宋"/>
          <w:color w:val="000000" w:themeColor="text1"/>
          <w:kern w:val="0"/>
          <w14:textFill>
            <w14:solidFill>
              <w14:schemeClr w14:val="tx1"/>
            </w14:solidFill>
          </w14:textFill>
        </w:rPr>
        <w:t>种方式解决争议：</w:t>
      </w:r>
    </w:p>
    <w:p w14:paraId="0A747254">
      <w:pPr>
        <w:pStyle w:val="12"/>
        <w:adjustRightInd w:val="0"/>
        <w:snapToGrid w:val="0"/>
        <w:spacing w:line="360" w:lineRule="auto"/>
        <w:ind w:firstLine="240" w:firstLineChars="100"/>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（1）向甲方所在地有管辖权的人民法院提起诉讼；</w:t>
      </w:r>
    </w:p>
    <w:p w14:paraId="092F48FA">
      <w:pPr>
        <w:pStyle w:val="12"/>
        <w:adjustRightInd w:val="0"/>
        <w:snapToGrid w:val="0"/>
        <w:spacing w:line="360" w:lineRule="auto"/>
        <w:ind w:firstLine="240" w:firstLineChars="100"/>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（2）向</w:t>
      </w:r>
      <w:r>
        <w:rPr>
          <w:rFonts w:hint="eastAsia" w:ascii="仿宋" w:hAnsi="仿宋" w:eastAsia="仿宋" w:cs="仿宋"/>
          <w:color w:val="000000" w:themeColor="text1"/>
          <w:kern w:val="0"/>
          <w:u w:val="single"/>
          <w14:textFill>
            <w14:solidFill>
              <w14:schemeClr w14:val="tx1"/>
            </w14:solidFill>
          </w14:textFill>
        </w:rPr>
        <w:t xml:space="preserve"> 汉中 </w:t>
      </w:r>
      <w:r>
        <w:rPr>
          <w:rFonts w:hint="eastAsia" w:ascii="仿宋" w:hAnsi="仿宋" w:eastAsia="仿宋" w:cs="仿宋"/>
          <w:color w:val="000000" w:themeColor="text1"/>
          <w:kern w:val="0"/>
          <w14:textFill>
            <w14:solidFill>
              <w14:schemeClr w14:val="tx1"/>
            </w14:solidFill>
          </w14:textFill>
        </w:rPr>
        <w:t>仲裁委员会按其仲裁规则申请仲裁。</w:t>
      </w:r>
    </w:p>
    <w:p w14:paraId="48B8FF72">
      <w:pPr>
        <w:pStyle w:val="12"/>
        <w:adjustRightInd w:val="0"/>
        <w:snapToGrid w:val="0"/>
        <w:spacing w:line="360" w:lineRule="auto"/>
        <w:ind w:firstLine="240" w:firstLineChars="100"/>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3、在仲裁期间，本合同应继续履行。</w:t>
      </w:r>
    </w:p>
    <w:p w14:paraId="452EC3F9">
      <w:pPr>
        <w:adjustRightInd w:val="0"/>
        <w:snapToGrid w:val="0"/>
        <w:spacing w:line="360" w:lineRule="auto"/>
        <w:ind w:firstLine="241" w:firstLineChars="100"/>
        <w:textAlignment w:val="baseline"/>
        <w:outlineLvl w:val="1"/>
        <w:rPr>
          <w:rFonts w:hint="eastAsia" w:ascii="仿宋" w:hAnsi="仿宋" w:eastAsia="仿宋" w:cs="仿宋"/>
          <w:b/>
          <w:color w:val="000000" w:themeColor="text1"/>
          <w:sz w:val="24"/>
          <w:szCs w:val="24"/>
          <w14:textFill>
            <w14:solidFill>
              <w14:schemeClr w14:val="tx1"/>
            </w14:solidFill>
          </w14:textFill>
        </w:rPr>
      </w:pPr>
      <w:bookmarkStart w:id="27" w:name="_Toc22373"/>
      <w:r>
        <w:rPr>
          <w:rFonts w:hint="eastAsia" w:ascii="仿宋" w:hAnsi="仿宋" w:eastAsia="仿宋" w:cs="仿宋"/>
          <w:b/>
          <w:color w:val="000000" w:themeColor="text1"/>
          <w:sz w:val="24"/>
          <w:szCs w:val="24"/>
          <w14:textFill>
            <w14:solidFill>
              <w14:schemeClr w14:val="tx1"/>
            </w14:solidFill>
          </w14:textFill>
        </w:rPr>
        <w:t>第十四条合同文件</w:t>
      </w:r>
      <w:bookmarkEnd w:id="27"/>
    </w:p>
    <w:p w14:paraId="39966F1D">
      <w:pPr>
        <w:adjustRightInd w:val="0"/>
        <w:snapToGrid w:val="0"/>
        <w:spacing w:line="360" w:lineRule="auto"/>
        <w:ind w:firstLine="240" w:firstLineChars="100"/>
        <w:textAlignment w:val="baseline"/>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详细技术说明及其他有关合同项目的特定信息由合同附件予以说明，下列文件构成本合同的组成部分，应该认为是一个整体，彼此相互解释，相互补充。组成合同的多个文件的优先支配地位的次序如下：</w:t>
      </w:r>
    </w:p>
    <w:p w14:paraId="75BE7D83">
      <w:pPr>
        <w:adjustRightInd w:val="0"/>
        <w:snapToGrid w:val="0"/>
        <w:spacing w:line="360" w:lineRule="auto"/>
        <w:ind w:firstLine="240" w:firstLineChars="1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1、本合同书</w:t>
      </w:r>
    </w:p>
    <w:p w14:paraId="7EF77457">
      <w:pPr>
        <w:adjustRightInd w:val="0"/>
        <w:snapToGrid w:val="0"/>
        <w:spacing w:line="360" w:lineRule="auto"/>
        <w:ind w:firstLine="240" w:firstLineChars="1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2、中标通知书</w:t>
      </w:r>
      <w:r>
        <w:rPr>
          <w:rFonts w:hint="eastAsia" w:ascii="仿宋" w:hAnsi="仿宋" w:eastAsia="仿宋" w:cs="仿宋"/>
          <w:color w:val="000000" w:themeColor="text1"/>
          <w:sz w:val="24"/>
          <w:szCs w:val="24"/>
          <w14:textFill>
            <w14:solidFill>
              <w14:schemeClr w14:val="tx1"/>
            </w14:solidFill>
          </w14:textFill>
        </w:rPr>
        <w:tab/>
      </w:r>
    </w:p>
    <w:p w14:paraId="0B908932">
      <w:pPr>
        <w:adjustRightInd w:val="0"/>
        <w:snapToGrid w:val="0"/>
        <w:spacing w:line="360" w:lineRule="auto"/>
        <w:ind w:firstLine="240" w:firstLineChars="1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3、招标文件(含澄清文件)</w:t>
      </w:r>
    </w:p>
    <w:p w14:paraId="7781F5CE">
      <w:pPr>
        <w:adjustRightInd w:val="0"/>
        <w:snapToGrid w:val="0"/>
        <w:spacing w:line="360" w:lineRule="auto"/>
        <w:ind w:firstLine="240" w:firstLineChars="1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4、投标文件</w:t>
      </w:r>
    </w:p>
    <w:p w14:paraId="55983B63">
      <w:pPr>
        <w:pStyle w:val="7"/>
        <w:adjustRightInd w:val="0"/>
        <w:snapToGrid w:val="0"/>
        <w:spacing w:line="360" w:lineRule="auto"/>
        <w:ind w:firstLine="240" w:firstLineChars="100"/>
        <w:jc w:val="both"/>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5、附件：安全责任协议（签订时合同时一并签订）</w:t>
      </w:r>
    </w:p>
    <w:p w14:paraId="6502E5E6">
      <w:pPr>
        <w:adjustRightInd w:val="0"/>
        <w:snapToGrid w:val="0"/>
        <w:spacing w:line="360" w:lineRule="auto"/>
        <w:ind w:firstLine="241" w:firstLineChars="100"/>
        <w:outlineLvl w:val="1"/>
        <w:rPr>
          <w:rFonts w:hint="eastAsia" w:ascii="仿宋" w:hAnsi="仿宋" w:eastAsia="仿宋" w:cs="仿宋"/>
          <w:b/>
          <w:color w:val="000000" w:themeColor="text1"/>
          <w:kern w:val="0"/>
          <w:sz w:val="24"/>
          <w:szCs w:val="24"/>
          <w14:textFill>
            <w14:solidFill>
              <w14:schemeClr w14:val="tx1"/>
            </w14:solidFill>
          </w14:textFill>
        </w:rPr>
      </w:pPr>
      <w:bookmarkStart w:id="28" w:name="_Toc11752"/>
      <w:r>
        <w:rPr>
          <w:rFonts w:hint="eastAsia" w:ascii="仿宋" w:hAnsi="仿宋" w:eastAsia="仿宋" w:cs="仿宋"/>
          <w:b/>
          <w:color w:val="000000" w:themeColor="text1"/>
          <w:sz w:val="24"/>
          <w:szCs w:val="24"/>
          <w14:textFill>
            <w14:solidFill>
              <w14:schemeClr w14:val="tx1"/>
            </w14:solidFill>
          </w14:textFill>
        </w:rPr>
        <w:t xml:space="preserve">第十五条 </w:t>
      </w:r>
      <w:r>
        <w:rPr>
          <w:rFonts w:hint="eastAsia" w:ascii="仿宋" w:hAnsi="仿宋" w:eastAsia="仿宋" w:cs="仿宋"/>
          <w:b/>
          <w:color w:val="000000" w:themeColor="text1"/>
          <w:kern w:val="0"/>
          <w:sz w:val="24"/>
          <w:szCs w:val="24"/>
          <w14:textFill>
            <w14:solidFill>
              <w14:schemeClr w14:val="tx1"/>
            </w14:solidFill>
          </w14:textFill>
        </w:rPr>
        <w:t>合同生效及其他</w:t>
      </w:r>
      <w:bookmarkEnd w:id="28"/>
    </w:p>
    <w:p w14:paraId="6C54775F">
      <w:pPr>
        <w:adjustRightInd w:val="0"/>
        <w:snapToGrid w:val="0"/>
        <w:spacing w:line="360" w:lineRule="auto"/>
        <w:ind w:firstLine="240" w:firstLineChars="1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1、</w:t>
      </w:r>
      <w:r>
        <w:rPr>
          <w:rFonts w:hint="eastAsia" w:ascii="仿宋" w:hAnsi="仿宋" w:eastAsia="仿宋" w:cs="仿宋"/>
          <w:color w:val="000000" w:themeColor="text1"/>
          <w:sz w:val="24"/>
          <w:szCs w:val="24"/>
          <w14:textFill>
            <w14:solidFill>
              <w14:schemeClr w14:val="tx1"/>
            </w14:solidFill>
          </w14:textFill>
        </w:rPr>
        <w:t>如有未尽事宜，由双方依法订立补充合同。</w:t>
      </w:r>
    </w:p>
    <w:p w14:paraId="42C69A4B">
      <w:pPr>
        <w:adjustRightInd w:val="0"/>
        <w:snapToGrid w:val="0"/>
        <w:spacing w:line="360" w:lineRule="auto"/>
        <w:ind w:firstLine="240" w:firstLineChars="10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2、本合同自签订之日起生效。</w:t>
      </w:r>
    </w:p>
    <w:p w14:paraId="0F67C77D">
      <w:pPr>
        <w:adjustRightInd w:val="0"/>
        <w:snapToGrid w:val="0"/>
        <w:spacing w:line="360" w:lineRule="auto"/>
        <w:ind w:firstLine="240" w:firstLineChars="1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3、本合同一式___份，具有同等法律效力，甲乙双方各执____份。</w:t>
      </w:r>
    </w:p>
    <w:p w14:paraId="66300731">
      <w:pPr>
        <w:adjustRightInd w:val="0"/>
        <w:snapToGrid w:val="0"/>
        <w:spacing w:line="360" w:lineRule="auto"/>
        <w:ind w:firstLine="240" w:firstLineChars="100"/>
        <w:rPr>
          <w:rFonts w:hint="eastAsia" w:ascii="仿宋" w:hAnsi="仿宋" w:eastAsia="仿宋" w:cs="仿宋"/>
          <w:color w:val="000000" w:themeColor="text1"/>
          <w:sz w:val="24"/>
          <w:szCs w:val="24"/>
          <w14:textFill>
            <w14:solidFill>
              <w14:schemeClr w14:val="tx1"/>
            </w14:solidFill>
          </w14:textFill>
        </w:rPr>
      </w:pPr>
    </w:p>
    <w:p w14:paraId="5D14074B">
      <w:pPr>
        <w:adjustRightInd w:val="0"/>
        <w:snapToGrid w:val="0"/>
        <w:spacing w:line="360" w:lineRule="auto"/>
        <w:ind w:firstLine="240" w:firstLineChars="100"/>
        <w:rPr>
          <w:rFonts w:hint="eastAsia" w:ascii="仿宋" w:hAnsi="仿宋" w:eastAsia="仿宋" w:cs="仿宋"/>
          <w:color w:val="000000" w:themeColor="text1"/>
          <w:sz w:val="24"/>
          <w:szCs w:val="24"/>
          <w14:textFill>
            <w14:solidFill>
              <w14:schemeClr w14:val="tx1"/>
            </w14:solidFill>
          </w14:textFill>
        </w:rPr>
      </w:pPr>
    </w:p>
    <w:p w14:paraId="7F08B1E3">
      <w:pPr>
        <w:adjustRightInd w:val="0"/>
        <w:snapToGrid w:val="0"/>
        <w:spacing w:line="360" w:lineRule="auto"/>
        <w:ind w:firstLine="240" w:firstLineChars="1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 xml:space="preserve">甲方：   （盖章）   </w:t>
      </w:r>
      <w:r>
        <w:rPr>
          <w:rFonts w:hint="eastAsia" w:ascii="仿宋" w:hAnsi="仿宋" w:eastAsia="仿宋" w:cs="仿宋"/>
          <w:color w:val="000000" w:themeColor="text1"/>
          <w:sz w:val="24"/>
          <w:szCs w:val="24"/>
          <w14:textFill>
            <w14:solidFill>
              <w14:schemeClr w14:val="tx1"/>
            </w14:solidFill>
          </w14:textFill>
        </w:rPr>
        <w:tab/>
      </w:r>
      <w:r>
        <w:rPr>
          <w:rFonts w:hint="eastAsia" w:ascii="仿宋" w:hAnsi="仿宋" w:eastAsia="仿宋" w:cs="仿宋"/>
          <w:color w:val="000000" w:themeColor="text1"/>
          <w:sz w:val="24"/>
          <w:szCs w:val="24"/>
          <w14:textFill>
            <w14:solidFill>
              <w14:schemeClr w14:val="tx1"/>
            </w14:solidFill>
          </w14:textFill>
        </w:rPr>
        <w:tab/>
      </w:r>
      <w:r>
        <w:rPr>
          <w:rFonts w:hint="eastAsia" w:ascii="仿宋" w:hAnsi="仿宋" w:eastAsia="仿宋" w:cs="仿宋"/>
          <w:color w:val="000000" w:themeColor="text1"/>
          <w:sz w:val="24"/>
          <w:szCs w:val="24"/>
          <w14:textFill>
            <w14:solidFill>
              <w14:schemeClr w14:val="tx1"/>
            </w14:solidFill>
          </w14:textFill>
        </w:rPr>
        <w:tab/>
      </w:r>
      <w:r>
        <w:rPr>
          <w:rFonts w:hint="eastAsia" w:ascii="仿宋" w:hAnsi="仿宋" w:eastAsia="仿宋" w:cs="仿宋"/>
          <w:color w:val="000000" w:themeColor="text1"/>
          <w:sz w:val="24"/>
          <w:szCs w:val="24"/>
          <w14:textFill>
            <w14:solidFill>
              <w14:schemeClr w14:val="tx1"/>
            </w14:solidFill>
          </w14:textFill>
        </w:rPr>
        <w:t xml:space="preserve">           乙方：   （盖章）</w:t>
      </w:r>
    </w:p>
    <w:p w14:paraId="35B000D7">
      <w:pPr>
        <w:adjustRightInd w:val="0"/>
        <w:snapToGrid w:val="0"/>
        <w:spacing w:line="360" w:lineRule="auto"/>
        <w:ind w:firstLine="240" w:firstLineChars="1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法定代表人/授权代表：                    法定代表人/授权代表：</w:t>
      </w:r>
    </w:p>
    <w:p w14:paraId="57B14714">
      <w:pPr>
        <w:adjustRightInd w:val="0"/>
        <w:snapToGrid w:val="0"/>
        <w:spacing w:line="360" w:lineRule="auto"/>
        <w:ind w:firstLine="240" w:firstLineChars="1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地    址：                               地    址：</w:t>
      </w:r>
    </w:p>
    <w:p w14:paraId="165A26F1">
      <w:pPr>
        <w:adjustRightInd w:val="0"/>
        <w:snapToGrid w:val="0"/>
        <w:spacing w:line="360" w:lineRule="auto"/>
        <w:ind w:firstLine="240" w:firstLineChars="1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开户银行：                               开户银行：</w:t>
      </w:r>
    </w:p>
    <w:p w14:paraId="34653421">
      <w:pPr>
        <w:adjustRightInd w:val="0"/>
        <w:snapToGrid w:val="0"/>
        <w:spacing w:line="360" w:lineRule="auto"/>
        <w:ind w:firstLine="240" w:firstLineChars="1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账    号：                               账    号：</w:t>
      </w:r>
    </w:p>
    <w:p w14:paraId="1ADA1E57">
      <w:pPr>
        <w:adjustRightInd w:val="0"/>
        <w:snapToGrid w:val="0"/>
        <w:spacing w:line="360" w:lineRule="auto"/>
        <w:ind w:firstLine="240" w:firstLineChars="1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电    话：                               电    话：</w:t>
      </w:r>
    </w:p>
    <w:p w14:paraId="5F8BAF83">
      <w:pPr>
        <w:adjustRightInd w:val="0"/>
        <w:snapToGrid w:val="0"/>
        <w:spacing w:line="360" w:lineRule="auto"/>
        <w:ind w:firstLine="240" w:firstLineChars="1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传    真：                               传    真：</w:t>
      </w:r>
    </w:p>
    <w:p w14:paraId="73334577">
      <w:pPr>
        <w:adjustRightInd w:val="0"/>
        <w:snapToGrid w:val="0"/>
        <w:spacing w:line="360" w:lineRule="auto"/>
        <w:ind w:firstLine="240" w:firstLineChars="1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 xml:space="preserve"> </w:t>
      </w:r>
    </w:p>
    <w:p w14:paraId="2169D7E6">
      <w:pPr>
        <w:adjustRightInd w:val="0"/>
        <w:snapToGrid w:val="0"/>
        <w:spacing w:line="360" w:lineRule="auto"/>
        <w:ind w:firstLine="240" w:firstLineChars="100"/>
        <w:rPr>
          <w:rFonts w:hint="eastAsia" w:ascii="仿宋" w:hAnsi="仿宋" w:eastAsia="仿宋" w:cs="仿宋"/>
          <w:color w:val="000000" w:themeColor="text1"/>
          <w:sz w:val="24"/>
          <w:szCs w:val="24"/>
          <w14:textFill>
            <w14:solidFill>
              <w14:schemeClr w14:val="tx1"/>
            </w14:solidFill>
          </w14:textFill>
        </w:rPr>
      </w:pPr>
    </w:p>
    <w:p w14:paraId="41EAA3DE">
      <w:pPr>
        <w:adjustRightInd w:val="0"/>
        <w:snapToGrid w:val="0"/>
        <w:spacing w:line="360" w:lineRule="auto"/>
        <w:ind w:firstLine="240" w:firstLineChars="100"/>
        <w:rPr>
          <w:rFonts w:hint="eastAsia" w:ascii="仿宋" w:hAnsi="仿宋" w:eastAsia="仿宋" w:cs="仿宋"/>
          <w:color w:val="000000" w:themeColor="text1"/>
          <w:sz w:val="24"/>
          <w:szCs w:val="24"/>
          <w14:textFill>
            <w14:solidFill>
              <w14:schemeClr w14:val="tx1"/>
            </w14:solidFill>
          </w14:textFill>
        </w:rPr>
      </w:pPr>
    </w:p>
    <w:p w14:paraId="0273E0C4">
      <w:pPr>
        <w:adjustRightInd w:val="0"/>
        <w:snapToGrid w:val="0"/>
        <w:spacing w:line="360" w:lineRule="auto"/>
        <w:ind w:firstLine="240" w:firstLineChars="1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签约日期：    年  月  日</w:t>
      </w:r>
    </w:p>
    <w:p w14:paraId="5AA1E3AF">
      <w:pPr>
        <w:rPr>
          <w:sz w:val="24"/>
          <w:szCs w:val="24"/>
        </w:rPr>
      </w:pPr>
    </w:p>
    <w:sectPr>
      <w:pgSz w:w="11906" w:h="16838"/>
      <w:pgMar w:top="1440" w:right="1706" w:bottom="1440" w:left="138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54274D"/>
    <w:rsid w:val="001C4DFB"/>
    <w:rsid w:val="002E1F6F"/>
    <w:rsid w:val="003104C1"/>
    <w:rsid w:val="00572D80"/>
    <w:rsid w:val="007435D5"/>
    <w:rsid w:val="00B20DF2"/>
    <w:rsid w:val="00B92181"/>
    <w:rsid w:val="00D26141"/>
    <w:rsid w:val="00DF79F8"/>
    <w:rsid w:val="012E311C"/>
    <w:rsid w:val="02163E2C"/>
    <w:rsid w:val="02B96468"/>
    <w:rsid w:val="03F51722"/>
    <w:rsid w:val="04AB1DE0"/>
    <w:rsid w:val="04CE1F73"/>
    <w:rsid w:val="05025778"/>
    <w:rsid w:val="060379FA"/>
    <w:rsid w:val="060C2D53"/>
    <w:rsid w:val="076646E5"/>
    <w:rsid w:val="07EF46DA"/>
    <w:rsid w:val="087D3A94"/>
    <w:rsid w:val="08C77405"/>
    <w:rsid w:val="0A311903"/>
    <w:rsid w:val="0BD65C62"/>
    <w:rsid w:val="0C201306"/>
    <w:rsid w:val="0CDD71F7"/>
    <w:rsid w:val="0ED463D8"/>
    <w:rsid w:val="10A342B4"/>
    <w:rsid w:val="11D84431"/>
    <w:rsid w:val="12687563"/>
    <w:rsid w:val="13516249"/>
    <w:rsid w:val="141A39DB"/>
    <w:rsid w:val="146D70B2"/>
    <w:rsid w:val="15B036FB"/>
    <w:rsid w:val="15BB209F"/>
    <w:rsid w:val="15FF3D3A"/>
    <w:rsid w:val="161812A0"/>
    <w:rsid w:val="19704789"/>
    <w:rsid w:val="1A383CBF"/>
    <w:rsid w:val="1BE0460E"/>
    <w:rsid w:val="1C093B64"/>
    <w:rsid w:val="1C311B1C"/>
    <w:rsid w:val="1C766D20"/>
    <w:rsid w:val="1D2624F4"/>
    <w:rsid w:val="1D291FE4"/>
    <w:rsid w:val="1D880AB9"/>
    <w:rsid w:val="1E2A6014"/>
    <w:rsid w:val="1E8E65A3"/>
    <w:rsid w:val="20943C19"/>
    <w:rsid w:val="21521B0A"/>
    <w:rsid w:val="217A696B"/>
    <w:rsid w:val="21997739"/>
    <w:rsid w:val="226C6BFB"/>
    <w:rsid w:val="22743D02"/>
    <w:rsid w:val="2318468D"/>
    <w:rsid w:val="246758CC"/>
    <w:rsid w:val="246F3E35"/>
    <w:rsid w:val="247955FF"/>
    <w:rsid w:val="259326F1"/>
    <w:rsid w:val="26127ABA"/>
    <w:rsid w:val="265869B2"/>
    <w:rsid w:val="271B0BF0"/>
    <w:rsid w:val="284D302B"/>
    <w:rsid w:val="290F6532"/>
    <w:rsid w:val="29D46E34"/>
    <w:rsid w:val="2A41096D"/>
    <w:rsid w:val="2A81520E"/>
    <w:rsid w:val="2A8D3BB3"/>
    <w:rsid w:val="2AF92831"/>
    <w:rsid w:val="2B5D6268"/>
    <w:rsid w:val="2BA70CA4"/>
    <w:rsid w:val="2BD001FB"/>
    <w:rsid w:val="2C736DD8"/>
    <w:rsid w:val="2CDA6E57"/>
    <w:rsid w:val="2D4D587B"/>
    <w:rsid w:val="2D746964"/>
    <w:rsid w:val="2DB5731E"/>
    <w:rsid w:val="2DEC0BF0"/>
    <w:rsid w:val="2EA72D69"/>
    <w:rsid w:val="2FCA31B3"/>
    <w:rsid w:val="2FD162F0"/>
    <w:rsid w:val="30E402A4"/>
    <w:rsid w:val="31203028"/>
    <w:rsid w:val="315E1E05"/>
    <w:rsid w:val="317F1D7B"/>
    <w:rsid w:val="31EF6F01"/>
    <w:rsid w:val="32990C1B"/>
    <w:rsid w:val="33466FF4"/>
    <w:rsid w:val="346C65E7"/>
    <w:rsid w:val="34EB7E53"/>
    <w:rsid w:val="36891AAE"/>
    <w:rsid w:val="37375F10"/>
    <w:rsid w:val="373D070E"/>
    <w:rsid w:val="38575800"/>
    <w:rsid w:val="39096AFA"/>
    <w:rsid w:val="395C1320"/>
    <w:rsid w:val="39F94DC1"/>
    <w:rsid w:val="3B8E778B"/>
    <w:rsid w:val="3D87623F"/>
    <w:rsid w:val="3D960B78"/>
    <w:rsid w:val="40175FA1"/>
    <w:rsid w:val="40442B0E"/>
    <w:rsid w:val="40803861"/>
    <w:rsid w:val="40AB493B"/>
    <w:rsid w:val="411C75E7"/>
    <w:rsid w:val="4154274D"/>
    <w:rsid w:val="41650F8E"/>
    <w:rsid w:val="41A35612"/>
    <w:rsid w:val="4255690C"/>
    <w:rsid w:val="43EB1006"/>
    <w:rsid w:val="44004F9E"/>
    <w:rsid w:val="448E07FB"/>
    <w:rsid w:val="449F47B6"/>
    <w:rsid w:val="44C91833"/>
    <w:rsid w:val="450B59A8"/>
    <w:rsid w:val="45592BB7"/>
    <w:rsid w:val="47344472"/>
    <w:rsid w:val="47C3256A"/>
    <w:rsid w:val="4B38326F"/>
    <w:rsid w:val="4C251A45"/>
    <w:rsid w:val="4CF5766A"/>
    <w:rsid w:val="4CF82CB6"/>
    <w:rsid w:val="4D3F6B37"/>
    <w:rsid w:val="4DA846DC"/>
    <w:rsid w:val="4E2B70BB"/>
    <w:rsid w:val="4EC15329"/>
    <w:rsid w:val="4ED54860"/>
    <w:rsid w:val="4FD33566"/>
    <w:rsid w:val="4FDF68CD"/>
    <w:rsid w:val="503404A9"/>
    <w:rsid w:val="50E7376D"/>
    <w:rsid w:val="50EC2B32"/>
    <w:rsid w:val="510065DD"/>
    <w:rsid w:val="512C5624"/>
    <w:rsid w:val="5164091A"/>
    <w:rsid w:val="517A638F"/>
    <w:rsid w:val="53986FA1"/>
    <w:rsid w:val="54420CBA"/>
    <w:rsid w:val="54662BFB"/>
    <w:rsid w:val="5563538C"/>
    <w:rsid w:val="561304D0"/>
    <w:rsid w:val="56AB6FEB"/>
    <w:rsid w:val="57160908"/>
    <w:rsid w:val="5900361E"/>
    <w:rsid w:val="59303F5C"/>
    <w:rsid w:val="5A0C5FF2"/>
    <w:rsid w:val="5B48305A"/>
    <w:rsid w:val="5B6A2FD1"/>
    <w:rsid w:val="5C3E620B"/>
    <w:rsid w:val="5C5F68AD"/>
    <w:rsid w:val="5C9B365E"/>
    <w:rsid w:val="5CA6628A"/>
    <w:rsid w:val="5D1A27D4"/>
    <w:rsid w:val="5DD92690"/>
    <w:rsid w:val="5E023A27"/>
    <w:rsid w:val="5EAC1B52"/>
    <w:rsid w:val="5F3C2BC4"/>
    <w:rsid w:val="5FC24448"/>
    <w:rsid w:val="5FFE1F39"/>
    <w:rsid w:val="629D3C8C"/>
    <w:rsid w:val="630755A9"/>
    <w:rsid w:val="631B72A6"/>
    <w:rsid w:val="656B62C3"/>
    <w:rsid w:val="66430FEE"/>
    <w:rsid w:val="66FE3167"/>
    <w:rsid w:val="673152EA"/>
    <w:rsid w:val="67B57CC9"/>
    <w:rsid w:val="67DF4D46"/>
    <w:rsid w:val="68406D43"/>
    <w:rsid w:val="687547A2"/>
    <w:rsid w:val="688431F8"/>
    <w:rsid w:val="69117181"/>
    <w:rsid w:val="69CA7330"/>
    <w:rsid w:val="6A3273AF"/>
    <w:rsid w:val="6A883473"/>
    <w:rsid w:val="6AF40B09"/>
    <w:rsid w:val="6B1765A5"/>
    <w:rsid w:val="6BF608B1"/>
    <w:rsid w:val="6C5C4BB7"/>
    <w:rsid w:val="6CAA73DF"/>
    <w:rsid w:val="6CD72490"/>
    <w:rsid w:val="6CE150BD"/>
    <w:rsid w:val="6EBE56B6"/>
    <w:rsid w:val="701D01BA"/>
    <w:rsid w:val="70974410"/>
    <w:rsid w:val="70E76397"/>
    <w:rsid w:val="72750781"/>
    <w:rsid w:val="72F21DD2"/>
    <w:rsid w:val="73440153"/>
    <w:rsid w:val="73DB0AB8"/>
    <w:rsid w:val="74000F3C"/>
    <w:rsid w:val="74EC0AA3"/>
    <w:rsid w:val="773A5AF5"/>
    <w:rsid w:val="799A6D1F"/>
    <w:rsid w:val="7B6B0973"/>
    <w:rsid w:val="7BF51C2A"/>
    <w:rsid w:val="7C8141C6"/>
    <w:rsid w:val="7DA0242A"/>
    <w:rsid w:val="7DA43A6B"/>
    <w:rsid w:val="7EF40C80"/>
    <w:rsid w:val="7EFE1AFE"/>
    <w:rsid w:val="7F0341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jc w:val="center"/>
      <w:outlineLvl w:val="0"/>
    </w:pPr>
    <w:rPr>
      <w:rFonts w:ascii="宋体" w:hAnsi="宋体"/>
      <w:sz w:val="36"/>
    </w:rPr>
  </w:style>
  <w:style w:type="paragraph" w:styleId="3">
    <w:name w:val="heading 2"/>
    <w:basedOn w:val="1"/>
    <w:next w:val="1"/>
    <w:qFormat/>
    <w:uiPriority w:val="0"/>
    <w:pPr>
      <w:spacing w:line="360" w:lineRule="auto"/>
      <w:jc w:val="center"/>
      <w:outlineLvl w:val="1"/>
    </w:pPr>
    <w:rPr>
      <w:rFonts w:ascii="Arial" w:hAnsi="Arial" w:eastAsia="黑体"/>
      <w:b/>
      <w:bCs/>
      <w:kern w:val="0"/>
      <w:sz w:val="32"/>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Normal Indent"/>
    <w:basedOn w:val="1"/>
    <w:next w:val="5"/>
    <w:qFormat/>
    <w:uiPriority w:val="0"/>
    <w:pPr>
      <w:adjustRightInd w:val="0"/>
      <w:spacing w:line="312" w:lineRule="atLeast"/>
      <w:ind w:firstLine="420"/>
      <w:textAlignment w:val="baseline"/>
    </w:pPr>
    <w:rPr>
      <w:rFonts w:ascii="宋体"/>
      <w:kern w:val="0"/>
    </w:rPr>
  </w:style>
  <w:style w:type="paragraph" w:styleId="5">
    <w:name w:val="Body Text First Indent 2"/>
    <w:basedOn w:val="6"/>
    <w:next w:val="1"/>
    <w:qFormat/>
    <w:uiPriority w:val="0"/>
    <w:pPr>
      <w:ind w:firstLine="420" w:firstLineChars="200"/>
    </w:pPr>
    <w:rPr>
      <w:sz w:val="21"/>
    </w:rPr>
  </w:style>
  <w:style w:type="paragraph" w:styleId="6">
    <w:name w:val="Body Text Indent"/>
    <w:basedOn w:val="1"/>
    <w:next w:val="1"/>
    <w:qFormat/>
    <w:uiPriority w:val="0"/>
    <w:pPr>
      <w:spacing w:after="120"/>
      <w:ind w:left="420" w:leftChars="200"/>
    </w:pPr>
    <w:rPr>
      <w:b/>
      <w:color w:val="000000"/>
      <w:kern w:val="0"/>
      <w:sz w:val="24"/>
      <w:szCs w:val="24"/>
    </w:rPr>
  </w:style>
  <w:style w:type="paragraph" w:styleId="7">
    <w:name w:val="Body Text"/>
    <w:basedOn w:val="1"/>
    <w:next w:val="1"/>
    <w:qFormat/>
    <w:uiPriority w:val="0"/>
    <w:pPr>
      <w:jc w:val="center"/>
    </w:pPr>
  </w:style>
  <w:style w:type="paragraph" w:styleId="8">
    <w:name w:val="footer"/>
    <w:basedOn w:val="1"/>
    <w:next w:val="7"/>
    <w:qFormat/>
    <w:uiPriority w:val="0"/>
    <w:pPr>
      <w:tabs>
        <w:tab w:val="center" w:pos="4153"/>
        <w:tab w:val="right" w:pos="8306"/>
      </w:tabs>
      <w:snapToGrid w:val="0"/>
      <w:jc w:val="left"/>
    </w:pPr>
    <w:rPr>
      <w:kern w:val="0"/>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12">
    <w:name w:val="样式 首行缩进:  2 字符"/>
    <w:qFormat/>
    <w:uiPriority w:val="99"/>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4040</Words>
  <Characters>4074</Characters>
  <Lines>201</Lines>
  <Paragraphs>200</Paragraphs>
  <TotalTime>0</TotalTime>
  <ScaleCrop>false</ScaleCrop>
  <LinksUpToDate>false</LinksUpToDate>
  <CharactersWithSpaces>4614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2026-01-15T06:49:00Z</dcterms:created>
  <dc:creator>pc-0001</dc:creator>
  <cp:lastModifiedBy>微笑</cp:lastModifiedBy>
  <dcterms:modified xsi:type="dcterms:W3CDTF">2026-08-20T13:13:32Z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F56930ACD8EC411B949CF2C265693796_11</vt:lpwstr>
  </property>
  <property fmtid="{D5CDD505-2E9C-101B-9397-08002B2CF9AE}" pid="4" name="KSOTemplateDocerSaveRecord">
    <vt:lpwstr>eyJoZGlkIjoiYTc5NTVlZWY0ZTBmZGIxMDBkZGNlMzkwYzU5MTNlOGMiLCJ1c2VySWQiOiI5OTMzMzU0MzgifQ==</vt:lpwstr>
  </property>
</Properties>
</file>