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版本号：MZ2026-CS102420260624002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西安文理学院OA办公自动化软件系统升级改造采购项目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MZ2026-CS1024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西安文理学院OA办公自动化软件系统升级改造采购项目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西安文理学院OA办公自动化软件系统升级改造采购项目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此次建设的西安文理学院OA系统升级改造采购项目，以原有的办公自动化系统为基础，建立学院统一的协同办公平台，强化管控职能，规范办公业务流程，实现高效的业务协同，有效地推进工作监督和落实，上下联动、整体协同，从而提升全学院整体管理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采购包1（西安文理学院OA办公自动化软件系统升级改造采购项目）：属于专门面向中小企业采购。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 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3、非联合体声明：提交非联合体形式参加本项目的声明函。</w:t>
      </w:r>
    </w:p>
    <w:p>
      <w:pPr>
        <w:pStyle w:val="null3"/>
      </w:pPr>
      <w:r>
        <w:rPr>
          <w:rFonts w:ascii="仿宋_GB2312" w:hAnsi="仿宋_GB2312" w:cs="仿宋_GB2312" w:eastAsia="仿宋_GB2312"/>
        </w:rPr>
        <w:t>4、非关联证明：单位负责人为同一人或者存在控股、管理关系的不同单位，不可同时参加本项目投标。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 王雪娟 韩微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地址：陕西省西安市雁塔区二环南路西段88号老三届世纪星大厦30层AB座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次建设的西安文理学院OA系统升级改造采购项目，以原有的办公自动化系统为基础，建立学院统一的协同办公平台，强化管控职能，规范办公业务流程，实现高效的业务协同，有效地推进工作监督和落实，上下联动、整体协同，从而提升全学院整体管理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西安文理学院OA办公自动化软件系统升级改造采购项目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标的名称：西安文理学院OA办公自动化软件系统升级改造采购项目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一、功能参数要求</w:t>
                  </w:r>
                </w:p>
                <w:p>
                  <w:pPr>
                    <w:pStyle w:val="null3"/>
                    <w:spacing w:after="120"/>
                    <w:jc w:val="both"/>
                  </w:pPr>
                  <w:r>
                    <w:rPr>
                      <w:rFonts w:ascii="仿宋_GB2312" w:hAnsi="仿宋_GB2312" w:cs="仿宋_GB2312" w:eastAsia="仿宋_GB2312"/>
                      <w:sz w:val="21"/>
                    </w:rPr>
                    <w:t>本次采购升级的OA系统应具有以下功能模块：</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低代码能力：实现学院办公系统的平台化及可拓展化，包含门户引擎、流程引擎、集成引擎、应用建模、组织引擎、移动引擎等，实现系统内部的统一功能监控、统一性能监控、统一日志管理、智能升级管理。</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公文管理模块：</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.1总体功能</w:t>
                  </w:r>
                </w:p>
                <w:p>
                  <w:pPr>
                    <w:pStyle w:val="null3"/>
                    <w:spacing w:after="120"/>
                    <w:jc w:val="both"/>
                  </w:pPr>
                  <w:r>
                    <w:rPr>
                      <w:rFonts w:ascii="仿宋_GB2312" w:hAnsi="仿宋_GB2312" w:cs="仿宋_GB2312" w:eastAsia="仿宋_GB2312"/>
                      <w:sz w:val="21"/>
                    </w:rPr>
                    <w:t>（1）严格按照国家公文管理规定提供完备的电子公文管理功能，包括：公文应用设置、发文管理、收文管理、签报管理、公文交换、公文督办、公文查询、公文统计、公文档案。</w:t>
                  </w:r>
                </w:p>
                <w:p>
                  <w:pPr>
                    <w:pStyle w:val="null3"/>
                    <w:spacing w:after="120"/>
                    <w:jc w:val="both"/>
                  </w:pPr>
                  <w:r>
                    <w:rPr>
                      <w:rFonts w:ascii="仿宋_GB2312" w:hAnsi="仿宋_GB2312" w:cs="仿宋_GB2312" w:eastAsia="仿宋_GB2312"/>
                      <w:sz w:val="21"/>
                    </w:rPr>
                    <w:t>（2）公文审批：实现领导审批、电子盖章、签字、文单签批、提交意见等应用，为组织中各级领导处理公文提供易用工具。</w:t>
                  </w:r>
                </w:p>
                <w:p>
                  <w:pPr>
                    <w:pStyle w:val="null3"/>
                    <w:spacing w:after="120"/>
                    <w:jc w:val="both"/>
                  </w:pPr>
                  <w:r>
                    <w:rPr>
                      <w:rFonts w:ascii="仿宋_GB2312" w:hAnsi="仿宋_GB2312" w:cs="仿宋_GB2312" w:eastAsia="仿宋_GB2312"/>
                      <w:sz w:val="21"/>
                    </w:rPr>
                    <w:t>（3）公文督办：使得目标管理与督查督办相结合，规范办理流程、梳理和明确各部门职能，发挥领导机关枢纽作用。</w:t>
                  </w:r>
                </w:p>
                <w:p>
                  <w:pPr>
                    <w:pStyle w:val="null3"/>
                    <w:spacing w:after="120"/>
                    <w:jc w:val="both"/>
                  </w:pPr>
                  <w:r>
                    <w:rPr>
                      <w:rFonts w:ascii="仿宋_GB2312" w:hAnsi="仿宋_GB2312" w:cs="仿宋_GB2312" w:eastAsia="仿宋_GB2312"/>
                      <w:sz w:val="21"/>
                    </w:rPr>
                    <w:t>（4）流程控制：公文流转过程中，通过公文模板（流程模板、公文正文模板等）支持公文流转的正式性、严肃性与规范性，实现公文管理的刚性控制；通过会签、多级会签、回退、终止等应用，支持公文流转过程中的异常情况处理。</w:t>
                  </w:r>
                </w:p>
                <w:p>
                  <w:pPr>
                    <w:pStyle w:val="null3"/>
                    <w:spacing w:after="120"/>
                    <w:jc w:val="both"/>
                  </w:pPr>
                  <w:r>
                    <w:rPr>
                      <w:rFonts w:ascii="仿宋_GB2312" w:hAnsi="仿宋_GB2312" w:cs="仿宋_GB2312" w:eastAsia="仿宋_GB2312"/>
                      <w:sz w:val="21"/>
                    </w:rPr>
                    <w:t>（5）留痕信息管理：提供留痕信息管理，保留电子公文的具体修改的内容，即修改内容留痕，使得公文流转过程中，对公文的操作及操作对象、操作者都清晰可见。</w:t>
                  </w:r>
                </w:p>
                <w:p>
                  <w:pPr>
                    <w:pStyle w:val="null3"/>
                    <w:spacing w:after="120"/>
                    <w:jc w:val="both"/>
                  </w:pPr>
                  <w:r>
                    <w:rPr>
                      <w:rFonts w:ascii="仿宋_GB2312" w:hAnsi="仿宋_GB2312" w:cs="仿宋_GB2312" w:eastAsia="仿宋_GB2312"/>
                      <w:sz w:val="21"/>
                    </w:rPr>
                    <w:t>（6）保密管理：支持公文文单、正文的修改权限控制，以及增减附件的控制，支持复制、下载、打印权限控制，防拷贝，实现公文传输的安全性。</w:t>
                  </w:r>
                </w:p>
                <w:p>
                  <w:pPr>
                    <w:pStyle w:val="null3"/>
                    <w:spacing w:after="120"/>
                    <w:jc w:val="both"/>
                  </w:pPr>
                  <w:r>
                    <w:rPr>
                      <w:rFonts w:ascii="仿宋_GB2312" w:hAnsi="仿宋_GB2312" w:cs="仿宋_GB2312" w:eastAsia="仿宋_GB2312"/>
                      <w:sz w:val="21"/>
                    </w:rPr>
                    <w:t>（7）归档管理：支持电子公文归档和安全存放，确保公文归档保存的真实、完整、安全与可识别；并提供公文文档库管理功能，实现公文分类、入卷、借阅，并记录相应操作过程；签报归档后增加签报文件的按标题、文号等要素检索功能和增加邮件转发功能，签报相关人员可看到最终状态的签报；签报、收文、发文按频率自动导入档案系统，也可手工实时导入。</w:t>
                  </w:r>
                </w:p>
                <w:p>
                  <w:pPr>
                    <w:pStyle w:val="null3"/>
                    <w:spacing w:after="120"/>
                    <w:jc w:val="both"/>
                  </w:pPr>
                  <w:r>
                    <w:rPr>
                      <w:rFonts w:ascii="仿宋_GB2312" w:hAnsi="仿宋_GB2312" w:cs="仿宋_GB2312" w:eastAsia="仿宋_GB2312"/>
                      <w:sz w:val="21"/>
                    </w:rPr>
                    <w:t>（8）电子印章：支持电子印章授权与在线盖章。</w:t>
                  </w:r>
                </w:p>
                <w:p>
                  <w:pPr>
                    <w:pStyle w:val="null3"/>
                    <w:spacing w:after="120"/>
                    <w:jc w:val="both"/>
                  </w:pPr>
                  <w:r>
                    <w:rPr>
                      <w:rFonts w:ascii="仿宋_GB2312" w:hAnsi="仿宋_GB2312" w:cs="仿宋_GB2312" w:eastAsia="仿宋_GB2312"/>
                      <w:sz w:val="21"/>
                    </w:rPr>
                    <w:t>（9）跨单位传递：提供公文交换中心，实现公文在同组织下跨单位传递。</w:t>
                  </w:r>
                </w:p>
                <w:p>
                  <w:pPr>
                    <w:pStyle w:val="null3"/>
                    <w:spacing w:after="120"/>
                    <w:jc w:val="both"/>
                  </w:pPr>
                  <w:r>
                    <w:rPr>
                      <w:rFonts w:ascii="仿宋_GB2312" w:hAnsi="仿宋_GB2312" w:cs="仿宋_GB2312" w:eastAsia="仿宋_GB2312"/>
                      <w:sz w:val="21"/>
                    </w:rPr>
                    <w:t>（10）文号生成：支持公文文号、内部文号自动生成，并提供断号管理。</w:t>
                  </w:r>
                </w:p>
                <w:p>
                  <w:pPr>
                    <w:pStyle w:val="null3"/>
                    <w:spacing w:after="120"/>
                    <w:jc w:val="both"/>
                  </w:pPr>
                  <w:r>
                    <w:rPr>
                      <w:rFonts w:ascii="仿宋_GB2312" w:hAnsi="仿宋_GB2312" w:cs="仿宋_GB2312" w:eastAsia="仿宋_GB2312"/>
                      <w:sz w:val="21"/>
                    </w:rPr>
                    <w:t>（11）查询统计：对发文、简报、会议纪要、签报等增加检索和统计分析功能，能够按照标题、文号、发文日期、主办部门、主办人、关键词等进行检索和统计分析，并支持统计分析结果的输出打印。</w:t>
                  </w:r>
                </w:p>
                <w:p>
                  <w:pPr>
                    <w:pStyle w:val="null3"/>
                    <w:spacing w:after="120"/>
                    <w:jc w:val="both"/>
                  </w:pPr>
                  <w:r>
                    <w:rPr>
                      <w:rFonts w:ascii="仿宋_GB2312" w:hAnsi="仿宋_GB2312" w:cs="仿宋_GB2312" w:eastAsia="仿宋_GB2312"/>
                      <w:sz w:val="21"/>
                    </w:rPr>
                    <w:t>（12）检索查阅签报时不受部门调整的限制，拟稿人有权限选择相关人员共享。</w:t>
                  </w:r>
                </w:p>
                <w:p>
                  <w:pPr>
                    <w:pStyle w:val="null3"/>
                    <w:spacing w:after="120"/>
                    <w:jc w:val="both"/>
                  </w:pPr>
                  <w:r>
                    <w:rPr>
                      <w:rFonts w:ascii="仿宋_GB2312" w:hAnsi="仿宋_GB2312" w:cs="仿宋_GB2312" w:eastAsia="仿宋_GB2312"/>
                      <w:sz w:val="21"/>
                    </w:rPr>
                    <w:t>（13）公文格式转换：在公文办结后，系统自动将Word文件转换成PDF文件归档，并允许流程中有权限的人员下载和打印。</w:t>
                  </w:r>
                </w:p>
                <w:p>
                  <w:pPr>
                    <w:pStyle w:val="null3"/>
                    <w:spacing w:after="120"/>
                    <w:jc w:val="both"/>
                  </w:pPr>
                  <w:r>
                    <w:rPr>
                      <w:rFonts w:ascii="仿宋_GB2312" w:hAnsi="仿宋_GB2312" w:cs="仿宋_GB2312" w:eastAsia="仿宋_GB2312"/>
                      <w:sz w:val="21"/>
                    </w:rPr>
                    <w:t>（14）公文转发：支持收文转发文、收文转公告。</w:t>
                  </w:r>
                </w:p>
                <w:p>
                  <w:pPr>
                    <w:pStyle w:val="null3"/>
                    <w:spacing w:after="120"/>
                    <w:jc w:val="both"/>
                  </w:pPr>
                  <w:r>
                    <w:rPr>
                      <w:rFonts w:ascii="仿宋_GB2312" w:hAnsi="仿宋_GB2312" w:cs="仿宋_GB2312" w:eastAsia="仿宋_GB2312"/>
                      <w:sz w:val="21"/>
                    </w:rPr>
                    <w:t>（15）日志管理：可了解到整个公文的流转状态，便于公文的发起者、处理者、督办人员对公文中每位参与者状况的了解。</w:t>
                  </w:r>
                </w:p>
                <w:p>
                  <w:pPr>
                    <w:pStyle w:val="null3"/>
                    <w:spacing w:after="120"/>
                    <w:jc w:val="both"/>
                  </w:pPr>
                  <w:r>
                    <w:rPr>
                      <w:rFonts w:ascii="仿宋_GB2312" w:hAnsi="仿宋_GB2312" w:cs="仿宋_GB2312" w:eastAsia="仿宋_GB2312"/>
                      <w:sz w:val="21"/>
                    </w:rPr>
                    <w:t>（16）明细查看：可以查看到各处理人的公文收到时间、处理时间，处理时长、有无延期等情况，以便清楚公文的流转效率和瓶颈所在。</w:t>
                  </w:r>
                </w:p>
                <w:p>
                  <w:pPr>
                    <w:pStyle w:val="null3"/>
                    <w:spacing w:after="120"/>
                    <w:jc w:val="both"/>
                  </w:pPr>
                  <w:r>
                    <w:rPr>
                      <w:rFonts w:ascii="仿宋_GB2312" w:hAnsi="仿宋_GB2312" w:cs="仿宋_GB2312" w:eastAsia="仿宋_GB2312"/>
                      <w:sz w:val="21"/>
                    </w:rPr>
                    <w:t>（17）签报自动分发功能，签报拟稿人及相关部门负责人默认列入分发名单，同时也能手动增加分发人。</w:t>
                  </w:r>
                </w:p>
                <w:p>
                  <w:pPr>
                    <w:pStyle w:val="null3"/>
                    <w:spacing w:after="120"/>
                    <w:jc w:val="both"/>
                  </w:pPr>
                  <w:r>
                    <w:rPr>
                      <w:rFonts w:ascii="仿宋_GB2312" w:hAnsi="仿宋_GB2312" w:cs="仿宋_GB2312" w:eastAsia="仿宋_GB2312"/>
                      <w:sz w:val="21"/>
                    </w:rPr>
                    <w:t>（18）签报归档后增加签报文件的按标题、文号等要素检索功能。</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.2发文管理</w:t>
                  </w:r>
                </w:p>
                <w:p>
                  <w:pPr>
                    <w:pStyle w:val="null3"/>
                    <w:spacing w:after="120"/>
                    <w:jc w:val="both"/>
                  </w:pPr>
                  <w:r>
                    <w:rPr>
                      <w:rFonts w:ascii="仿宋_GB2312" w:hAnsi="仿宋_GB2312" w:cs="仿宋_GB2312" w:eastAsia="仿宋_GB2312"/>
                      <w:sz w:val="21"/>
                    </w:rPr>
                    <w:t>（1）支持拟文、审批、审核、复核、会签、签发的公文成文审批过程。</w:t>
                  </w:r>
                </w:p>
                <w:p>
                  <w:pPr>
                    <w:pStyle w:val="null3"/>
                    <w:spacing w:after="120"/>
                    <w:jc w:val="both"/>
                  </w:pPr>
                  <w:r>
                    <w:rPr>
                      <w:rFonts w:ascii="仿宋_GB2312" w:hAnsi="仿宋_GB2312" w:cs="仿宋_GB2312" w:eastAsia="仿宋_GB2312"/>
                      <w:sz w:val="21"/>
                    </w:rPr>
                    <w:t>（2）支持调用模板。</w:t>
                  </w:r>
                </w:p>
                <w:p>
                  <w:pPr>
                    <w:pStyle w:val="null3"/>
                    <w:spacing w:after="120"/>
                    <w:jc w:val="both"/>
                  </w:pPr>
                  <w:r>
                    <w:rPr>
                      <w:rFonts w:ascii="仿宋_GB2312" w:hAnsi="仿宋_GB2312" w:cs="仿宋_GB2312" w:eastAsia="仿宋_GB2312"/>
                      <w:sz w:val="21"/>
                    </w:rPr>
                    <w:t>（3）支持公文套红、用印、分发、归档的公文处理过程；</w:t>
                  </w:r>
                </w:p>
                <w:p>
                  <w:pPr>
                    <w:pStyle w:val="null3"/>
                    <w:spacing w:after="120"/>
                    <w:jc w:val="both"/>
                  </w:pPr>
                  <w:r>
                    <w:rPr>
                      <w:rFonts w:ascii="仿宋_GB2312" w:hAnsi="仿宋_GB2312" w:cs="仿宋_GB2312" w:eastAsia="仿宋_GB2312"/>
                      <w:sz w:val="21"/>
                    </w:rPr>
                    <w:t>（4）支持调用各类文单模板。</w:t>
                  </w:r>
                </w:p>
                <w:p>
                  <w:pPr>
                    <w:pStyle w:val="null3"/>
                    <w:spacing w:after="120"/>
                    <w:jc w:val="both"/>
                  </w:pPr>
                  <w:r>
                    <w:rPr>
                      <w:rFonts w:ascii="仿宋_GB2312" w:hAnsi="仿宋_GB2312" w:cs="仿宋_GB2312" w:eastAsia="仿宋_GB2312"/>
                      <w:sz w:val="21"/>
                    </w:rPr>
                    <w:t>（5）支持行文过程的正文套红和打印输出。</w:t>
                  </w:r>
                </w:p>
                <w:p>
                  <w:pPr>
                    <w:pStyle w:val="null3"/>
                    <w:spacing w:after="120"/>
                    <w:jc w:val="both"/>
                  </w:pPr>
                  <w:r>
                    <w:rPr>
                      <w:rFonts w:ascii="仿宋_GB2312" w:hAnsi="仿宋_GB2312" w:cs="仿宋_GB2312" w:eastAsia="仿宋_GB2312"/>
                      <w:sz w:val="21"/>
                    </w:rPr>
                    <w:t>（6）支持行文过程的手写批注、文字批注、显示/隐藏痕迹、文档清稿、电子印章。</w:t>
                  </w:r>
                </w:p>
                <w:p>
                  <w:pPr>
                    <w:pStyle w:val="null3"/>
                    <w:spacing w:after="120"/>
                    <w:jc w:val="both"/>
                  </w:pPr>
                  <w:r>
                    <w:rPr>
                      <w:rFonts w:ascii="仿宋_GB2312" w:hAnsi="仿宋_GB2312" w:cs="仿宋_GB2312" w:eastAsia="仿宋_GB2312"/>
                      <w:sz w:val="21"/>
                    </w:rPr>
                    <w:t>（7）支持发文转公告。</w:t>
                  </w:r>
                </w:p>
                <w:p>
                  <w:pPr>
                    <w:pStyle w:val="null3"/>
                    <w:spacing w:after="120"/>
                    <w:jc w:val="both"/>
                  </w:pPr>
                  <w:r>
                    <w:rPr>
                      <w:rFonts w:ascii="仿宋_GB2312" w:hAnsi="仿宋_GB2312" w:cs="仿宋_GB2312" w:eastAsia="仿宋_GB2312"/>
                      <w:sz w:val="21"/>
                    </w:rPr>
                    <w:t>（8）支持会签、回退、终止。</w:t>
                  </w:r>
                </w:p>
                <w:p>
                  <w:pPr>
                    <w:pStyle w:val="null3"/>
                    <w:spacing w:after="120"/>
                    <w:jc w:val="both"/>
                  </w:pPr>
                  <w:r>
                    <w:rPr>
                      <w:rFonts w:ascii="仿宋_GB2312" w:hAnsi="仿宋_GB2312" w:cs="仿宋_GB2312" w:eastAsia="仿宋_GB2312"/>
                      <w:sz w:val="21"/>
                    </w:rPr>
                    <w:t>（9）支持发起人附言。</w:t>
                  </w:r>
                </w:p>
                <w:p>
                  <w:pPr>
                    <w:pStyle w:val="null3"/>
                    <w:spacing w:after="120"/>
                    <w:jc w:val="both"/>
                  </w:pPr>
                  <w:r>
                    <w:rPr>
                      <w:rFonts w:ascii="仿宋_GB2312" w:hAnsi="仿宋_GB2312" w:cs="仿宋_GB2312" w:eastAsia="仿宋_GB2312"/>
                      <w:sz w:val="21"/>
                    </w:rPr>
                    <w:t>（10）支持补充正文、补充附件。</w:t>
                  </w:r>
                </w:p>
                <w:p>
                  <w:pPr>
                    <w:pStyle w:val="null3"/>
                    <w:spacing w:after="120"/>
                    <w:jc w:val="both"/>
                  </w:pPr>
                  <w:r>
                    <w:rPr>
                      <w:rFonts w:ascii="仿宋_GB2312" w:hAnsi="仿宋_GB2312" w:cs="仿宋_GB2312" w:eastAsia="仿宋_GB2312"/>
                      <w:sz w:val="21"/>
                    </w:rPr>
                    <w:t>（11）支持处理期限和超期管理。</w:t>
                  </w:r>
                </w:p>
                <w:p>
                  <w:pPr>
                    <w:pStyle w:val="null3"/>
                    <w:spacing w:after="120"/>
                    <w:jc w:val="both"/>
                  </w:pPr>
                  <w:r>
                    <w:rPr>
                      <w:rFonts w:ascii="仿宋_GB2312" w:hAnsi="仿宋_GB2312" w:cs="仿宋_GB2312" w:eastAsia="仿宋_GB2312"/>
                      <w:sz w:val="21"/>
                    </w:rPr>
                    <w:t>（12）支持文号自动管理，支预留号选择。</w:t>
                  </w:r>
                </w:p>
                <w:p>
                  <w:pPr>
                    <w:pStyle w:val="null3"/>
                    <w:spacing w:after="120"/>
                    <w:jc w:val="both"/>
                  </w:pPr>
                  <w:r>
                    <w:rPr>
                      <w:rFonts w:ascii="仿宋_GB2312" w:hAnsi="仿宋_GB2312" w:cs="仿宋_GB2312" w:eastAsia="仿宋_GB2312"/>
                      <w:sz w:val="21"/>
                    </w:rPr>
                    <w:t>（13）支持发文过程中进行公文督办监督。</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.3收文管理</w:t>
                  </w:r>
                </w:p>
                <w:p>
                  <w:pPr>
                    <w:pStyle w:val="null3"/>
                    <w:spacing w:after="120"/>
                    <w:jc w:val="both"/>
                  </w:pPr>
                  <w:r>
                    <w:rPr>
                      <w:rFonts w:ascii="仿宋_GB2312" w:hAnsi="仿宋_GB2312" w:cs="仿宋_GB2312" w:eastAsia="仿宋_GB2312"/>
                      <w:sz w:val="21"/>
                    </w:rPr>
                    <w:t>（1）支持收办件、收阅件处理。</w:t>
                  </w:r>
                </w:p>
                <w:p>
                  <w:pPr>
                    <w:pStyle w:val="null3"/>
                    <w:spacing w:after="120"/>
                    <w:jc w:val="both"/>
                  </w:pPr>
                  <w:r>
                    <w:rPr>
                      <w:rFonts w:ascii="仿宋_GB2312" w:hAnsi="仿宋_GB2312" w:cs="仿宋_GB2312" w:eastAsia="仿宋_GB2312"/>
                      <w:sz w:val="21"/>
                    </w:rPr>
                    <w:t>（2）支持登记、拟办、会签、承办、办理、阅读等节点动作。</w:t>
                  </w:r>
                </w:p>
                <w:p>
                  <w:pPr>
                    <w:pStyle w:val="null3"/>
                    <w:spacing w:after="120"/>
                    <w:jc w:val="both"/>
                  </w:pPr>
                  <w:r>
                    <w:rPr>
                      <w:rFonts w:ascii="仿宋_GB2312" w:hAnsi="仿宋_GB2312" w:cs="仿宋_GB2312" w:eastAsia="仿宋_GB2312"/>
                      <w:sz w:val="21"/>
                    </w:rPr>
                    <w:t>（3）支持系统内部收文登记。</w:t>
                  </w:r>
                </w:p>
                <w:p>
                  <w:pPr>
                    <w:pStyle w:val="null3"/>
                    <w:spacing w:after="120"/>
                    <w:jc w:val="both"/>
                  </w:pPr>
                  <w:r>
                    <w:rPr>
                      <w:rFonts w:ascii="仿宋_GB2312" w:hAnsi="仿宋_GB2312" w:cs="仿宋_GB2312" w:eastAsia="仿宋_GB2312"/>
                      <w:sz w:val="21"/>
                    </w:rPr>
                    <w:t>（4）支持外来文纸质公文、外来电子公文登记。</w:t>
                  </w:r>
                </w:p>
                <w:p>
                  <w:pPr>
                    <w:pStyle w:val="null3"/>
                    <w:spacing w:after="120"/>
                    <w:jc w:val="both"/>
                  </w:pPr>
                  <w:r>
                    <w:rPr>
                      <w:rFonts w:ascii="仿宋_GB2312" w:hAnsi="仿宋_GB2312" w:cs="仿宋_GB2312" w:eastAsia="仿宋_GB2312"/>
                      <w:sz w:val="21"/>
                    </w:rPr>
                    <w:t>（5）支持收文转发文：实现对上级单位、上级行政部门来文的转发。</w:t>
                  </w:r>
                </w:p>
                <w:p>
                  <w:pPr>
                    <w:pStyle w:val="null3"/>
                    <w:spacing w:after="120"/>
                    <w:jc w:val="both"/>
                  </w:pPr>
                  <w:r>
                    <w:rPr>
                      <w:rFonts w:ascii="仿宋_GB2312" w:hAnsi="仿宋_GB2312" w:cs="仿宋_GB2312" w:eastAsia="仿宋_GB2312"/>
                      <w:sz w:val="21"/>
                    </w:rPr>
                    <w:t>（6）支持收文处理过程中的督办设置。</w:t>
                  </w:r>
                </w:p>
                <w:p>
                  <w:pPr>
                    <w:pStyle w:val="null3"/>
                    <w:spacing w:after="120"/>
                    <w:jc w:val="both"/>
                  </w:pPr>
                  <w:r>
                    <w:rPr>
                      <w:rFonts w:ascii="仿宋_GB2312" w:hAnsi="仿宋_GB2312" w:cs="仿宋_GB2312" w:eastAsia="仿宋_GB2312"/>
                      <w:sz w:val="21"/>
                    </w:rPr>
                    <w:t>（7）支持收文处理流程期限设置、超期提醒设置、跟踪设置。</w:t>
                  </w:r>
                </w:p>
                <w:p>
                  <w:pPr>
                    <w:pStyle w:val="null3"/>
                    <w:spacing w:after="120"/>
                    <w:jc w:val="both"/>
                  </w:pPr>
                  <w:r>
                    <w:rPr>
                      <w:rFonts w:ascii="仿宋_GB2312" w:hAnsi="仿宋_GB2312" w:cs="仿宋_GB2312" w:eastAsia="仿宋_GB2312"/>
                      <w:sz w:val="21"/>
                    </w:rPr>
                    <w:t>（8）支持登记人登记公文时附言。</w:t>
                  </w:r>
                </w:p>
                <w:p>
                  <w:pPr>
                    <w:pStyle w:val="null3"/>
                    <w:spacing w:after="120"/>
                    <w:jc w:val="both"/>
                  </w:pPr>
                  <w:r>
                    <w:rPr>
                      <w:rFonts w:ascii="仿宋_GB2312" w:hAnsi="仿宋_GB2312" w:cs="仿宋_GB2312" w:eastAsia="仿宋_GB2312"/>
                      <w:sz w:val="21"/>
                    </w:rPr>
                    <w:t>（9）支持签报拟文、审批、审核、复核、会签、办理、归档等的签报处理过程。</w:t>
                  </w:r>
                </w:p>
                <w:p>
                  <w:pPr>
                    <w:pStyle w:val="null3"/>
                    <w:spacing w:after="120"/>
                    <w:jc w:val="both"/>
                  </w:pPr>
                  <w:r>
                    <w:rPr>
                      <w:rFonts w:ascii="仿宋_GB2312" w:hAnsi="仿宋_GB2312" w:cs="仿宋_GB2312" w:eastAsia="仿宋_GB2312"/>
                      <w:sz w:val="21"/>
                    </w:rPr>
                    <w:t>（10）支持调用签报模板。</w:t>
                  </w:r>
                </w:p>
                <w:p>
                  <w:pPr>
                    <w:pStyle w:val="null3"/>
                    <w:spacing w:after="120"/>
                    <w:jc w:val="both"/>
                  </w:pPr>
                  <w:r>
                    <w:rPr>
                      <w:rFonts w:ascii="仿宋_GB2312" w:hAnsi="仿宋_GB2312" w:cs="仿宋_GB2312" w:eastAsia="仿宋_GB2312"/>
                      <w:sz w:val="21"/>
                    </w:rPr>
                    <w:t>（11）支持回退、终止等异常处理。</w:t>
                  </w:r>
                </w:p>
                <w:p>
                  <w:pPr>
                    <w:pStyle w:val="null3"/>
                    <w:spacing w:after="120"/>
                    <w:jc w:val="both"/>
                  </w:pPr>
                  <w:r>
                    <w:rPr>
                      <w:rFonts w:ascii="仿宋_GB2312" w:hAnsi="仿宋_GB2312" w:cs="仿宋_GB2312" w:eastAsia="仿宋_GB2312"/>
                      <w:sz w:val="21"/>
                    </w:rPr>
                    <w:t>（12）支持关联其他公文、关联知识文档；支持多种格式附件。</w:t>
                  </w:r>
                </w:p>
                <w:p>
                  <w:pPr>
                    <w:pStyle w:val="null3"/>
                    <w:spacing w:after="120"/>
                    <w:jc w:val="both"/>
                  </w:pPr>
                  <w:r>
                    <w:rPr>
                      <w:rFonts w:ascii="仿宋_GB2312" w:hAnsi="仿宋_GB2312" w:cs="仿宋_GB2312" w:eastAsia="仿宋_GB2312"/>
                      <w:sz w:val="21"/>
                    </w:rPr>
                    <w:t>（13）支持处理期限和超期管理。</w:t>
                  </w:r>
                </w:p>
                <w:p>
                  <w:pPr>
                    <w:pStyle w:val="null3"/>
                    <w:spacing w:after="120"/>
                    <w:jc w:val="both"/>
                  </w:pPr>
                  <w:r>
                    <w:rPr>
                      <w:rFonts w:ascii="仿宋_GB2312" w:hAnsi="仿宋_GB2312" w:cs="仿宋_GB2312" w:eastAsia="仿宋_GB2312"/>
                      <w:sz w:val="21"/>
                    </w:rPr>
                    <w:t>（14）支持签报处理过程中进行督办监督。</w:t>
                  </w:r>
                </w:p>
                <w:p>
                  <w:pPr>
                    <w:pStyle w:val="null3"/>
                    <w:spacing w:after="120"/>
                    <w:jc w:val="both"/>
                  </w:pPr>
                  <w:r>
                    <w:rPr>
                      <w:rFonts w:ascii="仿宋_GB2312" w:hAnsi="仿宋_GB2312" w:cs="仿宋_GB2312" w:eastAsia="仿宋_GB2312"/>
                      <w:sz w:val="21"/>
                    </w:rPr>
                    <w:t>（15）查询统计。</w:t>
                  </w:r>
                </w:p>
                <w:p>
                  <w:pPr>
                    <w:pStyle w:val="null3"/>
                    <w:spacing w:after="120"/>
                    <w:jc w:val="both"/>
                  </w:pPr>
                  <w:r>
                    <w:rPr>
                      <w:rFonts w:ascii="仿宋_GB2312" w:hAnsi="仿宋_GB2312" w:cs="仿宋_GB2312" w:eastAsia="仿宋_GB2312"/>
                      <w:sz w:val="21"/>
                    </w:rPr>
                    <w:t>（16）可以查看查询结果中的具体公文，包括公文正文、流程、文单。</w:t>
                  </w:r>
                </w:p>
                <w:p>
                  <w:pPr>
                    <w:pStyle w:val="null3"/>
                    <w:spacing w:after="120"/>
                    <w:jc w:val="both"/>
                  </w:pPr>
                  <w:r>
                    <w:rPr>
                      <w:rFonts w:ascii="仿宋_GB2312" w:hAnsi="仿宋_GB2312" w:cs="仿宋_GB2312" w:eastAsia="仿宋_GB2312"/>
                      <w:sz w:val="21"/>
                    </w:rPr>
                    <w:t>（17）支持处于不同流转状态下的公文查询。</w:t>
                  </w:r>
                </w:p>
                <w:p>
                  <w:pPr>
                    <w:pStyle w:val="null3"/>
                    <w:spacing w:after="120"/>
                    <w:jc w:val="both"/>
                  </w:pPr>
                  <w:r>
                    <w:rPr>
                      <w:rFonts w:ascii="仿宋_GB2312" w:hAnsi="仿宋_GB2312" w:cs="仿宋_GB2312" w:eastAsia="仿宋_GB2312"/>
                      <w:sz w:val="21"/>
                    </w:rPr>
                    <w:t>（18）查询条件多样，符合各类查找要求（包括按各种类型时间段查询、按各表单内容查询）。</w:t>
                  </w:r>
                </w:p>
                <w:p>
                  <w:pPr>
                    <w:pStyle w:val="null3"/>
                    <w:spacing w:after="120"/>
                    <w:jc w:val="both"/>
                  </w:pPr>
                  <w:r>
                    <w:rPr>
                      <w:rFonts w:ascii="仿宋_GB2312" w:hAnsi="仿宋_GB2312" w:cs="仿宋_GB2312" w:eastAsia="仿宋_GB2312"/>
                      <w:sz w:val="21"/>
                    </w:rPr>
                    <w:t>（19）设立完善的查询权限机制，对于已归档的公文，只能查询文件密级为普通且查询者参与的公文，实现严格把控查找结果，保证公文的安全可控。</w:t>
                  </w:r>
                </w:p>
                <w:p>
                  <w:pPr>
                    <w:pStyle w:val="null3"/>
                    <w:spacing w:after="120"/>
                    <w:jc w:val="both"/>
                  </w:pPr>
                  <w:r>
                    <w:rPr>
                      <w:rFonts w:ascii="仿宋_GB2312" w:hAnsi="仿宋_GB2312" w:cs="仿宋_GB2312" w:eastAsia="仿宋_GB2312"/>
                      <w:sz w:val="21"/>
                    </w:rPr>
                    <w:t>（20）收发查询、收发统计结果支持Excel导出。</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.4公文督办</w:t>
                  </w:r>
                </w:p>
                <w:p>
                  <w:pPr>
                    <w:pStyle w:val="null3"/>
                    <w:spacing w:after="120"/>
                    <w:jc w:val="both"/>
                  </w:pPr>
                  <w:r>
                    <w:rPr>
                      <w:rFonts w:ascii="仿宋_GB2312" w:hAnsi="仿宋_GB2312" w:cs="仿宋_GB2312" w:eastAsia="仿宋_GB2312"/>
                      <w:sz w:val="21"/>
                    </w:rPr>
                    <w:t>（1）建文人可自定义督办人，也可调用模板使用模板指定的督办人。</w:t>
                  </w:r>
                </w:p>
                <w:p>
                  <w:pPr>
                    <w:pStyle w:val="null3"/>
                    <w:spacing w:after="120"/>
                    <w:jc w:val="both"/>
                  </w:pPr>
                  <w:r>
                    <w:rPr>
                      <w:rFonts w:ascii="仿宋_GB2312" w:hAnsi="仿宋_GB2312" w:cs="仿宋_GB2312" w:eastAsia="仿宋_GB2312"/>
                      <w:sz w:val="21"/>
                    </w:rPr>
                    <w:t>（2）支持督办设置：设置督办期限、督办人、督办主题。</w:t>
                  </w:r>
                </w:p>
                <w:p>
                  <w:pPr>
                    <w:pStyle w:val="null3"/>
                    <w:spacing w:after="120"/>
                    <w:jc w:val="both"/>
                  </w:pPr>
                  <w:r>
                    <w:rPr>
                      <w:rFonts w:ascii="仿宋_GB2312" w:hAnsi="仿宋_GB2312" w:cs="仿宋_GB2312" w:eastAsia="仿宋_GB2312"/>
                      <w:sz w:val="21"/>
                    </w:rPr>
                    <w:t>（3）支持对督办人员的自动提醒：对督办人员进行公文督办的有效期进行规定后，过了此期限，系统自动提醒督办人。</w:t>
                  </w:r>
                </w:p>
                <w:p>
                  <w:pPr>
                    <w:pStyle w:val="null3"/>
                    <w:spacing w:after="120"/>
                    <w:jc w:val="both"/>
                  </w:pPr>
                  <w:r>
                    <w:rPr>
                      <w:rFonts w:ascii="仿宋_GB2312" w:hAnsi="仿宋_GB2312" w:cs="仿宋_GB2312" w:eastAsia="仿宋_GB2312"/>
                      <w:sz w:val="21"/>
                    </w:rPr>
                    <w:t>（4）权限许可下，支持督办人可更换处理人、改变正在进行中的公文处理流程。</w:t>
                  </w:r>
                </w:p>
                <w:p>
                  <w:pPr>
                    <w:pStyle w:val="null3"/>
                    <w:spacing w:after="120"/>
                    <w:jc w:val="both"/>
                  </w:pPr>
                  <w:r>
                    <w:rPr>
                      <w:rFonts w:ascii="仿宋_GB2312" w:hAnsi="仿宋_GB2312" w:cs="仿宋_GB2312" w:eastAsia="仿宋_GB2312"/>
                      <w:sz w:val="21"/>
                    </w:rPr>
                    <w:t>（5）进行公文催办：对流程中未办理的人员进行催办，并可查看催办记录列表。</w:t>
                  </w:r>
                </w:p>
                <w:p>
                  <w:pPr>
                    <w:pStyle w:val="null3"/>
                    <w:spacing w:after="120"/>
                    <w:jc w:val="both"/>
                  </w:pPr>
                  <w:r>
                    <w:rPr>
                      <w:rFonts w:ascii="仿宋_GB2312" w:hAnsi="仿宋_GB2312" w:cs="仿宋_GB2312" w:eastAsia="仿宋_GB2312"/>
                      <w:sz w:val="21"/>
                    </w:rPr>
                    <w:t>（6）查看公文办理情况。</w:t>
                  </w:r>
                </w:p>
                <w:p>
                  <w:pPr>
                    <w:pStyle w:val="null3"/>
                    <w:spacing w:after="120"/>
                    <w:jc w:val="both"/>
                  </w:pPr>
                  <w:r>
                    <w:rPr>
                      <w:rFonts w:ascii="仿宋_GB2312" w:hAnsi="仿宋_GB2312" w:cs="仿宋_GB2312" w:eastAsia="仿宋_GB2312"/>
                      <w:sz w:val="21"/>
                    </w:rPr>
                    <w:t>2</w:t>
                  </w:r>
                  <w:r>
                    <w:rPr>
                      <w:rFonts w:ascii="仿宋_GB2312" w:hAnsi="仿宋_GB2312" w:cs="仿宋_GB2312" w:eastAsia="仿宋_GB2312"/>
                      <w:sz w:val="21"/>
                    </w:rPr>
                    <w:t>.5公文档案</w:t>
                  </w:r>
                </w:p>
                <w:p>
                  <w:pPr>
                    <w:pStyle w:val="null3"/>
                    <w:spacing w:after="120"/>
                    <w:jc w:val="both"/>
                  </w:pPr>
                  <w:r>
                    <w:rPr>
                      <w:rFonts w:ascii="仿宋_GB2312" w:hAnsi="仿宋_GB2312" w:cs="仿宋_GB2312" w:eastAsia="仿宋_GB2312"/>
                      <w:sz w:val="21"/>
                    </w:rPr>
                    <w:t>（1）安全存放：确保公文归档保存的真实、完整、安全与可识别。</w:t>
                  </w:r>
                </w:p>
                <w:p>
                  <w:pPr>
                    <w:pStyle w:val="null3"/>
                    <w:spacing w:after="120"/>
                    <w:jc w:val="both"/>
                  </w:pPr>
                  <w:r>
                    <w:rPr>
                      <w:rFonts w:ascii="仿宋_GB2312" w:hAnsi="仿宋_GB2312" w:cs="仿宋_GB2312" w:eastAsia="仿宋_GB2312"/>
                      <w:sz w:val="21"/>
                    </w:rPr>
                    <w:t>（2）支持自定义公文档案目录结构。</w:t>
                  </w:r>
                </w:p>
                <w:p>
                  <w:pPr>
                    <w:pStyle w:val="null3"/>
                    <w:spacing w:after="120"/>
                    <w:jc w:val="both"/>
                  </w:pPr>
                  <w:r>
                    <w:rPr>
                      <w:rFonts w:ascii="仿宋_GB2312" w:hAnsi="仿宋_GB2312" w:cs="仿宋_GB2312" w:eastAsia="仿宋_GB2312"/>
                      <w:sz w:val="21"/>
                    </w:rPr>
                    <w:t>（3）文档库管理：实现分类、入卷、借阅、检索、与过程痕迹记录。</w:t>
                  </w:r>
                </w:p>
                <w:p>
                  <w:pPr>
                    <w:pStyle w:val="null3"/>
                    <w:spacing w:after="120"/>
                    <w:jc w:val="both"/>
                  </w:pPr>
                  <w:r>
                    <w:rPr>
                      <w:rFonts w:ascii="仿宋_GB2312" w:hAnsi="仿宋_GB2312" w:cs="仿宋_GB2312" w:eastAsia="仿宋_GB2312"/>
                      <w:sz w:val="21"/>
                    </w:rPr>
                    <w:t>（4）支持已归档公文的借阅，支持借阅操作权限，提供借阅跟踪，实现已归档公文的安全可控。</w:t>
                  </w:r>
                </w:p>
                <w:p>
                  <w:pPr>
                    <w:pStyle w:val="null3"/>
                    <w:spacing w:after="120"/>
                    <w:jc w:val="both"/>
                  </w:pPr>
                  <w:r>
                    <w:rPr>
                      <w:rFonts w:ascii="仿宋_GB2312" w:hAnsi="仿宋_GB2312" w:cs="仿宋_GB2312" w:eastAsia="仿宋_GB2312"/>
                      <w:sz w:val="21"/>
                    </w:rPr>
                    <w:t>（5）支持查看已归档公文操作历史。</w:t>
                  </w:r>
                </w:p>
                <w:p>
                  <w:pPr>
                    <w:pStyle w:val="null3"/>
                    <w:spacing w:after="120"/>
                    <w:jc w:val="both"/>
                  </w:pPr>
                  <w:r>
                    <w:rPr>
                      <w:rFonts w:ascii="仿宋_GB2312" w:hAnsi="仿宋_GB2312" w:cs="仿宋_GB2312" w:eastAsia="仿宋_GB2312"/>
                      <w:sz w:val="21"/>
                    </w:rPr>
                    <w:t>（6）支持固定格式的输出打印及纸质存档。</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3.督查</w:t>
                  </w:r>
                  <w:r>
                    <w:rPr>
                      <w:rFonts w:ascii="仿宋_GB2312" w:hAnsi="仿宋_GB2312" w:cs="仿宋_GB2312" w:eastAsia="仿宋_GB2312"/>
                      <w:sz w:val="21"/>
                    </w:rPr>
                    <w:t>督办管理模块：实现全面的督办管理功能，涵盖任务发起、分配安排、跟踪、反馈、评价、查询、临期提醒、加急、暂停等环节，</w:t>
                  </w:r>
                  <w:r>
                    <w:rPr>
                      <w:rFonts w:ascii="仿宋_GB2312" w:hAnsi="仿宋_GB2312" w:cs="仿宋_GB2312" w:eastAsia="仿宋_GB2312"/>
                      <w:sz w:val="21"/>
                    </w:rPr>
                    <w:t>能够</w:t>
                  </w:r>
                  <w:r>
                    <w:rPr>
                      <w:rFonts w:ascii="仿宋_GB2312" w:hAnsi="仿宋_GB2312" w:cs="仿宋_GB2312" w:eastAsia="仿宋_GB2312"/>
                      <w:sz w:val="21"/>
                    </w:rPr>
                    <w:t>掌控任务进度，提升组织的执行力和效率，构建任务的闭环管理体系，确保重要事项有序落实、任务有明确反馈，全面提升学院的督查、办理和问责机制</w:t>
                  </w:r>
                  <w:r>
                    <w:rPr>
                      <w:rFonts w:ascii="仿宋_GB2312" w:hAnsi="仿宋_GB2312" w:cs="仿宋_GB2312" w:eastAsia="仿宋_GB2312"/>
                      <w:sz w:val="21"/>
                    </w:rPr>
                    <w:t>。</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.1管理员可预先设定承办人的完成期限，对逾期尚未办理者，可通过即时通讯、手机提醒、移动办公应用系统发催办通知，敦促尽快办理。</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.2系统可定期统计超期限办理文件情况。</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.3可设置超时办文曝光台。</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.4系统可设置公务处理监察员，监察员可对办理过程进行监视，并对办理情况进行考核。</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.5通过督查督办系统提供对督查督办事项全生命周期的管理，完成从督查事项立项、督查通知起草到网上录入、分办、签收、承办、承办意见反馈、承办结果评价及查询统计等全过程管理。</w:t>
                  </w:r>
                </w:p>
                <w:p>
                  <w:pPr>
                    <w:pStyle w:val="null3"/>
                    <w:spacing w:after="120"/>
                    <w:jc w:val="both"/>
                  </w:pPr>
                  <w:r>
                    <w:rPr>
                      <w:rFonts w:ascii="仿宋_GB2312" w:hAnsi="仿宋_GB2312" w:cs="仿宋_GB2312" w:eastAsia="仿宋_GB2312"/>
                      <w:sz w:val="21"/>
                    </w:rPr>
                    <w:t>3</w:t>
                  </w:r>
                  <w:r>
                    <w:rPr>
                      <w:rFonts w:ascii="仿宋_GB2312" w:hAnsi="仿宋_GB2312" w:cs="仿宋_GB2312" w:eastAsia="仿宋_GB2312"/>
                      <w:sz w:val="21"/>
                    </w:rPr>
                    <w:t>.6督查督办部门对各种督查督办案进行审批、备案，能够对处理情况进行统计、分析，并能自动生成相关统计分析报表。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w:t>
                  </w:r>
                  <w:r>
                    <w:rPr>
                      <w:rFonts w:ascii="仿宋_GB2312" w:hAnsi="仿宋_GB2312" w:cs="仿宋_GB2312" w:eastAsia="仿宋_GB2312"/>
                      <w:sz w:val="21"/>
                    </w:rPr>
                    <w:t>作</w:t>
                  </w:r>
                  <w:r>
                    <w:rPr>
                      <w:rFonts w:ascii="仿宋_GB2312" w:hAnsi="仿宋_GB2312" w:cs="仿宋_GB2312" w:eastAsia="仿宋_GB2312"/>
                      <w:sz w:val="21"/>
                    </w:rPr>
                    <w:t>流程管理模块：具备各项协作办公流程的发起、办理、加签、转办、代办、查询、归档。具备灵活的流程配置能力适应不同业务场景，并将所有流程信息集成到钉钉平台。</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通过IT技术，基于先进的工作流引擎，实现管理的规范化、标准化和高效化，通过流程的建立和规范，系统的流程数据分析，最终达到优化流程。通过流程优化，减少学校办公业务中的非增值活动、等待时间、重复和协调的工作量，在解决协同工作和信息共享的同时，实现在线业务流转和管理，真正提高办公效率，挖掘和发挥教职工价值；同时基于学校移动办公的需要，实现手机网上审批的功能。需要从安全和部署方面能满足今后学校工作流应用推广和需求扩展的要求，做到行业领先。</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2可视化流程自定义：支持灵活的可视化流程定义工具。可以根据需求任意定义各种工作流程，包括分支、汇总和循环、触发、撤销、收回、转发、抄送、强制归档等流程，并且可以随意定义私有流程、部门流程、修改已定义的各种流程。如：流程的处理人、修改权限、是否有批示等，可自行定义符合个性化的流程。</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3流程支持图形化设计：系统要求提供图形化表单设计功能，表单定制工具要求以可拖拽的图形化界面方式实现表单的定制和编辑，提供电子表格导入和流程图形化拖拽的配置功能。能够对各种表单元素进行处理，同时要求表单的定制与组织架构无缝结合，在表单定制操作上要求具有较强的可用性和便利性。</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.4流程权限管理：可定义指定流程的管理员，管理员可进行流程更新，流程启用与停用等。</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.5可以根据需求任意定义流程审批的各种操作，如“同意”“已阅”等。</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.6可以随时监控流程的流转情况，针对一些流程异常情况需提供提醒，便于流程负责人及时干预。</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.7提供流程提醒、邮件提醒、即时消息、手机端提醒、手机短信等多种提醒方式。</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.8流程支持多版本，不会因为流程版本的更新导致原流程中的申请单出现问题。</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.9提供根据不同流程设置不同代理人功能，流程代理需要支持时间段设置。</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.10支持自动审批功能，即在设定时间内未完成审批操作，系统将自动进入下一环节。</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.11流程监控：可以按照查询条件监控流程的流转情况，包括审批的结果和状态。</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.12流程督办：督办人员可以对流程在流转过程中进行督办和催办提醒。</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.13自动触发：可以根据设定时间、根据事件（如新建文档、系统流程审批等）自动触发启动工作流。</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.14时间控制：能够预设各阶段的操作时间，并针对超时的流程进行重新触发或标注提醒。</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.15流程数据统计报表：对流程流转过的数据根据表单字段之间的不同组合提供图形化报表统计、汇总、分析。</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.16工作流效率分析统计：对流程各环节的执行时间、审批记录、工作流的回退等信息进行统计分析，以图形化方式展现流程效率报表，用于分析影响流程执行的瓶颈。</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.17提供流程分类管理及维护，并可设定流程的发起权限，对于没有权限的人员，无法在门户上看到此流程。</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.18提供标准流程发起及审批接口，可与业务系统集成，提供待办清单接口，提供自动创建申请单接口，并可在审批操作后自动调用业务系统提供的标准接口（如Webservice接口）通知业务系统进行相应的业务操作。</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.19提供与文档或信息的关联功能，即在填写、查看或者审批申请单时，关联到此申请单相关的审批事项、规章制度等参考文档或参考信息，帮助操作人员进一步了解详细信息。</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.20流程支持实时统计、打印，按周、按月、统计分析和打印输出，且能设置访问权限。</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.会议管理系统</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.1会议管理系统包括了对各种不同类型的会议管理，在会议地点上，系统可维护调配相关会议场地信息，会议资源网络预订等“会前、会中、会后”全过程的自动化管理。</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.2线上通过系统通知与会人员并获取反馈信息，线下支持生成二维码扫描等各类签到参会。</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.3在会务审批、日程、议程、材料等各个方面实现互联互通，实现线上线下一体化的联动会务体系。</w:t>
                  </w:r>
                </w:p>
                <w:p>
                  <w:pPr>
                    <w:pStyle w:val="null3"/>
                    <w:spacing w:after="120"/>
                    <w:jc w:val="both"/>
                  </w:pPr>
                  <w:r>
                    <w:rPr>
                      <w:rFonts w:ascii="仿宋_GB2312" w:hAnsi="仿宋_GB2312" w:cs="仿宋_GB2312" w:eastAsia="仿宋_GB2312"/>
                      <w:sz w:val="21"/>
                    </w:rPr>
                    <w:t>5</w:t>
                  </w:r>
                  <w:r>
                    <w:rPr>
                      <w:rFonts w:ascii="仿宋_GB2312" w:hAnsi="仿宋_GB2312" w:cs="仿宋_GB2312" w:eastAsia="仿宋_GB2312"/>
                      <w:sz w:val="21"/>
                    </w:rPr>
                    <w:t>.4支持上传会议纪要管理。</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值班管理模块：以特殊规则库、事件管理、数据统计分析等功能为基础，提升值班排班效率；值班管理系统通过双门户设计、事件闭环管理及移动化支持，解决传统值班中的排班复杂、通知滞后、事件追踪难等问题。其核心价值在于提升应急响应效率、实现管理标准化，并为决策提供数据支撑。</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 支持按自定义排班规则（如工作日、周末、节假日轮值规则）及值班人员名单，自动生成月度值班表，并支持人工微调。</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2.系统根据自动生成的月值班表，于值班日期前一日通过短信、钉钉等方式自动向值班人员发送提醒通知。</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3.支持值班人员在线提交调班申请，经相关审批人确认后，系统自动更新值班表并同步提醒相关人员。</w:t>
                  </w:r>
                </w:p>
                <w:p>
                  <w:pPr>
                    <w:pStyle w:val="null3"/>
                    <w:spacing w:after="1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4.值班人员在值班结束前，需通过系统填写值班记录并完成电子签名，系统自动保存记录及签名时间，形成可追溯的值班完成档案。</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.综合事务管理</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.1职工信息</w:t>
                  </w:r>
                </w:p>
                <w:p>
                  <w:pPr>
                    <w:pStyle w:val="null3"/>
                    <w:spacing w:after="120"/>
                    <w:jc w:val="both"/>
                  </w:pPr>
                  <w:r>
                    <w:rPr>
                      <w:rFonts w:ascii="仿宋_GB2312" w:hAnsi="仿宋_GB2312" w:cs="仿宋_GB2312" w:eastAsia="仿宋_GB2312"/>
                      <w:sz w:val="21"/>
                    </w:rPr>
                    <w:t>包括职工详细信息，包括部门、职位、头像、电话等信息。支持一个人多重身份，并支持根据身份不同载入不同的权限。支持对一些非敏感信息，如手机号码进行修改，对于敏感数据则不允许修改（如职位），职工信息与通讯录进行集成，一旦职工信息发生变更，通讯录中的内容也会同步发生变更。</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.2群组、角色组管理</w:t>
                  </w:r>
                </w:p>
                <w:p>
                  <w:pPr>
                    <w:pStyle w:val="null3"/>
                    <w:spacing w:after="120"/>
                    <w:jc w:val="both"/>
                  </w:pPr>
                  <w:r>
                    <w:rPr>
                      <w:rFonts w:ascii="仿宋_GB2312" w:hAnsi="仿宋_GB2312" w:cs="仿宋_GB2312" w:eastAsia="仿宋_GB2312"/>
                      <w:sz w:val="21"/>
                    </w:rPr>
                    <w:t>系统支持群组和角色组的增、删、改、查。</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.3通讯录管理</w:t>
                  </w:r>
                </w:p>
                <w:p>
                  <w:pPr>
                    <w:pStyle w:val="null3"/>
                    <w:spacing w:after="120"/>
                    <w:jc w:val="both"/>
                  </w:pPr>
                  <w:r>
                    <w:rPr>
                      <w:rFonts w:ascii="仿宋_GB2312" w:hAnsi="仿宋_GB2312" w:cs="仿宋_GB2312" w:eastAsia="仿宋_GB2312"/>
                      <w:sz w:val="21"/>
                    </w:rPr>
                    <w:t>包括通讯录的分类、设置及查询功能，实现通讯方式个人维护，支持不同部门构建不同通讯录。</w:t>
                  </w:r>
                </w:p>
                <w:p>
                  <w:pPr>
                    <w:pStyle w:val="null3"/>
                    <w:spacing w:after="120"/>
                    <w:jc w:val="both"/>
                  </w:pPr>
                  <w:r>
                    <w:rPr>
                      <w:rFonts w:ascii="仿宋_GB2312" w:hAnsi="仿宋_GB2312" w:cs="仿宋_GB2312" w:eastAsia="仿宋_GB2312"/>
                      <w:sz w:val="21"/>
                    </w:rPr>
                    <w:t>7</w:t>
                  </w:r>
                  <w:r>
                    <w:rPr>
                      <w:rFonts w:ascii="仿宋_GB2312" w:hAnsi="仿宋_GB2312" w:cs="仿宋_GB2312" w:eastAsia="仿宋_GB2312"/>
                      <w:sz w:val="21"/>
                    </w:rPr>
                    <w:t>.4印章管理</w:t>
                  </w:r>
                </w:p>
                <w:p>
                  <w:pPr>
                    <w:pStyle w:val="null3"/>
                    <w:spacing w:after="120"/>
                    <w:jc w:val="both"/>
                  </w:pPr>
                  <w:r>
                    <w:rPr>
                      <w:rFonts w:ascii="仿宋_GB2312" w:hAnsi="仿宋_GB2312" w:cs="仿宋_GB2312" w:eastAsia="仿宋_GB2312"/>
                      <w:sz w:val="21"/>
                    </w:rPr>
                    <w:t>包括印章的新增、申领、借用等管理功能，并与申请审批流程集成，学校印章/党委印章/学校</w:t>
                  </w:r>
                  <w:r>
                    <w:rPr>
                      <w:rFonts w:ascii="仿宋_GB2312" w:hAnsi="仿宋_GB2312" w:cs="仿宋_GB2312" w:eastAsia="仿宋_GB2312"/>
                      <w:sz w:val="21"/>
                    </w:rPr>
                    <w:t>党政</w:t>
                  </w:r>
                  <w:r>
                    <w:rPr>
                      <w:rFonts w:ascii="仿宋_GB2312" w:hAnsi="仿宋_GB2312" w:cs="仿宋_GB2312" w:eastAsia="仿宋_GB2312"/>
                      <w:sz w:val="21"/>
                    </w:rPr>
                    <w:t>办公室章/校长签章/书记签章等，都可在OA系统发起用印申请，用印更快捷、更规范。</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.移动办公管理</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.1在移动APP和</w:t>
                  </w:r>
                  <w:r>
                    <w:rPr>
                      <w:rFonts w:ascii="仿宋_GB2312" w:hAnsi="仿宋_GB2312" w:cs="仿宋_GB2312" w:eastAsia="仿宋_GB2312"/>
                      <w:sz w:val="21"/>
                    </w:rPr>
                    <w:t>钉钉</w:t>
                  </w:r>
                  <w:r>
                    <w:rPr>
                      <w:rFonts w:ascii="仿宋_GB2312" w:hAnsi="仿宋_GB2312" w:cs="仿宋_GB2312" w:eastAsia="仿宋_GB2312"/>
                      <w:sz w:val="21"/>
                    </w:rPr>
                    <w:t>上完成日常行政管理工作，移动APP和</w:t>
                  </w:r>
                  <w:r>
                    <w:rPr>
                      <w:rFonts w:ascii="仿宋_GB2312" w:hAnsi="仿宋_GB2312" w:cs="仿宋_GB2312" w:eastAsia="仿宋_GB2312"/>
                      <w:sz w:val="21"/>
                    </w:rPr>
                    <w:t>钉钉</w:t>
                  </w:r>
                  <w:r>
                    <w:rPr>
                      <w:rFonts w:ascii="仿宋_GB2312" w:hAnsi="仿宋_GB2312" w:cs="仿宋_GB2312" w:eastAsia="仿宋_GB2312"/>
                      <w:sz w:val="21"/>
                    </w:rPr>
                    <w:t>以下统称为移动终端。实现APP融入系统形成统一的操作界面，并于PC端功能保持一致。解决部分用户因工作繁忙而无法便捷、灵活办公的困扰，实现移动终端的协同办公，并可根据业务的紧急程度和业务涉及的对象对移动办公内容进行扩展。应包括移动办文、移动审批、各种工作群组、内部信息传递、即时通讯、通知管理、通讯录等功能。</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.2系统支持移动通讯录与组织架构同步，可根据姓名进行搜索，可以直接拨打（手机或座机），或直接发邮件或短信。</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.3在移动终端上系统可以发起、转交、结束工作流程，移动终端上支持在线阅读附件并可以上传图片等各种形式附件，同时在公文单和公文上可以进行手写批注、审批等。</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.4在移动终端上通过系统可以方便、及时地处理相关公文、会议及其他学校事务，查看各种发布信息。具有消息发送、信息推送、公文待办提醒、待办截止日提醒、会议助理等功能。</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在移动终端上系统可以处理会议室查询使用状态、预约、审批等相关功能。</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移动办公平台支持APP客户端（包含IOS系统、安卓系统等主流移动操作系统），在手机、Pad等各类移动设备上均可成熟应用。</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.即时通讯系统</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1系统内置即时通讯工具，提供内部即时通讯，实现单位内部的信息发送、文件传输、单点登录、在线感知、消息提醒，即时发送对话、消息、文件等。</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2支持手机客户端，实现手机APP与电脑端平台的无缝集成。</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3可以快速查询历史沟通记录。</w:t>
                  </w:r>
                </w:p>
                <w:p>
                  <w:pPr>
                    <w:pStyle w:val="null3"/>
                    <w:spacing w:after="120"/>
                    <w:jc w:val="both"/>
                  </w:pPr>
                  <w:r>
                    <w:rPr>
                      <w:rFonts w:ascii="仿宋_GB2312" w:hAnsi="仿宋_GB2312" w:cs="仿宋_GB2312" w:eastAsia="仿宋_GB2312"/>
                      <w:sz w:val="21"/>
                    </w:rPr>
                    <w:t>9.</w:t>
                  </w:r>
                  <w:r>
                    <w:rPr>
                      <w:rFonts w:ascii="仿宋_GB2312" w:hAnsi="仿宋_GB2312" w:cs="仿宋_GB2312" w:eastAsia="仿宋_GB2312"/>
                      <w:sz w:val="21"/>
                    </w:rPr>
                    <w:t>4支持文字、表情、图片和附件的发送。</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.数据报表应用</w:t>
                  </w:r>
                </w:p>
                <w:p>
                  <w:pPr>
                    <w:pStyle w:val="null3"/>
                    <w:spacing w:after="120"/>
                    <w:jc w:val="both"/>
                  </w:pPr>
                  <w:r>
                    <w:rPr>
                      <w:rFonts w:ascii="仿宋_GB2312" w:hAnsi="仿宋_GB2312" w:cs="仿宋_GB2312" w:eastAsia="仿宋_GB2312"/>
                      <w:sz w:val="21"/>
                    </w:rPr>
                    <w:t>充分利用平台积累的各类办公数据，按照业务需要，制定各类不同的数据报表进行展现，为业务统计分析、领导决策等提供强有力的数据支撑。平台可通过报表门户，以饼状图、柱状图等各类形式展现统计数据，数据可根据平台内的相应数据的改变而实时自动变更。</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.手机短信功能</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平台各类消息通知均可通过短信的形式自动发送。</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支持选取系统用户和手动输入手机号码的方式发送短信。</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支持查看短信发送状态，提供短信发送情况统计。</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系统包含以下控件组</w:t>
                  </w:r>
                </w:p>
                <w:p>
                  <w:pPr>
                    <w:pStyle w:val="null3"/>
                    <w:spacing w:after="120"/>
                    <w:jc w:val="both"/>
                  </w:pPr>
                  <w:r>
                    <w:rPr>
                      <w:rFonts w:ascii="仿宋_GB2312" w:hAnsi="仿宋_GB2312" w:cs="仿宋_GB2312" w:eastAsia="仿宋_GB2312"/>
                      <w:sz w:val="21"/>
                    </w:rPr>
                    <w:t>国标 office 控件：符合国家电子公文标准，包括调用流版软件及相关公文编辑、保存、修改、套红、转版等功能</w:t>
                  </w:r>
                </w:p>
                <w:p>
                  <w:pPr>
                    <w:pStyle w:val="null3"/>
                    <w:spacing w:after="120"/>
                    <w:jc w:val="both"/>
                  </w:pPr>
                  <w:r>
                    <w:rPr>
                      <w:rFonts w:ascii="仿宋_GB2312" w:hAnsi="仿宋_GB2312" w:cs="仿宋_GB2312" w:eastAsia="仿宋_GB2312"/>
                      <w:sz w:val="21"/>
                    </w:rPr>
                    <w:t>混网 office 控件：支持国产化终端与 X86 终端同时兼容的 office 控件（含国标office控件部分）；</w:t>
                  </w:r>
                </w:p>
                <w:p>
                  <w:pPr>
                    <w:pStyle w:val="null3"/>
                    <w:spacing w:after="120"/>
                    <w:jc w:val="both"/>
                  </w:pPr>
                  <w:r>
                    <w:rPr>
                      <w:rFonts w:ascii="仿宋_GB2312" w:hAnsi="仿宋_GB2312" w:cs="仿宋_GB2312" w:eastAsia="仿宋_GB2312"/>
                      <w:sz w:val="21"/>
                    </w:rPr>
                    <w:t>高级级 Office 套件：标准 office 控件+PDF 插件：支持 Word、Excel、Wps、ET 格式的文档编辑、痕迹保留，支持查看 PDF。</w:t>
                  </w:r>
                </w:p>
                <w:p>
                  <w:pPr>
                    <w:pStyle w:val="null3"/>
                    <w:spacing w:after="120"/>
                    <w:jc w:val="both"/>
                  </w:pPr>
                  <w:r>
                    <w:rPr>
                      <w:rFonts w:ascii="仿宋_GB2312" w:hAnsi="仿宋_GB2312" w:cs="仿宋_GB2312" w:eastAsia="仿宋_GB2312"/>
                      <w:sz w:val="21"/>
                    </w:rPr>
                    <w:t>13.</w:t>
                  </w:r>
                  <w:r>
                    <w:rPr>
                      <w:rFonts w:ascii="仿宋_GB2312" w:hAnsi="仿宋_GB2312" w:cs="仿宋_GB2312" w:eastAsia="仿宋_GB2312"/>
                      <w:sz w:val="21"/>
                    </w:rPr>
                    <w:t>智能体应用开发：依托大语言模型与智能检索技术，开发校务管理服务智能体2个。打造"一站式、全流程、智能化"的校务办事向导，梳理学校各职能部门的规章制度、办事流程、表单材料及常见问题，形成结构化、动态更新的知识体系，并通过智能问答交互界面为师生提供7×24小时不间断的精准咨询服务。</w:t>
                  </w:r>
                </w:p>
                <w:p>
                  <w:pPr>
                    <w:pStyle w:val="null3"/>
                    <w:spacing w:after="120"/>
                    <w:jc w:val="both"/>
                  </w:pPr>
                  <w:r>
                    <w:rPr>
                      <w:rFonts w:ascii="仿宋_GB2312" w:hAnsi="仿宋_GB2312" w:cs="仿宋_GB2312" w:eastAsia="仿宋_GB2312"/>
                      <w:sz w:val="21"/>
                    </w:rPr>
                    <w:t>14.</w:t>
                  </w:r>
                  <w:r>
                    <w:rPr>
                      <w:rFonts w:ascii="仿宋_GB2312" w:hAnsi="仿宋_GB2312" w:cs="仿宋_GB2312" w:eastAsia="仿宋_GB2312"/>
                      <w:sz w:val="21"/>
                    </w:rPr>
                    <w:t>算力资源：提供智能体应用配套算力资源2年，每年不少于5000万token，模型包括单不限于使用：DeepSeek、doubao、Qwen、KIMI等。</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集成对接：需完成与学校统一身份认证平台、数据中台、一网通办平台</w:t>
                  </w:r>
                  <w:r>
                    <w:rPr>
                      <w:rFonts w:ascii="仿宋_GB2312" w:hAnsi="仿宋_GB2312" w:cs="仿宋_GB2312" w:eastAsia="仿宋_GB2312"/>
                      <w:sz w:val="21"/>
                    </w:rPr>
                    <w:t>对接</w:t>
                  </w:r>
                  <w:r>
                    <w:rPr>
                      <w:rFonts w:ascii="仿宋_GB2312" w:hAnsi="仿宋_GB2312" w:cs="仿宋_GB2312" w:eastAsia="仿宋_GB2312"/>
                      <w:sz w:val="21"/>
                    </w:rPr>
                    <w:t>，实现深度融合、统一管理；与学校现用的钉钉平台集成，实现无感身份验证登录及待办消息推送提醒；与学校拟建设的档案系统集成对接，通过推送OA系统内的各类文件数据，实现公文或其他档案的电子归档，使公文档案在档案系统中可查询借阅</w:t>
                  </w:r>
                  <w:r>
                    <w:rPr>
                      <w:rFonts w:ascii="仿宋_GB2312" w:hAnsi="仿宋_GB2312" w:cs="仿宋_GB2312" w:eastAsia="仿宋_GB2312"/>
                      <w:sz w:val="21"/>
                    </w:rPr>
                    <w:t>；完成与学校拟建成的合同管理系统集成对接等。</w:t>
                  </w:r>
                  <w:r>
                    <w:rPr>
                      <w:rFonts w:ascii="仿宋_GB2312" w:hAnsi="仿宋_GB2312" w:cs="仿宋_GB2312" w:eastAsia="仿宋_GB2312"/>
                      <w:sz w:val="21"/>
                    </w:rPr>
                    <w:t>WEB端、电脑端、移动端身份验证均接入学校统一身份认证平台，并提供在线第三方集成规范文档，其内容包括不限于原理、应用场景、代码示例等。</w:t>
                  </w:r>
                </w:p>
                <w:p>
                  <w:pPr>
                    <w:pStyle w:val="null3"/>
                    <w:spacing w:after="12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历史数据迁移：完成对学校现用OA办公系统的业务数据迁移。需要根据学校对数据管理的需要重新清洗及制定编码规则，对已有数据进行调整，制定迁移方案，包括但不限于用户数据、公文流转数据、文档数据、各类通知类数据等。新旧系统使用转换过程中，必须平滑过渡，不影响学校各项行政管理工作。</w:t>
                  </w:r>
                </w:p>
                <w:p>
                  <w:pPr>
                    <w:pStyle w:val="null3"/>
                    <w:spacing w:after="120"/>
                    <w:jc w:val="both"/>
                  </w:pPr>
                  <w:r>
                    <w:rPr>
                      <w:rFonts w:ascii="仿宋_GB2312" w:hAnsi="仿宋_GB2312" w:cs="仿宋_GB2312" w:eastAsia="仿宋_GB2312"/>
                      <w:sz w:val="21"/>
                    </w:rPr>
                    <w:t>17.</w:t>
                  </w:r>
                  <w:r>
                    <w:rPr>
                      <w:rFonts w:ascii="仿宋_GB2312" w:hAnsi="仿宋_GB2312" w:cs="仿宋_GB2312" w:eastAsia="仿宋_GB2312"/>
                      <w:sz w:val="21"/>
                    </w:rPr>
                    <w:t>流程开发需求</w:t>
                  </w:r>
                </w:p>
                <w:p>
                  <w:pPr>
                    <w:pStyle w:val="null3"/>
                    <w:spacing w:after="120"/>
                    <w:jc w:val="both"/>
                  </w:pPr>
                  <w:r>
                    <w:rPr>
                      <w:rFonts w:ascii="仿宋_GB2312" w:hAnsi="仿宋_GB2312" w:cs="仿宋_GB2312" w:eastAsia="仿宋_GB2312"/>
                      <w:sz w:val="21"/>
                    </w:rPr>
                    <w:t>按照学校的要求搭建各类流程；流程搭建数量及内容无限制。</w:t>
                  </w:r>
                </w:p>
                <w:p>
                  <w:pPr>
                    <w:pStyle w:val="null3"/>
                    <w:spacing w:after="120"/>
                    <w:jc w:val="both"/>
                  </w:pPr>
                  <w:r>
                    <w:rPr>
                      <w:rFonts w:ascii="仿宋_GB2312" w:hAnsi="仿宋_GB2312" w:cs="仿宋_GB2312" w:eastAsia="仿宋_GB2312"/>
                      <w:sz w:val="21"/>
                    </w:rPr>
                    <w:t>流程业务支持独立发布，可挂载在学校一网通办，通过一网通办直接发起流程、审批流程。</w:t>
                  </w:r>
                </w:p>
                <w:p>
                  <w:pPr>
                    <w:pStyle w:val="null3"/>
                  </w:pPr>
                  <w:r>
                    <w:rPr>
                      <w:rFonts w:ascii="仿宋_GB2312" w:hAnsi="仿宋_GB2312" w:cs="仿宋_GB2312" w:eastAsia="仿宋_GB2312"/>
                      <w:sz w:val="19"/>
                    </w:rPr>
                    <w:t>流程引擎业务数据支持与现有一网通办平台进行对接，实现包括流程待办、已办、发起等全量流程数据对接，并支持通过一网通办任务中心可直接办理所有流程待办事宜。</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OA系统可运行于高安全性的信创软硬件环境，产品须兼容国产化数据库、国产化中间件、国产服务器操作系统和国产桌面操作系统。投标人必须明确提供平台所支持操作系统版本（包括小版本号及相关的补丁）和数据库版本（包括小版本号及相关的补丁），支持IPv4/ IPv6双栈部署及访问。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OA系统整体采用分层设计；前后端分离，前端采</w:t>
                  </w:r>
                  <w:r>
                    <w:rPr>
                      <w:rFonts w:ascii="仿宋_GB2312" w:hAnsi="仿宋_GB2312" w:cs="仿宋_GB2312" w:eastAsia="仿宋_GB2312"/>
                      <w:sz w:val="21"/>
                    </w:rPr>
                    <w:t>用react+mobx生态构建</w:t>
                  </w:r>
                  <w:r>
                    <w:rPr>
                      <w:rFonts w:ascii="仿宋_GB2312" w:hAnsi="仿宋_GB2312" w:cs="仿宋_GB2312" w:eastAsia="仿宋_GB2312"/>
                      <w:sz w:val="21"/>
                    </w:rPr>
                    <w:t>，后</w:t>
                  </w:r>
                  <w:r>
                    <w:rPr>
                      <w:rFonts w:ascii="仿宋_GB2312" w:hAnsi="仿宋_GB2312" w:cs="仿宋_GB2312" w:eastAsia="仿宋_GB2312"/>
                      <w:sz w:val="21"/>
                    </w:rPr>
                    <w:t>端采用java生态</w:t>
                  </w:r>
                  <w:r>
                    <w:rPr>
                      <w:rFonts w:ascii="仿宋_GB2312" w:hAnsi="仿宋_GB2312" w:cs="仿宋_GB2312" w:eastAsia="仿宋_GB2312"/>
                      <w:sz w:val="21"/>
                    </w:rPr>
                    <w:t>构建，具备成熟可用的前后端基础组件与业务组件，能够通过成熟平台+丰富应用的方式，支持迭代开发；应用数据库空间解耦合，缓存框架提高性能。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OA系统需支持基于B/S架构，支持主流浏览器兼容适配。支持</w:t>
                  </w:r>
                  <w:r>
                    <w:rPr>
                      <w:rFonts w:ascii="仿宋_GB2312" w:hAnsi="仿宋_GB2312" w:cs="仿宋_GB2312" w:eastAsia="仿宋_GB2312"/>
                      <w:sz w:val="21"/>
                    </w:rPr>
                    <w:t>IE（IE10/11 ）</w:t>
                  </w:r>
                  <w:r>
                    <w:rPr>
                      <w:rFonts w:ascii="仿宋_GB2312" w:hAnsi="仿宋_GB2312" w:cs="仿宋_GB2312" w:eastAsia="仿宋_GB2312"/>
                      <w:sz w:val="21"/>
                    </w:rPr>
                    <w:t>、Edge、Firefox4以上版本、Chrome12以上版本、Safari4以上版本、(MAC系统)、360浏览器(极速、安全)、统信、红莲花浏览器等。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系统应用应支持多终端应用场景，至少应包含Web网页端及移动端（支持安卓和IOS系统，支持PAD和手机）。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系统源码需简洁规范易读，各模块之间耦合度较低，便于二次开发，提供云开发平台、开发文档及代码示例等，支持数据建模、代码检测、代码合并等。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系统提供低代码平台，通过可视化配置拖拽生成应用，无需代码。</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平台需要有无侵入式开发能力，二次开发不影响升级。</w:t>
                  </w:r>
                </w:p>
                <w:p>
                  <w:pPr>
                    <w:pStyle w:val="null3"/>
                    <w:spacing w:after="120"/>
                    <w:jc w:val="both"/>
                  </w:pPr>
                  <w:r>
                    <w:rPr>
                      <w:rFonts w:ascii="仿宋_GB2312" w:hAnsi="仿宋_GB2312" w:cs="仿宋_GB2312" w:eastAsia="仿宋_GB2312"/>
                      <w:sz w:val="21"/>
                    </w:rPr>
                    <w:t>8.</w:t>
                  </w:r>
                  <w:r>
                    <w:rPr>
                      <w:rFonts w:ascii="仿宋_GB2312" w:hAnsi="仿宋_GB2312" w:cs="仿宋_GB2312" w:eastAsia="仿宋_GB2312"/>
                      <w:sz w:val="21"/>
                    </w:rPr>
                    <w:t>能够提供独立的ESB集成总线，支持快速与现有业务系统、未来上线的业务系统外部系统进行集成对接，包括组织架构集成、单点登录集成、数据集成、报表集成等。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需基于ESB架构的集成设计，能够提供Webservice、Rest等多种接口模式，能够提供配置化的应用服务注册、事件管理、接口管理、资源管理功能；能够方便地与将多个业务系统或者流程通过集成平台进行融合，无需过多开发和调试。</w:t>
                  </w:r>
                </w:p>
                <w:p>
                  <w:pPr>
                    <w:pStyle w:val="null3"/>
                  </w:pPr>
                  <w:r>
                    <w:rPr>
                      <w:rFonts w:ascii="仿宋_GB2312" w:hAnsi="仿宋_GB2312" w:cs="仿宋_GB2312" w:eastAsia="仿宋_GB2312"/>
                      <w:sz w:val="19"/>
                    </w:rPr>
                    <w:t>10.支持遵循CAS协议的移动端应用可以免登录直接访问。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三、非功能性要求</w:t>
                  </w:r>
                </w:p>
                <w:tbl>
                  <w:tblPr>
                    <w:tblBorders>
                      <w:top w:val="none" w:color="000000" w:sz="4"/>
                      <w:left w:val="none" w:color="000000" w:sz="4"/>
                      <w:bottom w:val="none" w:color="000000" w:sz="4"/>
                      <w:right w:val="none" w:color="000000" w:sz="4"/>
                      <w:insideH w:val="none"/>
                      <w:insideV w:val="none"/>
                    </w:tblBorders>
                  </w:tblPr>
                  <w:tblGrid>
                    <w:gridCol w:w="295"/>
                    <w:gridCol w:w="2042"/>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★产品成熟度</w:t>
                        </w:r>
                      </w:p>
                    </w:tc>
                    <w:tc>
                      <w:tcPr>
                        <w:tcW w:type="dxa" w:w="2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投标人所投产品必须为成熟产品，具有独立的软件著作权。</w:t>
                        </w:r>
                      </w:p>
                      <w:p>
                        <w:pPr>
                          <w:pStyle w:val="null3"/>
                          <w:jc w:val="left"/>
                        </w:pPr>
                        <w:r>
                          <w:rPr>
                            <w:rFonts w:ascii="仿宋_GB2312" w:hAnsi="仿宋_GB2312" w:cs="仿宋_GB2312" w:eastAsia="仿宋_GB2312"/>
                            <w:sz w:val="21"/>
                            <w:color w:val="000000"/>
                          </w:rPr>
                          <w:t>若产品为代理产品则需</w:t>
                        </w:r>
                        <w:r>
                          <w:rPr>
                            <w:rFonts w:ascii="仿宋_GB2312" w:hAnsi="仿宋_GB2312" w:cs="仿宋_GB2312" w:eastAsia="仿宋_GB2312"/>
                            <w:sz w:val="21"/>
                            <w:color w:val="000000"/>
                          </w:rPr>
                          <w:t>提供原厂著作权或原厂</w:t>
                        </w:r>
                        <w:r>
                          <w:rPr>
                            <w:rFonts w:ascii="仿宋_GB2312" w:hAnsi="仿宋_GB2312" w:cs="仿宋_GB2312" w:eastAsia="仿宋_GB2312"/>
                            <w:sz w:val="21"/>
                          </w:rPr>
                          <w:t>CMMI证书。</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★源代码</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系统源码需简洁规范易读，各模块之间耦合度较低，便于二次开发。所有二次开发源代码的知识产权归买方所有。</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门户引擎</w:t>
                        </w:r>
                      </w:p>
                      <w:p>
                        <w:pPr>
                          <w:pStyle w:val="null3"/>
                          <w:jc w:val="center"/>
                        </w:pP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灵活建立门户，并可自定义门户页的风格、结构和内容，可根据集团组织架构体系分级别设置权限，即支持今后多下属单位、多组织、多人员、多岗位、多级别、多维度的矩阵式管理模式，针对文件、信息、通知、申请单等系统中的元素提供权限设置，实现</w:t>
                        </w:r>
                        <w:r>
                          <w:rPr>
                            <w:rFonts w:ascii="仿宋_GB2312" w:hAnsi="仿宋_GB2312" w:cs="仿宋_GB2312" w:eastAsia="仿宋_GB2312"/>
                            <w:sz w:val="21"/>
                            <w:color w:val="000000"/>
                          </w:rPr>
                          <w:t>学校</w:t>
                        </w:r>
                        <w:r>
                          <w:rPr>
                            <w:rFonts w:ascii="仿宋_GB2312" w:hAnsi="仿宋_GB2312" w:cs="仿宋_GB2312" w:eastAsia="仿宋_GB2312"/>
                            <w:sz w:val="21"/>
                            <w:color w:val="000000"/>
                          </w:rPr>
                          <w:t>对权限控制的灵活要求及全方位的权限控制。实现各</w:t>
                        </w:r>
                        <w:r>
                          <w:rPr>
                            <w:rFonts w:ascii="仿宋_GB2312" w:hAnsi="仿宋_GB2312" w:cs="仿宋_GB2312" w:eastAsia="仿宋_GB2312"/>
                            <w:sz w:val="21"/>
                            <w:color w:val="000000"/>
                          </w:rPr>
                          <w:t>下级单位</w:t>
                        </w:r>
                        <w:r>
                          <w:rPr>
                            <w:rFonts w:ascii="仿宋_GB2312" w:hAnsi="仿宋_GB2312" w:cs="仿宋_GB2312" w:eastAsia="仿宋_GB2312"/>
                            <w:sz w:val="21"/>
                            <w:color w:val="000000"/>
                          </w:rPr>
                          <w:t>之间的逻辑隔离，不同</w:t>
                        </w:r>
                        <w:r>
                          <w:rPr>
                            <w:rFonts w:ascii="仿宋_GB2312" w:hAnsi="仿宋_GB2312" w:cs="仿宋_GB2312" w:eastAsia="仿宋_GB2312"/>
                            <w:sz w:val="21"/>
                            <w:color w:val="000000"/>
                          </w:rPr>
                          <w:t>单位</w:t>
                        </w:r>
                        <w:r>
                          <w:rPr>
                            <w:rFonts w:ascii="仿宋_GB2312" w:hAnsi="仿宋_GB2312" w:cs="仿宋_GB2312" w:eastAsia="仿宋_GB2312"/>
                            <w:sz w:val="21"/>
                            <w:color w:val="000000"/>
                          </w:rPr>
                          <w:t>的人员登录自己的账号，只能看到自己被授权看到的内容，可以实现跨单位、跨级别审批，提供足够的灵活度满足组织架构及人员调整的实际情况；</w:t>
                        </w:r>
                      </w:p>
                      <w:p>
                        <w:pPr>
                          <w:pStyle w:val="null3"/>
                          <w:jc w:val="left"/>
                        </w:pPr>
                        <w:r>
                          <w:rPr>
                            <w:rFonts w:ascii="仿宋_GB2312" w:hAnsi="仿宋_GB2312" w:cs="仿宋_GB2312" w:eastAsia="仿宋_GB2312"/>
                            <w:sz w:val="21"/>
                            <w:color w:val="000000"/>
                          </w:rPr>
                          <w:t>2.门户界面设置：可以自由设计、定制门户界面，包括界面内容与界面布局以及风格；</w:t>
                        </w:r>
                      </w:p>
                      <w:p>
                        <w:pPr>
                          <w:pStyle w:val="null3"/>
                          <w:jc w:val="left"/>
                        </w:pPr>
                        <w:r>
                          <w:rPr>
                            <w:rFonts w:ascii="仿宋_GB2312" w:hAnsi="仿宋_GB2312" w:cs="仿宋_GB2312" w:eastAsia="仿宋_GB2312"/>
                            <w:sz w:val="21"/>
                            <w:color w:val="000000"/>
                          </w:rPr>
                          <w:t>3.个人工作台界面设置：系统可以为系统管理员和用户按自己的需要和使用习惯，自主定制界面，用户可定制个人门户选择自己常用的功能、常看的信息、个性化布局等；</w:t>
                        </w:r>
                      </w:p>
                      <w:p>
                        <w:pPr>
                          <w:pStyle w:val="null3"/>
                          <w:jc w:val="left"/>
                        </w:pPr>
                        <w:r>
                          <w:rPr>
                            <w:rFonts w:ascii="仿宋_GB2312" w:hAnsi="仿宋_GB2312" w:cs="仿宋_GB2312" w:eastAsia="仿宋_GB2312"/>
                            <w:sz w:val="21"/>
                            <w:color w:val="000000"/>
                          </w:rPr>
                          <w:t>4.多级门户界面设计：可以根据不同需求设定不同的内部门户，如学校门户、部门门户、领导门户，个人办公门户等不同用户通过岗位权限获取门户个性化的信息，支持通过WEB浏览器、移动设备等方式登录信息门户</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5.功能模块自由组合，用户可以进行个人需要，进行模块之间的自由组合；</w:t>
                        </w:r>
                      </w:p>
                      <w:p>
                        <w:pPr>
                          <w:pStyle w:val="null3"/>
                          <w:jc w:val="left"/>
                        </w:pPr>
                        <w:r>
                          <w:rPr>
                            <w:rFonts w:ascii="仿宋_GB2312" w:hAnsi="仿宋_GB2312" w:cs="仿宋_GB2312" w:eastAsia="仿宋_GB2312"/>
                            <w:sz w:val="21"/>
                            <w:color w:val="000000"/>
                          </w:rPr>
                          <w:t>6.能够实现信息的发布功能，包括新闻</w:t>
                        </w:r>
                        <w:r>
                          <w:rPr>
                            <w:rFonts w:ascii="仿宋_GB2312" w:hAnsi="仿宋_GB2312" w:cs="仿宋_GB2312" w:eastAsia="仿宋_GB2312"/>
                            <w:sz w:val="21"/>
                            <w:color w:val="000000"/>
                          </w:rPr>
                          <w:t>动态</w:t>
                        </w:r>
                        <w:r>
                          <w:rPr>
                            <w:rFonts w:ascii="仿宋_GB2312" w:hAnsi="仿宋_GB2312" w:cs="仿宋_GB2312" w:eastAsia="仿宋_GB2312"/>
                            <w:sz w:val="21"/>
                            <w:color w:val="000000"/>
                          </w:rPr>
                          <w:t>、通知公告、</w:t>
                        </w:r>
                        <w:r>
                          <w:rPr>
                            <w:rFonts w:ascii="仿宋_GB2312" w:hAnsi="仿宋_GB2312" w:cs="仿宋_GB2312" w:eastAsia="仿宋_GB2312"/>
                            <w:sz w:val="21"/>
                            <w:color w:val="000000"/>
                          </w:rPr>
                          <w:t>资料下载、</w:t>
                        </w:r>
                        <w:r>
                          <w:rPr>
                            <w:rFonts w:ascii="仿宋_GB2312" w:hAnsi="仿宋_GB2312" w:cs="仿宋_GB2312" w:eastAsia="仿宋_GB2312"/>
                            <w:sz w:val="21"/>
                            <w:color w:val="000000"/>
                          </w:rPr>
                          <w:t>系统信息等的信息发布和查看</w:t>
                        </w:r>
                        <w:r>
                          <w:rPr>
                            <w:rFonts w:ascii="仿宋_GB2312" w:hAnsi="仿宋_GB2312" w:cs="仿宋_GB2312" w:eastAsia="仿宋_GB2312"/>
                            <w:sz w:val="21"/>
                            <w:color w:val="000000"/>
                          </w:rPr>
                          <w:t>，</w:t>
                        </w:r>
                        <w:r>
                          <w:rPr>
                            <w:rFonts w:ascii="仿宋_GB2312" w:hAnsi="仿宋_GB2312" w:cs="仿宋_GB2312" w:eastAsia="仿宋_GB2312"/>
                            <w:sz w:val="21"/>
                            <w:color w:val="000000"/>
                          </w:rPr>
                          <w:t>有严格的权限控制，如通知公告、系统信息的发布、查看可指定发布人和发布范围。</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互动交流模块：用户可发送主题交流贴，并有严格的权限控制，可指定发布范围。</w:t>
                        </w:r>
                      </w:p>
                      <w:p>
                        <w:pPr>
                          <w:pStyle w:val="null3"/>
                          <w:jc w:val="both"/>
                        </w:pPr>
                        <w:r>
                          <w:rPr>
                            <w:rFonts w:ascii="仿宋_GB2312" w:hAnsi="仿宋_GB2312" w:cs="仿宋_GB2312" w:eastAsia="仿宋_GB2312"/>
                            <w:sz w:val="21"/>
                            <w:color w:val="000000"/>
                          </w:rPr>
                          <w:t>8.问卷投票模块：对指定用户或用户组发起问卷或投票，可设定处理时限，任务提醒，并支持数据统计分析功能。</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.用户识别：用户登录系统时，系统可以在鉴别访问者的用户角色后，自动根据规则和权限设置推送、展示相应的信息和待办工作提醒；</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.单点登录：通过portal实现统一登录、功能集成，用户使用同一用户名、密码便可访问各系统；</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.报表图形化展现平台：系统能够通过决策支持门户以图形化报表方式实时展现关键信息和数据报表，包括公文流转统计数据、流程数据统计、系统信息等，提供决策支持。</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同时需要在门户上提供访问统计分析，点击率等体现门户使用状态的功能，监控门户的健康情况。</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.移动门户：自定义移动门户。</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表单引擎</w:t>
                        </w:r>
                      </w:p>
                      <w:p>
                        <w:pPr>
                          <w:pStyle w:val="null3"/>
                          <w:jc w:val="center"/>
                        </w:pP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1.支持表格导入生成表单，可以直接生成控件及样式，包括下拉菜单、明细表等。</w:t>
                        </w:r>
                      </w:p>
                      <w:p>
                        <w:pPr>
                          <w:pStyle w:val="null3"/>
                          <w:jc w:val="left"/>
                        </w:pPr>
                        <w:r>
                          <w:rPr>
                            <w:rFonts w:ascii="仿宋_GB2312" w:hAnsi="仿宋_GB2312" w:cs="仿宋_GB2312" w:eastAsia="仿宋_GB2312"/>
                            <w:sz w:val="21"/>
                            <w:color w:val="000000"/>
                          </w:rPr>
                          <w:t>2.可实现权限区段控制、前后端值计算，并可以完成与异构系统的数据交互。</w:t>
                        </w:r>
                      </w:p>
                      <w:p>
                        <w:pPr>
                          <w:pStyle w:val="null3"/>
                          <w:jc w:val="left"/>
                        </w:pPr>
                        <w:r>
                          <w:rPr>
                            <w:rFonts w:ascii="仿宋_GB2312" w:hAnsi="仿宋_GB2312" w:cs="仿宋_GB2312" w:eastAsia="仿宋_GB2312"/>
                            <w:sz w:val="21"/>
                            <w:color w:val="000000"/>
                          </w:rPr>
                          <w:t>3.多表单管理，由多个单表单组合而成。可通过流程节点属性中的“对应表单”绑定不同的表单内容，每个表单决定了每个节点用户可以看到哪些字段，可以对哪些字段进行操作。</w:t>
                        </w:r>
                      </w:p>
                      <w:p>
                        <w:pPr>
                          <w:pStyle w:val="null3"/>
                          <w:jc w:val="left"/>
                        </w:pPr>
                        <w:r>
                          <w:rPr>
                            <w:rFonts w:ascii="仿宋_GB2312" w:hAnsi="仿宋_GB2312" w:cs="仿宋_GB2312" w:eastAsia="仿宋_GB2312"/>
                            <w:sz w:val="21"/>
                            <w:color w:val="000000"/>
                          </w:rPr>
                          <w:t>4.可以控制到表单字段的权限可以配置到一个区域范围中的表单字段的查看、编辑、隐藏等权限。授权用户可以直接从组织架构中指定，或直接通过流程节点指定。</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流程引擎</w:t>
                        </w:r>
                      </w:p>
                      <w:p>
                        <w:pPr>
                          <w:pStyle w:val="null3"/>
                          <w:jc w:val="center"/>
                        </w:pP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1.图形化流程设计：系统要求提供图形化流程设计功能，可以拖拽的图形化界面方式实现流程的定制和编辑，同时要求流程的定制与组织架构无缝结合，在流程图定制操作上要求具有较强的可用性和便利性；</w:t>
                        </w:r>
                      </w:p>
                      <w:p>
                        <w:pPr>
                          <w:pStyle w:val="null3"/>
                          <w:jc w:val="left"/>
                        </w:pPr>
                        <w:r>
                          <w:rPr>
                            <w:rFonts w:ascii="仿宋_GB2312" w:hAnsi="仿宋_GB2312" w:cs="仿宋_GB2312" w:eastAsia="仿宋_GB2312"/>
                            <w:sz w:val="21"/>
                            <w:color w:val="000000"/>
                          </w:rPr>
                          <w:t>2.支持表格导入功能，将表格中的表单和流程审批规则，识别成系统中的流程表单和流程审批路径；</w:t>
                        </w:r>
                      </w:p>
                      <w:p>
                        <w:pPr>
                          <w:pStyle w:val="null3"/>
                          <w:jc w:val="left"/>
                        </w:pPr>
                        <w:r>
                          <w:rPr>
                            <w:rFonts w:ascii="仿宋_GB2312" w:hAnsi="仿宋_GB2312" w:cs="仿宋_GB2312" w:eastAsia="仿宋_GB2312"/>
                            <w:sz w:val="21"/>
                            <w:color w:val="000000"/>
                          </w:rPr>
                          <w:t>3.可以根据需求任意定义流程审批的各种操作，如同意、退回、自由加签、转发、抄送、转办、意见征询等；</w:t>
                        </w:r>
                      </w:p>
                      <w:p>
                        <w:pPr>
                          <w:pStyle w:val="null3"/>
                          <w:jc w:val="left"/>
                        </w:pPr>
                        <w:r>
                          <w:rPr>
                            <w:rFonts w:ascii="仿宋_GB2312" w:hAnsi="仿宋_GB2312" w:cs="仿宋_GB2312" w:eastAsia="仿宋_GB2312"/>
                            <w:sz w:val="21"/>
                            <w:color w:val="000000"/>
                          </w:rPr>
                          <w:t>4.流程权限设置灵活，可以控制不同人具有不同的流程发起权限和审批权限，可以控制到字段级权限，不同的人看到的流程的表单信息不同，同时，浏览、搜索、下载附件、打印权限灵活设定；</w:t>
                        </w:r>
                      </w:p>
                      <w:p>
                        <w:pPr>
                          <w:pStyle w:val="null3"/>
                          <w:jc w:val="left"/>
                        </w:pPr>
                        <w:r>
                          <w:rPr>
                            <w:rFonts w:ascii="仿宋_GB2312" w:hAnsi="仿宋_GB2312" w:cs="仿宋_GB2312" w:eastAsia="仿宋_GB2312"/>
                            <w:sz w:val="21"/>
                            <w:color w:val="000000"/>
                          </w:rPr>
                          <w:t>5.提供流程审批超时提醒，审批通过提醒，退回提醒等功能，提醒方式包括流程提醒、邮件提醒、短信提醒、即时消息提醒等多种提醒方式；</w:t>
                        </w:r>
                      </w:p>
                      <w:p>
                        <w:pPr>
                          <w:pStyle w:val="null3"/>
                          <w:jc w:val="left"/>
                        </w:pPr>
                        <w:r>
                          <w:rPr>
                            <w:rFonts w:ascii="仿宋_GB2312" w:hAnsi="仿宋_GB2312" w:cs="仿宋_GB2312" w:eastAsia="仿宋_GB2312"/>
                            <w:sz w:val="21"/>
                            <w:color w:val="000000"/>
                          </w:rPr>
                          <w:t>6.流程支持多版本，不会因为流程版本的更新导致原流程中的申请单出现问题；</w:t>
                        </w:r>
                      </w:p>
                      <w:p>
                        <w:pPr>
                          <w:pStyle w:val="null3"/>
                          <w:jc w:val="left"/>
                        </w:pPr>
                        <w:r>
                          <w:rPr>
                            <w:rFonts w:ascii="仿宋_GB2312" w:hAnsi="仿宋_GB2312" w:cs="仿宋_GB2312" w:eastAsia="仿宋_GB2312"/>
                            <w:sz w:val="21"/>
                            <w:color w:val="000000"/>
                          </w:rPr>
                          <w:t>7.流程支持跨组织的审批功能；</w:t>
                        </w:r>
                      </w:p>
                      <w:p>
                        <w:pPr>
                          <w:pStyle w:val="null3"/>
                          <w:jc w:val="left"/>
                        </w:pPr>
                        <w:r>
                          <w:rPr>
                            <w:rFonts w:ascii="仿宋_GB2312" w:hAnsi="仿宋_GB2312" w:cs="仿宋_GB2312" w:eastAsia="仿宋_GB2312"/>
                            <w:sz w:val="21"/>
                            <w:color w:val="000000"/>
                          </w:rPr>
                          <w:t>8.各个流程发起、审批、审批提醒、驳回提醒数据报表，必须可在移动终端操作；</w:t>
                        </w:r>
                      </w:p>
                      <w:p>
                        <w:pPr>
                          <w:pStyle w:val="null3"/>
                          <w:jc w:val="left"/>
                        </w:pPr>
                        <w:r>
                          <w:rPr>
                            <w:rFonts w:ascii="仿宋_GB2312" w:hAnsi="仿宋_GB2312" w:cs="仿宋_GB2312" w:eastAsia="仿宋_GB2312"/>
                            <w:sz w:val="21"/>
                            <w:color w:val="000000"/>
                          </w:rPr>
                          <w:t>9.报表需要按照不同职能部门做权限配置了浏览；</w:t>
                        </w:r>
                      </w:p>
                      <w:p>
                        <w:pPr>
                          <w:pStyle w:val="null3"/>
                          <w:jc w:val="left"/>
                        </w:pPr>
                        <w:r>
                          <w:rPr>
                            <w:rFonts w:ascii="仿宋_GB2312" w:hAnsi="仿宋_GB2312" w:cs="仿宋_GB2312" w:eastAsia="仿宋_GB2312"/>
                            <w:sz w:val="21"/>
                            <w:color w:val="000000"/>
                          </w:rPr>
                          <w:t>10.可以实现跨单据勾连；</w:t>
                        </w:r>
                      </w:p>
                      <w:p>
                        <w:pPr>
                          <w:pStyle w:val="null3"/>
                          <w:jc w:val="left"/>
                        </w:pPr>
                        <w:r>
                          <w:rPr>
                            <w:rFonts w:ascii="仿宋_GB2312" w:hAnsi="仿宋_GB2312" w:cs="仿宋_GB2312" w:eastAsia="仿宋_GB2312"/>
                            <w:sz w:val="21"/>
                            <w:color w:val="000000"/>
                          </w:rPr>
                          <w:t>11.可以实现流程的数据协同；</w:t>
                        </w:r>
                      </w:p>
                      <w:p>
                        <w:pPr>
                          <w:pStyle w:val="null3"/>
                          <w:jc w:val="left"/>
                        </w:pPr>
                        <w:r>
                          <w:rPr>
                            <w:rFonts w:ascii="仿宋_GB2312" w:hAnsi="仿宋_GB2312" w:cs="仿宋_GB2312" w:eastAsia="仿宋_GB2312"/>
                            <w:sz w:val="21"/>
                            <w:color w:val="000000"/>
                          </w:rPr>
                          <w:t>12.可以随时监控流程的流转情况，针对一些流程异常情况需提供提醒，便于流程负责人及时干预；</w:t>
                        </w:r>
                      </w:p>
                      <w:p>
                        <w:pPr>
                          <w:pStyle w:val="null3"/>
                          <w:jc w:val="left"/>
                        </w:pPr>
                        <w:r>
                          <w:rPr>
                            <w:rFonts w:ascii="仿宋_GB2312" w:hAnsi="仿宋_GB2312" w:cs="仿宋_GB2312" w:eastAsia="仿宋_GB2312"/>
                            <w:sz w:val="21"/>
                            <w:color w:val="000000"/>
                          </w:rPr>
                          <w:t>13.提供根据不同流程设置不同代理人功能，流程代理需要支持时间段设置；</w:t>
                        </w:r>
                      </w:p>
                      <w:p>
                        <w:pPr>
                          <w:pStyle w:val="null3"/>
                          <w:jc w:val="left"/>
                        </w:pPr>
                        <w:r>
                          <w:rPr>
                            <w:rFonts w:ascii="仿宋_GB2312" w:hAnsi="仿宋_GB2312" w:cs="仿宋_GB2312" w:eastAsia="仿宋_GB2312"/>
                            <w:sz w:val="21"/>
                            <w:color w:val="000000"/>
                          </w:rPr>
                          <w:t>14.流程自动触发：可以根据设定时间、根据事件（如新建文档、系统流程审批等）自动触发启动工作流；</w:t>
                        </w:r>
                      </w:p>
                      <w:p>
                        <w:pPr>
                          <w:pStyle w:val="null3"/>
                          <w:jc w:val="left"/>
                        </w:pPr>
                        <w:r>
                          <w:rPr>
                            <w:rFonts w:ascii="仿宋_GB2312" w:hAnsi="仿宋_GB2312" w:cs="仿宋_GB2312" w:eastAsia="仿宋_GB2312"/>
                            <w:sz w:val="21"/>
                            <w:color w:val="000000"/>
                          </w:rPr>
                          <w:t>15.工作流效率分析统计：对流程各环节的执行时间、审批记录、工作流的回退等信息进行统计分析，以图形化方式展现流程效率报表，用于分析影响流程执行的瓶颈。</w:t>
                        </w:r>
                      </w:p>
                      <w:p>
                        <w:pPr>
                          <w:pStyle w:val="null3"/>
                          <w:jc w:val="left"/>
                        </w:pPr>
                        <w:r>
                          <w:rPr>
                            <w:rFonts w:ascii="仿宋_GB2312" w:hAnsi="仿宋_GB2312" w:cs="仿宋_GB2312" w:eastAsia="仿宋_GB2312"/>
                            <w:sz w:val="21"/>
                            <w:color w:val="000000"/>
                          </w:rPr>
                          <w:t>16.提供标准流程发起及审批接口，可与业务财务系统集成，提供待办清单接口，提供自动创建申请单接口，并可在审批操作后自动调用业务财务系统提供的标准接口，通知业务财务系统进行相应的业务操作；</w:t>
                        </w:r>
                      </w:p>
                      <w:p>
                        <w:pPr>
                          <w:pStyle w:val="null3"/>
                          <w:jc w:val="left"/>
                        </w:pPr>
                        <w:r>
                          <w:rPr>
                            <w:rFonts w:ascii="仿宋_GB2312" w:hAnsi="仿宋_GB2312" w:cs="仿宋_GB2312" w:eastAsia="仿宋_GB2312"/>
                            <w:sz w:val="21"/>
                            <w:color w:val="000000"/>
                          </w:rPr>
                          <w:t>17.提供与文档或信息的关联功能，即在填写、查看或者审批申请单时，关联到此申请单相关的审批事项、规章制度等参考文档或参考信息，帮助操作人员进一步了解详细信息；</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组织管理</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支持多组织管理、分层分级管理；支持虚拟组织，同一人在多个虚拟组织；支持一人多岗，人员离职或岗位变动时可以使用工作交接。</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接口管理</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数据接口需支持应用软件开发领域主流接口标准和规范，通用性强、安全性好及易于管理。服务器端存储的数据支持加密处理，保障数据存储安全。</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兼容性</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需采用或借鉴成熟的HTML5、单页化等前端技术，在美化操作界面的同时，提升用户实际操作体验。系统所有前端应用操作需兼容主流浏览器。</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响应速度</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系统应用操作响应速度快，在现有网络带宽下，普通用户响应时间不超过3秒，管理员用户响应时间不超过2秒，系统可靠性达到99.9%，无公开安全漏洞。</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集成及扩展性</w:t>
                        </w: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具备集成和扩展能力，提供常用接口，可视化配置的方式，能快速实现外部系统单点、数据、流程集成，开放产品模块源码，提供成熟的集成组件。</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★安全性</w:t>
                        </w:r>
                      </w:p>
                      <w:p>
                        <w:pPr>
                          <w:pStyle w:val="null3"/>
                          <w:jc w:val="center"/>
                        </w:pPr>
                      </w:p>
                    </w:tc>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产品符合网络安全等级保护</w:t>
                        </w:r>
                        <w:r>
                          <w:rPr>
                            <w:rFonts w:ascii="仿宋_GB2312" w:hAnsi="仿宋_GB2312" w:cs="仿宋_GB2312" w:eastAsia="仿宋_GB2312"/>
                            <w:sz w:val="21"/>
                            <w:color w:val="000000"/>
                          </w:rPr>
                          <w:t>2.0</w:t>
                        </w:r>
                        <w:r>
                          <w:rPr>
                            <w:rFonts w:ascii="仿宋_GB2312" w:hAnsi="仿宋_GB2312" w:cs="仿宋_GB2312" w:eastAsia="仿宋_GB2312"/>
                            <w:sz w:val="21"/>
                            <w:color w:val="000000"/>
                          </w:rPr>
                          <w:t>要求，底层支持三员管理模式，即系统管理员、安全管理员、审计管理员三员分立，避免单个管理员权限过大；服务器端存储的数据支持加密处理，保障数据存储安全；要用户的密码在存储时进行加密，保证密码不会外泄；系统能提供账户密码的更换周期控制；密码强弱度的校验等措施，有效保证用户密码的安全使用。</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四、商务要求</w:t>
                  </w:r>
                </w:p>
                <w:p>
                  <w:pPr>
                    <w:pStyle w:val="null3"/>
                    <w:spacing w:after="120"/>
                    <w:jc w:val="both"/>
                  </w:pPr>
                  <w:r>
                    <w:rPr>
                      <w:rFonts w:ascii="仿宋_GB2312" w:hAnsi="仿宋_GB2312" w:cs="仿宋_GB2312" w:eastAsia="仿宋_GB2312"/>
                      <w:sz w:val="21"/>
                      <w:color w:val="000000"/>
                    </w:rPr>
                    <w:t>1.服务期限及服务地点：</w:t>
                  </w:r>
                </w:p>
                <w:p>
                  <w:pPr>
                    <w:pStyle w:val="null3"/>
                    <w:spacing w:after="120"/>
                    <w:jc w:val="both"/>
                  </w:pPr>
                  <w:r>
                    <w:rPr>
                      <w:rFonts w:ascii="仿宋_GB2312" w:hAnsi="仿宋_GB2312" w:cs="仿宋_GB2312" w:eastAsia="仿宋_GB2312"/>
                      <w:sz w:val="21"/>
                      <w:color w:val="000000"/>
                    </w:rPr>
                    <w:t>（1）服务期限：合同签订之日起100个日历日内</w:t>
                  </w:r>
                  <w:r>
                    <w:rPr>
                      <w:rFonts w:ascii="仿宋_GB2312" w:hAnsi="仿宋_GB2312" w:cs="仿宋_GB2312" w:eastAsia="仿宋_GB2312"/>
                      <w:sz w:val="21"/>
                      <w:color w:val="000000"/>
                    </w:rPr>
                    <w:t>（不含学校假期）</w:t>
                  </w:r>
                  <w:r>
                    <w:rPr>
                      <w:rFonts w:ascii="仿宋_GB2312" w:hAnsi="仿宋_GB2312" w:cs="仿宋_GB2312" w:eastAsia="仿宋_GB2312"/>
                      <w:sz w:val="21"/>
                      <w:color w:val="000000"/>
                    </w:rPr>
                    <w:t>完成全部服务内容；</w:t>
                  </w:r>
                </w:p>
                <w:p>
                  <w:pPr>
                    <w:pStyle w:val="null3"/>
                    <w:spacing w:after="120"/>
                    <w:jc w:val="both"/>
                  </w:pPr>
                  <w:r>
                    <w:rPr>
                      <w:rFonts w:ascii="仿宋_GB2312" w:hAnsi="仿宋_GB2312" w:cs="仿宋_GB2312" w:eastAsia="仿宋_GB2312"/>
                      <w:sz w:val="21"/>
                      <w:color w:val="000000"/>
                    </w:rPr>
                    <w:t>（2）服务地点：西安文理学院指定地点；</w:t>
                  </w:r>
                </w:p>
                <w:p>
                  <w:pPr>
                    <w:pStyle w:val="null3"/>
                    <w:spacing w:after="1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：验收合格通过之日起</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w:t>
                  </w:r>
                </w:p>
                <w:p>
                  <w:pPr>
                    <w:pStyle w:val="null3"/>
                    <w:spacing w:after="120"/>
                    <w:jc w:val="both"/>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：在质保期内，</w:t>
                  </w:r>
                  <w:r>
                    <w:rPr>
                      <w:rFonts w:ascii="仿宋_GB2312" w:hAnsi="仿宋_GB2312" w:cs="仿宋_GB2312" w:eastAsia="仿宋_GB2312"/>
                      <w:sz w:val="21"/>
                      <w:color w:val="000000"/>
                    </w:rPr>
                    <w:t>如采购人需对软件有新的改进、增加新功能或者为适应最新标准所形成的最新版本，成交供应商均应按要求并及时提供给采购人使用，相关费用包含在响应报价中，采购人不再另行支付。</w:t>
                  </w:r>
                </w:p>
                <w:p>
                  <w:pPr>
                    <w:pStyle w:val="null3"/>
                    <w:spacing w:after="1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.售后服务及响应时间（</w:t>
                  </w:r>
                  <w:r>
                    <w:rPr>
                      <w:rFonts w:ascii="仿宋_GB2312" w:hAnsi="仿宋_GB2312" w:cs="仿宋_GB2312" w:eastAsia="仿宋_GB2312"/>
                      <w:sz w:val="21"/>
                      <w:color w:val="000000"/>
                    </w:rPr>
                    <w:t>质保期内）</w:t>
                  </w:r>
                  <w:r>
                    <w:rPr>
                      <w:rFonts w:ascii="仿宋_GB2312" w:hAnsi="仿宋_GB2312" w:cs="仿宋_GB2312" w:eastAsia="仿宋_GB2312"/>
                      <w:sz w:val="21"/>
                      <w:color w:val="000000"/>
                    </w:rPr>
                    <w:t>：供应商须对其提供的产品进行7×24小时技术支持服务、软件维护服务、系统巡检服务及应急服务，并提供与采购人建设的信息系统的免费集成对接服务，须按照采购人要求及时处置本系统相关的网络安全事件或修复网络安全漏洞。发生硬件故障时，电话技术支持响应时间不大于15分钟，技术人员到位时间不大于4小时，同时组建售后维护工作群，以方便解决采购人在使用过程中的各种问题。</w:t>
                  </w:r>
                </w:p>
                <w:p>
                  <w:pPr>
                    <w:pStyle w:val="null3"/>
                    <w:spacing w:after="1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.培训及运维驻场服务要求：</w:t>
                  </w:r>
                </w:p>
                <w:p>
                  <w:pPr>
                    <w:pStyle w:val="null3"/>
                    <w:spacing w:after="120"/>
                    <w:jc w:val="both"/>
                  </w:pPr>
                  <w:r>
                    <w:rPr>
                      <w:rFonts w:ascii="仿宋_GB2312" w:hAnsi="仿宋_GB2312" w:cs="仿宋_GB2312" w:eastAsia="仿宋_GB2312"/>
                      <w:sz w:val="21"/>
                      <w:color w:val="000000"/>
                    </w:rPr>
                    <w:t>培训内容及要求：成交供应商须对采购人进行系统培训，包含：系统所有功能模块应用、管理及常见故障处理等内容，培训服务以受培训人员熟练掌握相应操作技能为原则；在设备投入使用初期进行必要的跟踪指导，保障设备的稳定运行，具体要求如下：</w:t>
                  </w:r>
                </w:p>
                <w:p>
                  <w:pPr>
                    <w:pStyle w:val="null3"/>
                    <w:spacing w:after="120"/>
                    <w:jc w:val="both"/>
                  </w:pPr>
                  <w:r>
                    <w:rPr>
                      <w:rFonts w:ascii="仿宋_GB2312" w:hAnsi="仿宋_GB2312" w:cs="仿宋_GB2312" w:eastAsia="仿宋_GB2312"/>
                      <w:sz w:val="21"/>
                      <w:color w:val="000000"/>
                    </w:rPr>
                    <w:t>（1）成交供应商在系统实施过程中，应对学校教职工及系统管理员进行全方位的知识转移，并使学校具备独立进行项目实施、维护能力。</w:t>
                  </w:r>
                </w:p>
                <w:p>
                  <w:pPr>
                    <w:pStyle w:val="null3"/>
                    <w:spacing w:after="120"/>
                    <w:jc w:val="both"/>
                  </w:pPr>
                  <w:r>
                    <w:rPr>
                      <w:rFonts w:ascii="仿宋_GB2312" w:hAnsi="仿宋_GB2312" w:cs="仿宋_GB2312" w:eastAsia="仿宋_GB2312"/>
                      <w:sz w:val="21"/>
                      <w:color w:val="000000"/>
                    </w:rPr>
                    <w:t>（2）成交供应商应开展分层次的人员培训工作，每次培训后应对参加培训人员进行测试，评估培训成果。培训应具有培训教材、培训环境和高水平的培训讲师。</w:t>
                  </w:r>
                </w:p>
                <w:p>
                  <w:pPr>
                    <w:pStyle w:val="null3"/>
                    <w:spacing w:after="120"/>
                    <w:jc w:val="both"/>
                  </w:pPr>
                  <w:r>
                    <w:rPr>
                      <w:rFonts w:ascii="仿宋_GB2312" w:hAnsi="仿宋_GB2312" w:cs="仿宋_GB2312" w:eastAsia="仿宋_GB2312"/>
                      <w:sz w:val="21"/>
                      <w:color w:val="000000"/>
                    </w:rPr>
                    <w:t>（3）成交供应商应将知识转移贯穿到项目实施的过程当中，并在每个关键节点列出需要进行知识转移的内容，在关键节点审查中，均对知识转移成果进行评估。</w:t>
                  </w:r>
                </w:p>
                <w:p>
                  <w:pPr>
                    <w:pStyle w:val="null3"/>
                    <w:spacing w:after="120"/>
                    <w:jc w:val="both"/>
                  </w:pPr>
                  <w:r>
                    <w:rPr>
                      <w:rFonts w:ascii="仿宋_GB2312" w:hAnsi="仿宋_GB2312" w:cs="仿宋_GB2312" w:eastAsia="仿宋_GB2312"/>
                      <w:sz w:val="21"/>
                      <w:color w:val="000000"/>
                    </w:rPr>
                    <w:t>（4）成交供应商应将培训工作分成应用级培训和系统级培训两种。应用级培训指一般用户的基础操作培训和部门信息管理员的日常应用维护的培训；系统级培训指对系统管理员进行简单的流程开发培训和系统管理培训。</w:t>
                  </w:r>
                </w:p>
                <w:p>
                  <w:pPr>
                    <w:pStyle w:val="null3"/>
                    <w:spacing w:after="120"/>
                    <w:jc w:val="both"/>
                  </w:pPr>
                  <w:r>
                    <w:rPr>
                      <w:rFonts w:ascii="仿宋_GB2312" w:hAnsi="仿宋_GB2312" w:cs="仿宋_GB2312" w:eastAsia="仿宋_GB2312"/>
                      <w:sz w:val="21"/>
                      <w:color w:val="000000"/>
                    </w:rPr>
                    <w:t>（5）成交供应商应提供培训教材及必要的培训设备，保证培训质量。</w:t>
                  </w:r>
                </w:p>
                <w:p>
                  <w:pPr>
                    <w:pStyle w:val="null3"/>
                    <w:spacing w:after="120"/>
                    <w:jc w:val="both"/>
                  </w:pPr>
                  <w:r>
                    <w:rPr>
                      <w:rFonts w:ascii="仿宋_GB2312" w:hAnsi="仿宋_GB2312" w:cs="仿宋_GB2312" w:eastAsia="仿宋_GB2312"/>
                      <w:sz w:val="21"/>
                      <w:color w:val="000000"/>
                    </w:rPr>
                    <w:t>（6）成交供应商对一般用户的培训应达到的要求：能够熟练使用供应商所开发的软件。</w:t>
                  </w:r>
                </w:p>
                <w:p>
                  <w:pPr>
                    <w:pStyle w:val="null3"/>
                    <w:spacing w:after="120"/>
                    <w:jc w:val="both"/>
                  </w:pPr>
                  <w:r>
                    <w:rPr>
                      <w:rFonts w:ascii="仿宋_GB2312" w:hAnsi="仿宋_GB2312" w:cs="仿宋_GB2312" w:eastAsia="仿宋_GB2312"/>
                      <w:sz w:val="21"/>
                      <w:color w:val="000000"/>
                    </w:rPr>
                    <w:t>（7）成交供应商对部门信息系统管理员的培训应达到的要求：可以维护日常应用方面出现的问题。</w:t>
                  </w:r>
                </w:p>
                <w:p>
                  <w:pPr>
                    <w:pStyle w:val="null3"/>
                    <w:spacing w:after="120"/>
                    <w:jc w:val="both"/>
                  </w:pPr>
                  <w:r>
                    <w:rPr>
                      <w:rFonts w:ascii="仿宋_GB2312" w:hAnsi="仿宋_GB2312" w:cs="仿宋_GB2312" w:eastAsia="仿宋_GB2312"/>
                      <w:sz w:val="21"/>
                      <w:color w:val="000000"/>
                    </w:rPr>
                    <w:t>（8）对系统管理员的培训应达到的要求：具有熟练查询各种手册和维护手册的能力；能够对系统级的错误进行初步判断的能力；能够独立安装、调试系统；能够独立进行数据备份与恢复；新增流程的调研、设计、搭建、测试。</w:t>
                  </w:r>
                </w:p>
                <w:p>
                  <w:pPr>
                    <w:pStyle w:val="null3"/>
                    <w:spacing w:after="120"/>
                    <w:jc w:val="both"/>
                  </w:pPr>
                  <w:r>
                    <w:rPr>
                      <w:rFonts w:ascii="仿宋_GB2312" w:hAnsi="仿宋_GB2312" w:cs="仿宋_GB2312" w:eastAsia="仿宋_GB2312"/>
                      <w:sz w:val="21"/>
                      <w:color w:val="000000"/>
                    </w:rPr>
                    <w:t>（9）成交供应商须列出详细的培训计划（包括培训方式、时间、课程内容、人数、地点、质量保证等）相关条款进行阐述，并提供培训资料。</w:t>
                  </w:r>
                </w:p>
                <w:p>
                  <w:pPr>
                    <w:pStyle w:val="null3"/>
                    <w:spacing w:after="1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.验收要求及验收标准（满足使用、运行稳定性、使用安全性、应急服务等）</w:t>
                  </w:r>
                </w:p>
                <w:p>
                  <w:pPr>
                    <w:pStyle w:val="null3"/>
                    <w:spacing w:after="1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验收</w:t>
                  </w:r>
                  <w:r>
                    <w:rPr>
                      <w:rFonts w:ascii="仿宋_GB2312" w:hAnsi="仿宋_GB2312" w:cs="仿宋_GB2312" w:eastAsia="仿宋_GB2312"/>
                      <w:sz w:val="21"/>
                      <w:color w:val="000000"/>
                    </w:rPr>
                    <w:t>为1次验收</w:t>
                  </w:r>
                  <w:r>
                    <w:rPr>
                      <w:rFonts w:ascii="仿宋_GB2312" w:hAnsi="仿宋_GB2312" w:cs="仿宋_GB2312" w:eastAsia="仿宋_GB2312"/>
                      <w:sz w:val="21"/>
                      <w:color w:val="000000"/>
                    </w:rPr>
                    <w:t>。</w:t>
                  </w:r>
                </w:p>
                <w:p>
                  <w:pPr>
                    <w:pStyle w:val="null3"/>
                    <w:spacing w:after="120"/>
                    <w:jc w:val="both"/>
                  </w:pPr>
                  <w:r>
                    <w:rPr>
                      <w:rFonts w:ascii="仿宋_GB2312" w:hAnsi="仿宋_GB2312" w:cs="仿宋_GB2312" w:eastAsia="仿宋_GB2312"/>
                      <w:sz w:val="21"/>
                      <w:color w:val="000000"/>
                    </w:rPr>
                    <w:t>（2）供应商须按照采购文件、合同及软件开发前的调研情况完成安装、调试、功能测试、性能测试、安全测试；</w:t>
                  </w:r>
                </w:p>
                <w:p>
                  <w:pPr>
                    <w:pStyle w:val="null3"/>
                    <w:spacing w:after="120"/>
                    <w:jc w:val="both"/>
                  </w:pPr>
                  <w:r>
                    <w:rPr>
                      <w:rFonts w:ascii="仿宋_GB2312" w:hAnsi="仿宋_GB2312" w:cs="仿宋_GB2312" w:eastAsia="仿宋_GB2312"/>
                      <w:sz w:val="21"/>
                      <w:color w:val="000000"/>
                    </w:rPr>
                    <w:t>（3）供应商须提供功能详细说明文件、功能测试报告、性能测试报告、安全测试报告并经使用方签字认可；</w:t>
                  </w:r>
                </w:p>
                <w:p>
                  <w:pPr>
                    <w:pStyle w:val="null3"/>
                    <w:spacing w:after="120"/>
                    <w:jc w:val="both"/>
                  </w:pPr>
                  <w:r>
                    <w:rPr>
                      <w:rFonts w:ascii="仿宋_GB2312" w:hAnsi="仿宋_GB2312" w:cs="仿宋_GB2312" w:eastAsia="仿宋_GB2312"/>
                      <w:sz w:val="21"/>
                      <w:color w:val="000000"/>
                    </w:rPr>
                    <w:t>（4）所有测试使用方通过后，方可进入正式验收环节。</w:t>
                  </w:r>
                </w:p>
                <w:p>
                  <w:pPr>
                    <w:pStyle w:val="null3"/>
                    <w:spacing w:after="120"/>
                    <w:jc w:val="both"/>
                  </w:pPr>
                  <w:r>
                    <w:rPr>
                      <w:rFonts w:ascii="仿宋_GB2312" w:hAnsi="仿宋_GB2312" w:cs="仿宋_GB2312" w:eastAsia="仿宋_GB2312"/>
                      <w:sz w:val="21"/>
                      <w:color w:val="000000"/>
                    </w:rPr>
                    <w:t>（5）验收标准</w:t>
                  </w:r>
                </w:p>
                <w:p>
                  <w:pPr>
                    <w:pStyle w:val="null3"/>
                    <w:spacing w:after="120"/>
                    <w:ind w:left="375"/>
                    <w:jc w:val="both"/>
                  </w:pPr>
                  <w:r>
                    <w:rPr>
                      <w:rFonts w:ascii="仿宋_GB2312" w:hAnsi="仿宋_GB2312" w:cs="仿宋_GB2312" w:eastAsia="仿宋_GB2312"/>
                      <w:sz w:val="21"/>
                      <w:color w:val="000000"/>
                    </w:rPr>
                    <w:t>1）安装：合格（达到国家强制性合格标准）及采购人要求。</w:t>
                  </w:r>
                </w:p>
                <w:p>
                  <w:pPr>
                    <w:pStyle w:val="null3"/>
                    <w:spacing w:after="120"/>
                    <w:ind w:left="375"/>
                    <w:jc w:val="both"/>
                  </w:pPr>
                  <w:r>
                    <w:rPr>
                      <w:rFonts w:ascii="仿宋_GB2312" w:hAnsi="仿宋_GB2312" w:cs="仿宋_GB2312" w:eastAsia="仿宋_GB2312"/>
                      <w:sz w:val="21"/>
                      <w:color w:val="000000"/>
                    </w:rPr>
                    <w:t>2）产品：</w:t>
                  </w:r>
                </w:p>
                <w:p>
                  <w:pPr>
                    <w:pStyle w:val="null3"/>
                    <w:spacing w:after="120"/>
                    <w:ind w:left="375"/>
                    <w:jc w:val="both"/>
                  </w:pPr>
                  <w:r>
                    <w:rPr>
                      <w:rFonts w:ascii="仿宋_GB2312" w:hAnsi="仿宋_GB2312" w:cs="仿宋_GB2312" w:eastAsia="仿宋_GB2312"/>
                      <w:sz w:val="21"/>
                      <w:color w:val="000000"/>
                    </w:rPr>
                    <w:t>①必须为渠道合法、合格产品，；</w:t>
                  </w:r>
                </w:p>
                <w:p>
                  <w:pPr>
                    <w:pStyle w:val="null3"/>
                    <w:spacing w:after="120"/>
                    <w:ind w:left="375"/>
                    <w:jc w:val="both"/>
                  </w:pPr>
                  <w:r>
                    <w:rPr>
                      <w:rFonts w:ascii="仿宋_GB2312" w:hAnsi="仿宋_GB2312" w:cs="仿宋_GB2312" w:eastAsia="仿宋_GB2312"/>
                      <w:sz w:val="21"/>
                      <w:color w:val="000000"/>
                    </w:rPr>
                    <w:t>②符合采购人与成交供应商签订的合同；</w:t>
                  </w:r>
                </w:p>
                <w:p>
                  <w:pPr>
                    <w:pStyle w:val="null3"/>
                    <w:spacing w:after="120"/>
                    <w:ind w:left="375"/>
                    <w:jc w:val="both"/>
                  </w:pPr>
                  <w:r>
                    <w:rPr>
                      <w:rFonts w:ascii="仿宋_GB2312" w:hAnsi="仿宋_GB2312" w:cs="仿宋_GB2312" w:eastAsia="仿宋_GB2312"/>
                      <w:sz w:val="21"/>
                      <w:color w:val="000000"/>
                    </w:rPr>
                    <w:t>③符合磋商文件、磋商响应文件的服务内容及要求；</w:t>
                  </w:r>
                </w:p>
                <w:p>
                  <w:pPr>
                    <w:pStyle w:val="null3"/>
                    <w:spacing w:after="120"/>
                    <w:ind w:left="375"/>
                    <w:jc w:val="both"/>
                  </w:pPr>
                  <w:r>
                    <w:rPr>
                      <w:rFonts w:ascii="仿宋_GB2312" w:hAnsi="仿宋_GB2312" w:cs="仿宋_GB2312" w:eastAsia="仿宋_GB2312"/>
                      <w:sz w:val="21"/>
                      <w:color w:val="000000"/>
                    </w:rPr>
                    <w:t>④符合国家有关技术规范要求和安全、环保、节能等强制性标准, 验收的手续及费用由供应商自行办理和承担；</w:t>
                  </w:r>
                </w:p>
                <w:p>
                  <w:pPr>
                    <w:pStyle w:val="null3"/>
                    <w:spacing w:after="120"/>
                    <w:ind w:left="375"/>
                    <w:jc w:val="both"/>
                  </w:pPr>
                  <w:r>
                    <w:rPr>
                      <w:rFonts w:ascii="仿宋_GB2312" w:hAnsi="仿宋_GB2312" w:cs="仿宋_GB2312" w:eastAsia="仿宋_GB2312"/>
                      <w:sz w:val="21"/>
                      <w:color w:val="000000"/>
                    </w:rPr>
                    <w:t>⑤产品单证齐全（质量合格证、操作手册和维修手册，涉及的软件需提供项目的软件产品清单及功能描述等）。</w:t>
                  </w:r>
                </w:p>
                <w:p>
                  <w:pPr>
                    <w:pStyle w:val="null3"/>
                    <w:spacing w:after="120"/>
                    <w:jc w:val="both"/>
                  </w:pPr>
                  <w:r>
                    <w:rPr>
                      <w:rFonts w:ascii="仿宋_GB2312" w:hAnsi="仿宋_GB2312" w:cs="仿宋_GB2312" w:eastAsia="仿宋_GB2312"/>
                      <w:sz w:val="21"/>
                      <w:color w:val="000000"/>
                    </w:rPr>
                    <w:t>（6）履约验收：按照学校的规定组织相关验收工作。</w:t>
                  </w:r>
                </w:p>
                <w:p>
                  <w:pPr>
                    <w:pStyle w:val="null3"/>
                  </w:pPr>
                  <w:r>
                    <w:rPr>
                      <w:rFonts w:ascii="仿宋_GB2312" w:hAnsi="仿宋_GB2312" w:cs="仿宋_GB2312" w:eastAsia="仿宋_GB2312"/>
                      <w:sz w:val="19"/>
                      <w:color w:val="000000"/>
                    </w:rPr>
                    <w:t>（7）学校向供应商出具验收合格书面证明文件，视为验收合格。验收过程中发现产品或软件存在瑕疵或质量问题的，供应商应无条件配合学校进行维修、更换或退货工作，因此给学校造成损失的，供应商就全部损失承担赔偿责任。</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注：以上标注</w:t>
                  </w:r>
                  <w:r>
                    <w:rPr>
                      <w:rFonts w:ascii="仿宋_GB2312" w:hAnsi="仿宋_GB2312" w:cs="仿宋_GB2312" w:eastAsia="仿宋_GB2312"/>
                      <w:sz w:val="19"/>
                      <w:color w:val="000000"/>
                    </w:rPr>
                    <w:t>★</w:t>
                  </w:r>
                  <w:r>
                    <w:rPr>
                      <w:rFonts w:ascii="仿宋_GB2312" w:hAnsi="仿宋_GB2312" w:cs="仿宋_GB2312" w:eastAsia="仿宋_GB2312"/>
                      <w:sz w:val="19"/>
                      <w:b/>
                      <w:color w:val="000000"/>
                    </w:rPr>
                    <w:t>的技术参术为重要功能和性能要求，须实质性响应，</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b/>
                      <w:color w:val="000000"/>
                    </w:rPr>
                    <w:t>参数必须提供佐证材料，佐证材料包括但不限于功能截图、厂家盖章的说明书等。</w:t>
                  </w:r>
                  <w:r>
                    <w:rPr>
                      <w:rFonts w:ascii="仿宋_GB2312" w:hAnsi="仿宋_GB2312" w:cs="仿宋_GB2312" w:eastAsia="仿宋_GB2312"/>
                      <w:sz w:val="19"/>
                      <w:b/>
                      <w:color w:val="000000"/>
                    </w:rPr>
                    <w:t>如未进行实质性响应，视为无效投标。</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供应商针对本项目提供相应的服务人员，能满足履行合同需求。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供应商针对本项目提供相应的设施设备，能满足履行合同需求。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合同签订之日起100个日历日内（不含学校假期）完成全部服务内容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1.由采购人自行组织相关人员成立验收小组对项目进行一次性验收，依据竞争性磋商文件、竞争性磋商响应文件及政府采购合同，结合考核情况和服务效果进行验收，形成验收报告。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须在结果公告发布之日起5个工作日内，提交纸质响应文件一正一副（双面打印）和电子版响应文件（U盘存储）至西安市雁塔区二环南路西段88号老三届世纪星大厦30层AB座（陕西明正招标有限公司）。 2.现场演示：投标人自带演示系统及相关设备，进行15分钟现场演示。 演示时间：同磋商响应文件递交截止时间。 演示地点：西安市雁塔区二环南路西段88号老三届世纪星大厦30层AB座陕西明正招标有限公司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（1）供应商应具有独立承担民事责任的能力的企业法人、事业法人、其他组织或自然人，出具合法有效的营业执照等相关证明文件，自然人参与的提供其身份证明（加盖公章） （2）财务状况报告：提供经审计的2025年度财务报告或磋商前六个月内其本公司银行账户出具的资信证明或政府采购专业担保机构出具的磋商担保函（事业单位可不提供）（加盖公章）。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供应商应提供项目负责人证明材料</w:t>
            </w:r>
          </w:p>
        </w:tc>
        <w:tc>
          <w:tcPr>
            <w:tcW w:type="dxa" w:w="3322"/>
          </w:tcPr>
          <w:p>
            <w:pPr>
              <w:pStyle w:val="null3"/>
            </w:pPr>
            <w:r>
              <w:rPr>
                <w:rFonts w:ascii="仿宋_GB2312" w:hAnsi="仿宋_GB2312" w:cs="仿宋_GB2312" w:eastAsia="仿宋_GB2312"/>
              </w:rPr>
              <w:t>须提供项目负责人在本单位近一年的社保缴纳证明，公司成立不足一年的，提供从成立之日起至今的社保缴纳证明（若法定代表人直接参加投标，且项目实施过程中作为项目负责人的，可不提供）。</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 缴纳证明。</w:t>
            </w:r>
          </w:p>
        </w:tc>
        <w:tc>
          <w:tcPr>
            <w:tcW w:type="dxa" w:w="1661"/>
          </w:tcPr>
          <w:p>
            <w:pPr>
              <w:pStyle w:val="null3"/>
            </w:pPr>
            <w:r>
              <w:rPr>
                <w:rFonts w:ascii="仿宋_GB2312" w:hAnsi="仿宋_GB2312" w:cs="仿宋_GB2312" w:eastAsia="仿宋_GB2312"/>
              </w:rPr>
              <w:t>响应文件封面 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提交非联合体形式参加本项目的声明函。</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非关联证明</w:t>
            </w:r>
          </w:p>
        </w:tc>
        <w:tc>
          <w:tcPr>
            <w:tcW w:type="dxa" w:w="3322"/>
          </w:tcPr>
          <w:p>
            <w:pPr>
              <w:pStyle w:val="null3"/>
            </w:pPr>
            <w:r>
              <w:rPr>
                <w:rFonts w:ascii="仿宋_GB2312" w:hAnsi="仿宋_GB2312" w:cs="仿宋_GB2312" w:eastAsia="仿宋_GB2312"/>
              </w:rPr>
              <w:t>单位负责人为同一人或者存在控股、管理关系的不同单位，不可同时参加本项目投标。</w:t>
            </w:r>
          </w:p>
        </w:tc>
        <w:tc>
          <w:tcPr>
            <w:tcW w:type="dxa" w:w="1661"/>
          </w:tcPr>
          <w:p>
            <w:pPr>
              <w:pStyle w:val="null3"/>
            </w:pPr>
            <w:r>
              <w:rPr>
                <w:rFonts w:ascii="仿宋_GB2312" w:hAnsi="仿宋_GB2312" w:cs="仿宋_GB2312" w:eastAsia="仿宋_GB2312"/>
              </w:rPr>
              <w:t>特殊资格要求.docx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（2）报价均未超出采购预算和最高限价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应根据项目采购内容，结合自身条件、实施标准等因素，提供详细的实施方案，包含：①项目进度安排及整体实施方案②产品运输、安装、调试方案③功能升级改造方案④数据迁移与安全方案⑤验收方案及违约承诺。方案应包含且不限于理论计算、文字描述等内容，未提供的本项不得分。方案各部分内容全面详细、阐述条理清晰详尽、符合本项目采购需求，能有效保障本项目实施的计10分。每有一项内容缺失扣2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根据供应商拟投入本项目得服务人员人数及人员分工方案、项目管理组织架构情况进行评审，需提供详细职员姓名、职务、资格证或专业证书，主要资历、经验情况等。 ①供应商针对本项目提供详细的人员配备方案，团队组织结构合理，职责分明，人员数量充足，且具有丰富系统升级改造经验，提供详细的证明资料，得10分； ②供应商针对本项目提供完整的人员配备方案，团队组织结构合理，职责分明，人员数量满足项目要求，且具有相关系统升级改造经验，提供部分证明资料，得7分； ③供应商提供人员配备方案，团队组织结构合理，人员数量基本满足项目需求，主要工作人员具有系统升级改造经验，提供的证明材料单一，得4分； ④供应商提供人员配备方案简单，团队人员无系统升级改造经验证明，得2分；未提供，得0分。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商务要求响应偏离表.docx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投标人针对本项目提供售保障措施，内容包含：①项目质量保障措施；②安全保障；③服务保障；④突发应急保障。保障措施应包含且不限于理论计算、文字描述等内容，未提供的本项不得分。 方案各部分内容全面详细、阐述条理清晰详尽、符合本项目采购需求，能有效保障本项目实施的计8分。每有一项内容缺失扣2分，每有一项内容每存在以下1种缺陷扣0.5分，扣完为止。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针对本项目及采购人实际需求提供详细具体可行的服务措施及承诺，服务措施及承诺完善、合理、切实可行，无缺陷计4分；每存在一种缺陷扣1分，扣完为止；未提供不计分。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投标人针对本项目提供售后服务及培训方案，内容包含：①售后服务保修时间及内容、故障响应时间及方式、②售后保障人员配备情况和质保期外故障维修收费情况、③培训目标及内容、④培训人员和计划。方案应包含且不限于理论计算、文字描述等内容，未提供的本项不得分。 方案各部分内容全面详细、阐述条理清晰详尽、符合本项目采购需求，能有效保障本项目实施的计8分。每有一项内容缺失扣2分，每有一项内容每存在以下1种缺陷扣0.5分，扣完为止。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非实质性服务要求响应</w:t>
            </w:r>
          </w:p>
        </w:tc>
        <w:tc>
          <w:tcPr>
            <w:tcW w:type="dxa" w:w="2492"/>
          </w:tcPr>
          <w:p>
            <w:pPr>
              <w:pStyle w:val="null3"/>
            </w:pPr>
            <w:r>
              <w:rPr>
                <w:rFonts w:ascii="仿宋_GB2312" w:hAnsi="仿宋_GB2312" w:cs="仿宋_GB2312" w:eastAsia="仿宋_GB2312"/>
              </w:rPr>
              <w:t>依据响应文件对采购文件中非实质性服务要求的响应情况评审，全部满足要求得 15 分。 1、未标注 “★” 的非实质性服务要求，每负偏离一项扣0.5分，扣完为止。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服务内容响应偏离表.docx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15分钟产品演示，重点考察投标人OA案例产品公文管理、督查督办、低代码能力、值班管理、ESB集成总线五大核心模块。其中：（1）①公文管理模块适配党政公文规范，支持收发文、审批流转、版式标准化、电子签章、归档溯源全闭环；②流程贴合学校校办、院系、职能部门层级审批场景，支持公文模板一键调用、修改留痕、版本追溯，高效满足校园公文合规办公需求，功能成熟无短板。全部演示得3分，缺一项演示扣1.5分，无演示不得分。（2）①督查督办管理模块适配专项工作、会议决议、上级任务督办场景，支持任务拆解、分级推送、进度自动跟踪、超时预警、台账自动生成、结果汇总统计；②可按不同层级设置差异化权限，实现工作全流程闭环督查。全部演示得3分，缺一项演示扣1.5分，无演示不得分。（3）①低代码平台可展示，拥有轻量化、可视化低代码搭建能力，无需复杂开发即可快速适配学校个性化场景；②支持表单、流程、页面自定义，迭代速度快，可满足学校后续业务拓展需求，灵活性、扩展性远超通用办公系统。全部演示得3分，缺一项演示扣1.5分，无演示不得分。（4）①值班管理模块贴合学校行政、安保、节假日值班场景，支持值班排班、值班台账统计②操作简单便捷，适配校园常态化值守管理需求，贴合学校实际运维办公场景。全部演示得3分，缺一项演示扣1.5分，无演示不得分。（5）①配备成熟的ESB集成总线，支持统一身份认证、组织数据同步；②提供标准化API接口，数据互通安全稳定，实现全校业务、数据一体化协同，集成兼容性强、落地性高。全部演示得3分，缺一项演示扣1.5分，无演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代理资质及证书</w:t>
            </w:r>
          </w:p>
        </w:tc>
        <w:tc>
          <w:tcPr>
            <w:tcW w:type="dxa" w:w="2492"/>
          </w:tcPr>
          <w:p>
            <w:pPr>
              <w:pStyle w:val="null3"/>
            </w:pPr>
            <w:r>
              <w:rPr>
                <w:rFonts w:ascii="仿宋_GB2312" w:hAnsi="仿宋_GB2312" w:cs="仿宋_GB2312" w:eastAsia="仿宋_GB2312"/>
              </w:rPr>
              <w:t>1.CMMI3级以上（含3级）软件能力成熟度认证及资质；2.ISO9001质量管理体系认证证书3.网络安全等级保护则评证书4.ITSS信息技术服务运行维护标准符合性证书5.CCRC信息安全服务资质证书6.ISO27001 信息安全管理体系认证证书。7.ISO20000 信息技术服务管理体系认证证书。 每提供1份证书得2分，未提供不得分。 代理商提供原厂证书需同时提供原厂授权文件，否则不得分。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特殊资格要求.docx</w:t>
            </w:r>
          </w:p>
          <w:p>
            <w:pPr>
              <w:pStyle w:val="null3"/>
            </w:pPr>
            <w:r>
              <w:rPr>
                <w:rFonts w:ascii="仿宋_GB2312" w:hAnsi="仿宋_GB2312" w:cs="仿宋_GB2312" w:eastAsia="仿宋_GB2312"/>
              </w:rPr>
              <w:t>一般资格要求.docx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提供自2023年1月1日至今类似信息化平台建设项目业绩（包含OA、运营平台、EPR等管理类信息化项目），每提供一份完整的业绩证明材料得1分，满分为6分。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详见附件：服务内容响应偏离表.docx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