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版本号：SCIT-ZC-SX2026050004。.2B120260610001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2026年精准康复服务项目(二次)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SCIT-ZC-SX2026050004。.2B1</w:t>
      </w:r>
      <w:r>
        <w:br/>
      </w:r>
      <w:r>
        <w:br/>
      </w:r>
      <w:r>
        <w:br/>
      </w:r>
    </w:p>
    <w:p>
      <w:pPr>
        <w:pStyle w:val="null3"/>
        <w:jc w:val="center"/>
        <w:outlineLvl w:val="2"/>
      </w:pPr>
      <w:r>
        <w:rPr>
          <w:rFonts w:ascii="仿宋_GB2312" w:hAnsi="仿宋_GB2312" w:cs="仿宋_GB2312" w:eastAsia="仿宋_GB2312"/>
          <w:sz w:val="28"/>
          <w:b/>
        </w:rPr>
        <w:t>渭南市临渭区残疾人联合会</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渭南市临渭区残疾人联合会</w:t>
      </w:r>
      <w:r>
        <w:rPr>
          <w:rFonts w:ascii="仿宋_GB2312" w:hAnsi="仿宋_GB2312" w:cs="仿宋_GB2312" w:eastAsia="仿宋_GB2312"/>
        </w:rPr>
        <w:t>委托，拟对</w:t>
      </w:r>
      <w:r>
        <w:rPr>
          <w:rFonts w:ascii="仿宋_GB2312" w:hAnsi="仿宋_GB2312" w:cs="仿宋_GB2312" w:eastAsia="仿宋_GB2312"/>
        </w:rPr>
        <w:t>2026年精准康复服务项目(二次)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SCIT-ZC-SX2026050004。.2B1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2026年精准康复服务项目(二次)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本项目共一个包，南片区:除精神残疾人之外有康复需求的其他类持证残疾人和儿童（阳郭镇、阎村镇、三张镇、桥南镇、丰原镇、崇凝镇、向阳街道、站南街道），预算38.178万元。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一青里区政府1号楼101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0913-3039100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谭逸哲、龙杰、张祎多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采购包1：381,780.00元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代理服务费收费标准：以成交金额作为计算基数,参照国家计委计价[2002]1980号及发改办价格[2003]857号通知规定标准下浮20％计取支付，由成交供应商在领取成交通知书前向招标代理机构交纳招标服务费。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渭南市临渭区残疾人联合会</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联系人：谭逸哲、龙杰、张祎多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本项目共一个包，南片区:除精神残疾人之外有康复需求的其他类持证残疾人和儿童（阳郭镇、阎村镇、三张镇、桥南镇、丰原镇、崇凝镇、向阳街道、站南街道），预算38.178万元。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381,780.00</w:t>
      </w:r>
    </w:p>
    <w:p>
      <w:pPr>
        <w:pStyle w:val="null3"/>
      </w:pPr>
      <w:r>
        <w:rPr>
          <w:rFonts w:ascii="仿宋_GB2312" w:hAnsi="仿宋_GB2312" w:cs="仿宋_GB2312" w:eastAsia="仿宋_GB2312"/>
        </w:rPr>
        <w:t>采购包最高限价（元）: 381,780.00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精准康复服务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381,780.00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标的名称：精准康复服务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一、总体要求</w:t>
            </w:r>
          </w:p>
          <w:p>
            <w:pPr>
              <w:pStyle w:val="null3"/>
              <w:jc w:val="both"/>
            </w:pPr>
            <w:r>
              <w:rPr>
                <w:rFonts w:ascii="仿宋_GB2312" w:hAnsi="仿宋_GB2312" w:cs="仿宋_GB2312" w:eastAsia="仿宋_GB2312"/>
                <w:sz w:val="21"/>
              </w:rPr>
              <w:t>（一）工作原则</w:t>
            </w:r>
          </w:p>
          <w:p>
            <w:pPr>
              <w:pStyle w:val="null3"/>
              <w:jc w:val="both"/>
            </w:pPr>
            <w:r>
              <w:rPr>
                <w:rFonts w:ascii="仿宋_GB2312" w:hAnsi="仿宋_GB2312" w:cs="仿宋_GB2312" w:eastAsia="仿宋_GB2312"/>
                <w:sz w:val="21"/>
              </w:rPr>
              <w:t>应签尽签、重点优先：残疾人实现全覆盖、优先签约、优先履约。</w:t>
            </w:r>
          </w:p>
          <w:p>
            <w:pPr>
              <w:pStyle w:val="null3"/>
              <w:jc w:val="both"/>
            </w:pPr>
            <w:r>
              <w:rPr>
                <w:rFonts w:ascii="仿宋_GB2312" w:hAnsi="仿宋_GB2312" w:cs="仿宋_GB2312" w:eastAsia="仿宋_GB2312"/>
                <w:sz w:val="21"/>
              </w:rPr>
              <w:t>分类施策、按需服务：根据残疾类别、失能程度、年龄特点制定差异化服务内容。</w:t>
            </w:r>
          </w:p>
          <w:p>
            <w:pPr>
              <w:pStyle w:val="null3"/>
              <w:jc w:val="both"/>
            </w:pPr>
            <w:r>
              <w:rPr>
                <w:rFonts w:ascii="仿宋_GB2312" w:hAnsi="仿宋_GB2312" w:cs="仿宋_GB2312" w:eastAsia="仿宋_GB2312"/>
                <w:sz w:val="21"/>
              </w:rPr>
              <w:t>上门为主、规范留痕：上门服务为主要形式。</w:t>
            </w:r>
          </w:p>
          <w:p>
            <w:pPr>
              <w:pStyle w:val="null3"/>
              <w:jc w:val="both"/>
            </w:pPr>
            <w:r>
              <w:rPr>
                <w:rFonts w:ascii="仿宋_GB2312" w:hAnsi="仿宋_GB2312" w:cs="仿宋_GB2312" w:eastAsia="仿宋_GB2312"/>
                <w:sz w:val="21"/>
              </w:rPr>
              <w:t>医康结合、多方协同：家庭医生、第三方机构、残联、村（社区）联动。</w:t>
            </w:r>
          </w:p>
          <w:p>
            <w:pPr>
              <w:pStyle w:val="null3"/>
              <w:jc w:val="both"/>
            </w:pPr>
            <w:r>
              <w:rPr>
                <w:rFonts w:ascii="仿宋_GB2312" w:hAnsi="仿宋_GB2312" w:cs="仿宋_GB2312" w:eastAsia="仿宋_GB2312"/>
                <w:sz w:val="21"/>
              </w:rPr>
              <w:t>（二）服务对象</w:t>
            </w:r>
          </w:p>
          <w:p>
            <w:pPr>
              <w:pStyle w:val="null3"/>
              <w:jc w:val="both"/>
            </w:pPr>
            <w:r>
              <w:rPr>
                <w:rFonts w:ascii="仿宋_GB2312" w:hAnsi="仿宋_GB2312" w:cs="仿宋_GB2312" w:eastAsia="仿宋_GB2312"/>
                <w:sz w:val="21"/>
              </w:rPr>
              <w:t xml:space="preserve">南片区:除精神残疾人之外有康复需求的其他类持证残疾人和儿童（阳郭镇、阎村镇、三张镇、桥南镇、丰原镇、崇凝镇、向阳街道、站南街道）     </w:t>
            </w:r>
          </w:p>
          <w:p>
            <w:pPr>
              <w:pStyle w:val="null3"/>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服务对象服务的内容均按照</w:t>
            </w:r>
            <w:r>
              <w:rPr>
                <w:rFonts w:ascii="仿宋_GB2312" w:hAnsi="仿宋_GB2312" w:cs="仿宋_GB2312" w:eastAsia="仿宋_GB2312"/>
                <w:sz w:val="21"/>
              </w:rPr>
              <w:t>“陕西省残疾人基本康复服务目录（2025 年版）”执行。</w:t>
            </w:r>
          </w:p>
          <w:p>
            <w:pPr>
              <w:pStyle w:val="null3"/>
              <w:jc w:val="both"/>
            </w:pPr>
            <w:r>
              <w:rPr>
                <w:rFonts w:ascii="仿宋_GB2312" w:hAnsi="仿宋_GB2312" w:cs="仿宋_GB2312" w:eastAsia="仿宋_GB2312"/>
                <w:sz w:val="21"/>
              </w:rPr>
              <w:t>三、工作要求</w:t>
            </w:r>
          </w:p>
          <w:p>
            <w:pPr>
              <w:pStyle w:val="null3"/>
              <w:jc w:val="both"/>
            </w:pPr>
            <w:r>
              <w:rPr>
                <w:rFonts w:ascii="仿宋_GB2312" w:hAnsi="仿宋_GB2312" w:cs="仿宋_GB2312" w:eastAsia="仿宋_GB2312"/>
                <w:sz w:val="21"/>
              </w:rPr>
              <w:t>1.精准摸排建档</w:t>
            </w:r>
          </w:p>
          <w:p>
            <w:pPr>
              <w:pStyle w:val="null3"/>
              <w:jc w:val="both"/>
            </w:pPr>
            <w:r>
              <w:rPr>
                <w:rFonts w:ascii="仿宋_GB2312" w:hAnsi="仿宋_GB2312" w:cs="仿宋_GB2312" w:eastAsia="仿宋_GB2312"/>
                <w:sz w:val="21"/>
              </w:rPr>
              <w:t>与残联对接名单，按四类人群单独建册、分类编号、分类统计，做到底数清、需求清、频次清、责任清。</w:t>
            </w:r>
          </w:p>
          <w:p>
            <w:pPr>
              <w:pStyle w:val="null3"/>
              <w:jc w:val="both"/>
            </w:pPr>
            <w:r>
              <w:rPr>
                <w:rFonts w:ascii="仿宋_GB2312" w:hAnsi="仿宋_GB2312" w:cs="仿宋_GB2312" w:eastAsia="仿宋_GB2312"/>
                <w:sz w:val="21"/>
              </w:rPr>
              <w:t>2.规范签约流程</w:t>
            </w:r>
          </w:p>
          <w:p>
            <w:pPr>
              <w:pStyle w:val="null3"/>
              <w:jc w:val="both"/>
            </w:pPr>
            <w:r>
              <w:rPr>
                <w:rFonts w:ascii="仿宋_GB2312" w:hAnsi="仿宋_GB2312" w:cs="仿宋_GB2312" w:eastAsia="仿宋_GB2312"/>
                <w:sz w:val="21"/>
              </w:rPr>
              <w:t>残疾人必须由监护人陪同并签字确认。</w:t>
            </w:r>
          </w:p>
          <w:p>
            <w:pPr>
              <w:pStyle w:val="null3"/>
              <w:jc w:val="both"/>
            </w:pPr>
            <w:r>
              <w:rPr>
                <w:rFonts w:ascii="仿宋_GB2312" w:hAnsi="仿宋_GB2312" w:cs="仿宋_GB2312" w:eastAsia="仿宋_GB2312"/>
                <w:sz w:val="21"/>
              </w:rPr>
              <w:t>做到</w:t>
            </w:r>
            <w:r>
              <w:rPr>
                <w:rFonts w:ascii="仿宋_GB2312" w:hAnsi="仿宋_GB2312" w:cs="仿宋_GB2312" w:eastAsia="仿宋_GB2312"/>
                <w:sz w:val="21"/>
              </w:rPr>
              <w:t>“一人一档一策”，明确服务内容、频次、上门时间、应急联系人。</w:t>
            </w:r>
          </w:p>
          <w:p>
            <w:pPr>
              <w:pStyle w:val="null3"/>
              <w:jc w:val="both"/>
            </w:pPr>
            <w:r>
              <w:rPr>
                <w:rFonts w:ascii="仿宋_GB2312" w:hAnsi="仿宋_GB2312" w:cs="仿宋_GB2312" w:eastAsia="仿宋_GB2312"/>
                <w:sz w:val="21"/>
              </w:rPr>
              <w:t>3.上门服务管理</w:t>
            </w:r>
          </w:p>
          <w:p>
            <w:pPr>
              <w:pStyle w:val="null3"/>
              <w:jc w:val="both"/>
            </w:pPr>
            <w:r>
              <w:rPr>
                <w:rFonts w:ascii="仿宋_GB2312" w:hAnsi="仿宋_GB2312" w:cs="仿宋_GB2312" w:eastAsia="仿宋_GB2312"/>
                <w:sz w:val="21"/>
              </w:rPr>
              <w:t>实行预约制、告知制、知情同意、全程留痕（签字、记录、影像</w:t>
            </w:r>
            <w:r>
              <w:rPr>
                <w:rFonts w:ascii="仿宋_GB2312" w:hAnsi="仿宋_GB2312" w:cs="仿宋_GB2312" w:eastAsia="仿宋_GB2312"/>
                <w:sz w:val="21"/>
              </w:rPr>
              <w:t>/定位佐证）。</w:t>
            </w:r>
          </w:p>
          <w:p>
            <w:pPr>
              <w:pStyle w:val="null3"/>
              <w:jc w:val="both"/>
            </w:pPr>
            <w:r>
              <w:rPr>
                <w:rFonts w:ascii="仿宋_GB2312" w:hAnsi="仿宋_GB2312" w:cs="仿宋_GB2312" w:eastAsia="仿宋_GB2312"/>
                <w:sz w:val="21"/>
              </w:rPr>
              <w:t>严禁虚假上门、虚假记录、代签冒签、无实质服务。</w:t>
            </w:r>
          </w:p>
          <w:p>
            <w:pPr>
              <w:pStyle w:val="null3"/>
              <w:jc w:val="both"/>
            </w:pPr>
            <w:r>
              <w:rPr>
                <w:rFonts w:ascii="仿宋_GB2312" w:hAnsi="仿宋_GB2312" w:cs="仿宋_GB2312" w:eastAsia="仿宋_GB2312"/>
                <w:sz w:val="21"/>
              </w:rPr>
              <w:t>4.异常处置闭环</w:t>
            </w:r>
          </w:p>
          <w:p>
            <w:pPr>
              <w:pStyle w:val="null3"/>
              <w:jc w:val="both"/>
            </w:pPr>
            <w:r>
              <w:rPr>
                <w:rFonts w:ascii="仿宋_GB2312" w:hAnsi="仿宋_GB2312" w:cs="仿宋_GB2312" w:eastAsia="仿宋_GB2312"/>
                <w:sz w:val="21"/>
              </w:rPr>
              <w:t>出现以下情况必须立即上报、及时转诊、跟踪回访：</w:t>
            </w:r>
          </w:p>
          <w:p>
            <w:pPr>
              <w:pStyle w:val="null3"/>
              <w:jc w:val="both"/>
            </w:pPr>
            <w:r>
              <w:rPr>
                <w:rFonts w:ascii="仿宋_GB2312" w:hAnsi="仿宋_GB2312" w:cs="仿宋_GB2312" w:eastAsia="仿宋_GB2312"/>
                <w:sz w:val="21"/>
              </w:rPr>
              <w:t>冲动、自伤、伤人、拒食拒药、严重失眠、幻觉妄想</w:t>
            </w:r>
          </w:p>
          <w:p>
            <w:pPr>
              <w:pStyle w:val="null3"/>
              <w:jc w:val="both"/>
            </w:pPr>
            <w:r>
              <w:rPr>
                <w:rFonts w:ascii="仿宋_GB2312" w:hAnsi="仿宋_GB2312" w:cs="仿宋_GB2312" w:eastAsia="仿宋_GB2312"/>
                <w:sz w:val="21"/>
              </w:rPr>
              <w:t>信息与隐私保护</w:t>
            </w:r>
          </w:p>
          <w:p>
            <w:pPr>
              <w:pStyle w:val="null3"/>
              <w:jc w:val="both"/>
            </w:pPr>
            <w:r>
              <w:rPr>
                <w:rFonts w:ascii="仿宋_GB2312" w:hAnsi="仿宋_GB2312" w:cs="仿宋_GB2312" w:eastAsia="仿宋_GB2312"/>
                <w:sz w:val="21"/>
              </w:rPr>
              <w:t>专人管理、专机录入、数据加密，严禁泄露残疾人姓名、地址、病情、残疾等级等隐私信息。</w:t>
            </w:r>
          </w:p>
          <w:p>
            <w:pPr>
              <w:pStyle w:val="null3"/>
              <w:jc w:val="both"/>
            </w:pPr>
            <w:r>
              <w:rPr>
                <w:rFonts w:ascii="仿宋_GB2312" w:hAnsi="仿宋_GB2312" w:cs="仿宋_GB2312" w:eastAsia="仿宋_GB2312"/>
                <w:sz w:val="21"/>
              </w:rPr>
              <w:t>四、质量控制与考核重点</w:t>
            </w:r>
          </w:p>
          <w:p>
            <w:pPr>
              <w:pStyle w:val="null3"/>
              <w:jc w:val="both"/>
            </w:pPr>
            <w:r>
              <w:rPr>
                <w:rFonts w:ascii="仿宋_GB2312" w:hAnsi="仿宋_GB2312" w:cs="仿宋_GB2312" w:eastAsia="仿宋_GB2312"/>
                <w:sz w:val="21"/>
              </w:rPr>
              <w:t>1.共性核心指标</w:t>
            </w:r>
          </w:p>
          <w:p>
            <w:pPr>
              <w:pStyle w:val="null3"/>
              <w:jc w:val="both"/>
            </w:pPr>
            <w:r>
              <w:rPr>
                <w:rFonts w:ascii="仿宋_GB2312" w:hAnsi="仿宋_GB2312" w:cs="仿宋_GB2312" w:eastAsia="仿宋_GB2312"/>
                <w:sz w:val="21"/>
              </w:rPr>
              <w:t>重点人群签约率</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规范履约率、上门服务率、随访及时率</w:t>
            </w:r>
          </w:p>
          <w:p>
            <w:pPr>
              <w:pStyle w:val="null3"/>
              <w:jc w:val="both"/>
            </w:pPr>
            <w:r>
              <w:rPr>
                <w:rFonts w:ascii="仿宋_GB2312" w:hAnsi="仿宋_GB2312" w:cs="仿宋_GB2312" w:eastAsia="仿宋_GB2312"/>
                <w:sz w:val="21"/>
              </w:rPr>
              <w:t>档案完整率、信息准确率、问题整改率</w:t>
            </w:r>
          </w:p>
          <w:p>
            <w:pPr>
              <w:pStyle w:val="null3"/>
              <w:jc w:val="both"/>
            </w:pPr>
            <w:r>
              <w:rPr>
                <w:rFonts w:ascii="仿宋_GB2312" w:hAnsi="仿宋_GB2312" w:cs="仿宋_GB2312" w:eastAsia="仿宋_GB2312"/>
                <w:sz w:val="21"/>
              </w:rPr>
              <w:t>残疾人及监护人满意度、投诉处置及时率</w:t>
            </w:r>
          </w:p>
          <w:p>
            <w:pPr>
              <w:pStyle w:val="null3"/>
              <w:jc w:val="both"/>
            </w:pPr>
            <w:r>
              <w:rPr>
                <w:rFonts w:ascii="仿宋_GB2312" w:hAnsi="仿宋_GB2312" w:cs="仿宋_GB2312" w:eastAsia="仿宋_GB2312"/>
                <w:sz w:val="21"/>
              </w:rPr>
              <w:t>2.分类质控重点</w:t>
            </w:r>
          </w:p>
          <w:p>
            <w:pPr>
              <w:pStyle w:val="null3"/>
              <w:jc w:val="both"/>
            </w:pPr>
            <w:r>
              <w:rPr>
                <w:rFonts w:ascii="仿宋_GB2312" w:hAnsi="仿宋_GB2312" w:cs="仿宋_GB2312" w:eastAsia="仿宋_GB2312"/>
                <w:sz w:val="21"/>
              </w:rPr>
              <w:t>面对面随访率、服药督导、风险评估、应急处置规范</w:t>
            </w:r>
          </w:p>
          <w:p>
            <w:pPr>
              <w:pStyle w:val="null3"/>
              <w:jc w:val="both"/>
            </w:pPr>
            <w:r>
              <w:rPr>
                <w:rFonts w:ascii="仿宋_GB2312" w:hAnsi="仿宋_GB2312" w:cs="仿宋_GB2312" w:eastAsia="仿宋_GB2312"/>
                <w:sz w:val="21"/>
              </w:rPr>
              <w:t>结果运用</w:t>
            </w:r>
          </w:p>
          <w:p>
            <w:pPr>
              <w:pStyle w:val="null3"/>
              <w:jc w:val="both"/>
            </w:pPr>
            <w:r>
              <w:rPr>
                <w:rFonts w:ascii="仿宋_GB2312" w:hAnsi="仿宋_GB2312" w:cs="仿宋_GB2312" w:eastAsia="仿宋_GB2312"/>
                <w:sz w:val="21"/>
              </w:rPr>
              <w:t>考核优秀：足额拨付经费，优先续聘</w:t>
            </w:r>
          </w:p>
          <w:p>
            <w:pPr>
              <w:pStyle w:val="null3"/>
              <w:jc w:val="both"/>
            </w:pPr>
            <w:r>
              <w:rPr>
                <w:rFonts w:ascii="仿宋_GB2312" w:hAnsi="仿宋_GB2312" w:cs="仿宋_GB2312" w:eastAsia="仿宋_GB2312"/>
                <w:sz w:val="21"/>
              </w:rPr>
              <w:t>基本合格：限期整改，适度扣减经费</w:t>
            </w:r>
          </w:p>
          <w:p>
            <w:pPr>
              <w:pStyle w:val="null3"/>
              <w:jc w:val="both"/>
            </w:pPr>
            <w:r>
              <w:rPr>
                <w:rFonts w:ascii="仿宋_GB2312" w:hAnsi="仿宋_GB2312" w:cs="仿宋_GB2312" w:eastAsia="仿宋_GB2312"/>
                <w:sz w:val="21"/>
              </w:rPr>
              <w:t>不合格</w:t>
            </w:r>
            <w:r>
              <w:rPr>
                <w:rFonts w:ascii="仿宋_GB2312" w:hAnsi="仿宋_GB2312" w:cs="仿宋_GB2312" w:eastAsia="仿宋_GB2312"/>
                <w:sz w:val="21"/>
              </w:rPr>
              <w:t>/造假：暂停服务、终止合同、列入黑名单</w:t>
            </w:r>
          </w:p>
          <w:p>
            <w:pPr>
              <w:pStyle w:val="null3"/>
              <w:jc w:val="both"/>
            </w:pPr>
            <w:r>
              <w:rPr>
                <w:rFonts w:ascii="仿宋_GB2312" w:hAnsi="仿宋_GB2312" w:cs="仿宋_GB2312" w:eastAsia="仿宋_GB2312"/>
                <w:sz w:val="21"/>
              </w:rPr>
              <w:t>五、保障措施</w:t>
            </w:r>
          </w:p>
          <w:p>
            <w:pPr>
              <w:pStyle w:val="null3"/>
              <w:jc w:val="both"/>
            </w:pPr>
            <w:r>
              <w:rPr>
                <w:rFonts w:ascii="仿宋_GB2312" w:hAnsi="仿宋_GB2312" w:cs="仿宋_GB2312" w:eastAsia="仿宋_GB2312"/>
                <w:sz w:val="21"/>
              </w:rPr>
              <w:t>组织保障：三级（区、街镇、村社区）残联统筹推进，第三方机构具体执行。</w:t>
            </w:r>
          </w:p>
          <w:p>
            <w:pPr>
              <w:pStyle w:val="null3"/>
              <w:jc w:val="both"/>
            </w:pPr>
            <w:r>
              <w:rPr>
                <w:rFonts w:ascii="仿宋_GB2312" w:hAnsi="仿宋_GB2312" w:cs="仿宋_GB2312" w:eastAsia="仿宋_GB2312"/>
                <w:sz w:val="21"/>
              </w:rPr>
              <w:t>人员保障：配备家庭医生、护士、康复、助残联络员，开展专项培训。</w:t>
            </w:r>
          </w:p>
          <w:p>
            <w:pPr>
              <w:pStyle w:val="null3"/>
              <w:jc w:val="both"/>
            </w:pPr>
            <w:r>
              <w:rPr>
                <w:rFonts w:ascii="仿宋_GB2312" w:hAnsi="仿宋_GB2312" w:cs="仿宋_GB2312" w:eastAsia="仿宋_GB2312"/>
                <w:sz w:val="21"/>
              </w:rPr>
              <w:t>经费保障：实行</w:t>
            </w:r>
            <w:r>
              <w:rPr>
                <w:rFonts w:ascii="仿宋_GB2312" w:hAnsi="仿宋_GB2312" w:cs="仿宋_GB2312" w:eastAsia="仿宋_GB2312"/>
                <w:sz w:val="21"/>
              </w:rPr>
              <w:t>“人头包干+上门人次+分类考核”结算，重点人群经费倾斜。</w:t>
            </w:r>
          </w:p>
          <w:p>
            <w:pPr>
              <w:pStyle w:val="null3"/>
              <w:jc w:val="both"/>
            </w:pPr>
            <w:r>
              <w:rPr>
                <w:rFonts w:ascii="仿宋_GB2312" w:hAnsi="仿宋_GB2312" w:cs="仿宋_GB2312" w:eastAsia="仿宋_GB2312"/>
                <w:sz w:val="21"/>
              </w:rPr>
              <w:t>安全保障：上门服务保险、应急流程、恶劣天气调整服务、监护人在场制度。</w:t>
            </w:r>
          </w:p>
          <w:p>
            <w:pPr>
              <w:pStyle w:val="null3"/>
              <w:jc w:val="both"/>
            </w:pPr>
            <w:r>
              <w:rPr>
                <w:rFonts w:ascii="仿宋_GB2312" w:hAnsi="仿宋_GB2312" w:cs="仿宋_GB2312" w:eastAsia="仿宋_GB2312"/>
                <w:sz w:val="21"/>
              </w:rPr>
              <w:t>督导保障：月度自查、季度抽查、半年评估、年度考核，全程飞检与复核。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整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整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整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人员与管理提升建议；②服务质量保障承诺；③责任履行承诺。方案内容完整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提供项目实施方案包含但不限于①重难点分析；②重难点应对措施。方案内容完整的得6分；方案中每有一项内容缺失扣3分，方案内容要素中每存在一处缺陷扣1分，该分项分值扣完为止。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