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版本号：SXWZ2026ZB-XAZX-03920260513001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杀毒系统维保项目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SXWZ2026ZB-XAZX-039</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杀毒系统维保项目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SXWZ2026ZB-XAZX-039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杀毒系统维保项目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西安市中心医院杀毒系统维保项目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采购包1（杀毒系统维保项目）：属于专门面向中小企业采购。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法定代表人授权委托书：法定代表人参加磋商的提供法定代表人身份证明及身份证，委托代理人参加磋商的提供法定代表人授权委托书及法定代表人、委托代理人身份证，并提供被授权人在本单位缴纳的社保记录（近3个月内，提交响应文件截止时间当月不计入），自然人参加磋商的只需提供身份证。</w:t>
      </w:r>
    </w:p>
    <w:p>
      <w:pPr>
        <w:pStyle w:val="null3"/>
      </w:pPr>
      <w:r>
        <w:rPr>
          <w:rFonts w:ascii="仿宋_GB2312" w:hAnsi="仿宋_GB2312" w:cs="仿宋_GB2312" w:eastAsia="仿宋_GB2312"/>
        </w:rPr>
        <w:t>3、社会保障资金缴纳证明：提供2025年1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4、税收缴纳证明：提供2025年1月至今已缴纳的至少一个月的纳税证明或完税证明；依法免税的单位应提供相关证明材料。（以税收所属时期为准）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审计的2024年度或2025年度的财务审计报告复印件（财务报告是指经会计师事务所审计的上述指定年度整个会计年度财务报表,复印件至少须包括报告正文、资产负债表、利润表、现金流量表、所有者权益变动表及附注和会计师事务所营业执照，报告正文应当有会计师事务所公章和2名注册会计师的签字及盖章。且审计报告应当经过注册会计师行业统一监管平台备案赋码），或在响应文件提交截至时间前六个月内其基本开户银行出具的资信证明和基本户证明材料(若供应商成立时间不足六个月，需提供成立至今的财务状况证明材料，或成立至响应文件提交截至时间前的基本开户银行出具的资信证明和基本户证明材料)。（以上两种形式的资料提供任何一种即可）。</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7、非联合体声明：本项目不接受联合体磋商，供应商应提供非联合体声明函。（格式自拟）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说明：说明：1、投标人应当按照中标合同总金额的5%作为履约保证金交付给采购人。 2、保证期为中标（成交）通知书到达中标投标人之日起至项目服务期结束日。 3、保证期满投标人如约履行合同的，采购人在合同服务期结束之日起30日内退还履约保证金（无息）。</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代理服务费收费标准：以本采购项目成交价为基数，按《招标代理服务收费管理暂行办法》（计价格[2002]1980号）的有关规定下浮20%，向采购代理机构一次付清代理服务费。 中标单位按以下账户缴纳服务费（对公转账）： 户名:陕西万泽招标有限公司 账号:2110 1158 0000 0154 89 开户行:西安银行朝阳门支行 转账备注：中心医院-039-服务费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联系电话：029-88319689-8003/8005</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服务器及终端防病毒系统运行多年以来，软件系统运行良好，有力保障了院内计算机网络系统安全运行。但相关软件已经脱离厂商维保。为了保障院内计算机网络系统的正常运转，本次采购服务器及终端防病毒系统的维保及升级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杀毒系统维保项目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标的名称：杀毒系统维保项目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服务内容（包括工作区域、工作内容等）</w:t>
            </w:r>
          </w:p>
          <w:p>
            <w:pPr>
              <w:pStyle w:val="null3"/>
              <w:ind w:firstLine="420"/>
            </w:pPr>
            <w:r>
              <w:rPr>
                <w:rFonts w:ascii="仿宋_GB2312" w:hAnsi="仿宋_GB2312" w:cs="仿宋_GB2312" w:eastAsia="仿宋_GB2312"/>
                <w:sz w:val="21"/>
              </w:rPr>
              <w:t>服务器及终端防病毒系统的维保及升级服务，服务周期一年。</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、技术要求（如有，一般适合于技术服务项目）</w:t>
            </w:r>
          </w:p>
          <w:p>
            <w:pPr>
              <w:pStyle w:val="null3"/>
              <w:ind w:firstLine="420"/>
            </w:pPr>
            <w:r>
              <w:rPr>
                <w:rFonts w:ascii="仿宋_GB2312" w:hAnsi="仿宋_GB2312" w:cs="仿宋_GB2312" w:eastAsia="仿宋_GB2312"/>
                <w:sz w:val="21"/>
              </w:rPr>
              <w:t>一、整体要求</w:t>
            </w:r>
          </w:p>
          <w:p>
            <w:pPr>
              <w:pStyle w:val="null3"/>
              <w:ind w:firstLine="420"/>
            </w:pPr>
            <w:r>
              <w:rPr>
                <w:rFonts w:ascii="仿宋_GB2312" w:hAnsi="仿宋_GB2312" w:cs="仿宋_GB2312" w:eastAsia="仿宋_GB2312"/>
                <w:sz w:val="21"/>
              </w:rPr>
              <w:t>本次采购企业级一体化安全杀毒防护软件，包含终端防护模块与服务器防护模块，支持全网统一集中管理，兼容主流通用架构及国产化软硬件环境，满足企业日常病毒查杀、恶意程序防御、勒索病毒防护、安全审计等安全需求，病毒库、引擎特征库长期在线升级更新。</w:t>
            </w:r>
          </w:p>
          <w:p>
            <w:pPr>
              <w:pStyle w:val="null3"/>
              <w:ind w:firstLine="420"/>
            </w:pPr>
            <w:r>
              <w:rPr>
                <w:rFonts w:ascii="仿宋_GB2312" w:hAnsi="仿宋_GB2312" w:cs="仿宋_GB2312" w:eastAsia="仿宋_GB2312"/>
                <w:sz w:val="21"/>
              </w:rPr>
              <w:t>服务年限：共一年，提供一年的服务器及终端防病毒系统软件维护与升级服务</w:t>
            </w:r>
            <w:r>
              <w:rPr>
                <w:rFonts w:ascii="仿宋_GB2312" w:hAnsi="仿宋_GB2312" w:cs="仿宋_GB2312" w:eastAsia="仿宋_GB2312"/>
                <w:sz w:val="21"/>
              </w:rPr>
              <w:t>，</w:t>
            </w:r>
            <w:r>
              <w:rPr>
                <w:rFonts w:ascii="仿宋_GB2312" w:hAnsi="仿宋_GB2312" w:cs="仿宋_GB2312" w:eastAsia="仿宋_GB2312"/>
                <w:sz w:val="21"/>
              </w:rPr>
              <w:t>覆盖</w:t>
            </w:r>
            <w:r>
              <w:rPr>
                <w:rFonts w:ascii="仿宋_GB2312" w:hAnsi="仿宋_GB2312" w:cs="仿宋_GB2312" w:eastAsia="仿宋_GB2312"/>
                <w:sz w:val="21"/>
              </w:rPr>
              <w:t>1000个终端，300个服务器。终端支持X86和国产化系统，服务器端支持</w:t>
            </w:r>
            <w:r>
              <w:rPr>
                <w:rFonts w:ascii="仿宋_GB2312" w:hAnsi="仿宋_GB2312" w:cs="仿宋_GB2312" w:eastAsia="仿宋_GB2312"/>
                <w:sz w:val="21"/>
              </w:rPr>
              <w:t>投标方必须每月派相关技术人员到投标方配合网络安全管理员进行安全巡检。并且在特殊情况根据工作需要向招标方提供信息系统安全建设技术咨询服务及向招标方提供信息安全技术培训服务。</w:t>
            </w:r>
          </w:p>
          <w:p>
            <w:pPr>
              <w:pStyle w:val="null3"/>
              <w:ind w:firstLine="420"/>
            </w:pPr>
            <w:r>
              <w:rPr>
                <w:rFonts w:ascii="仿宋_GB2312" w:hAnsi="仿宋_GB2312" w:cs="仿宋_GB2312" w:eastAsia="仿宋_GB2312"/>
                <w:sz w:val="21"/>
              </w:rPr>
              <w:t>二、终端防护参数</w:t>
            </w:r>
          </w:p>
          <w:p>
            <w:pPr>
              <w:pStyle w:val="null3"/>
              <w:ind w:firstLine="420"/>
            </w:pPr>
            <w:r>
              <w:rPr>
                <w:rFonts w:ascii="仿宋_GB2312" w:hAnsi="仿宋_GB2312" w:cs="仿宋_GB2312" w:eastAsia="仿宋_GB2312"/>
                <w:sz w:val="21"/>
              </w:rPr>
              <w:t>架构兼容：全面支持</w:t>
            </w:r>
            <w:r>
              <w:rPr>
                <w:rFonts w:ascii="仿宋_GB2312" w:hAnsi="仿宋_GB2312" w:cs="仿宋_GB2312" w:eastAsia="仿宋_GB2312"/>
                <w:sz w:val="21"/>
              </w:rPr>
              <w:t>X86/X86_64通用架构终端，同时深度适配国产化硬件架构（ARM64 等）。</w:t>
            </w:r>
          </w:p>
          <w:p>
            <w:pPr>
              <w:pStyle w:val="null3"/>
              <w:ind w:firstLine="420"/>
            </w:pPr>
            <w:r>
              <w:rPr>
                <w:rFonts w:ascii="仿宋_GB2312" w:hAnsi="仿宋_GB2312" w:cs="仿宋_GB2312" w:eastAsia="仿宋_GB2312"/>
                <w:sz w:val="21"/>
              </w:rPr>
              <w:t>系统适配：兼容</w:t>
            </w:r>
            <w:r>
              <w:rPr>
                <w:rFonts w:ascii="仿宋_GB2312" w:hAnsi="仿宋_GB2312" w:cs="仿宋_GB2312" w:eastAsia="仿宋_GB2312"/>
                <w:sz w:val="21"/>
              </w:rPr>
              <w:t>Windows 全系列、通用 Linux 等常规操作系统；完美适配国产化操作系统，包含银河麒麟、统信 UOS、中标麒麟、中科方德、红旗 Linux 等国产系统，适配龙芯、兆芯、飞腾、鲲鹏等国产处理器平台。</w:t>
            </w:r>
          </w:p>
          <w:p>
            <w:pPr>
              <w:pStyle w:val="null3"/>
              <w:ind w:firstLine="420"/>
            </w:pPr>
            <w:r>
              <w:rPr>
                <w:rFonts w:ascii="仿宋_GB2312" w:hAnsi="仿宋_GB2312" w:cs="仿宋_GB2312" w:eastAsia="仿宋_GB2312"/>
                <w:sz w:val="21"/>
              </w:rPr>
              <w:t>核心功能：具备实时监控、全盘查杀、自定义扫描、隔离恢复、主动防御、木马</w:t>
            </w:r>
            <w:r>
              <w:rPr>
                <w:rFonts w:ascii="仿宋_GB2312" w:hAnsi="仿宋_GB2312" w:cs="仿宋_GB2312" w:eastAsia="仿宋_GB2312"/>
                <w:sz w:val="21"/>
              </w:rPr>
              <w:t>/ 蠕虫 / 恶意脚本 / 勒索病毒专项查杀能力，支持外设管控、程序行为管控、安全日志记录。</w:t>
            </w:r>
          </w:p>
          <w:p>
            <w:pPr>
              <w:pStyle w:val="null3"/>
              <w:ind w:firstLine="420"/>
            </w:pPr>
            <w:r>
              <w:rPr>
                <w:rFonts w:ascii="仿宋_GB2312" w:hAnsi="仿宋_GB2312" w:cs="仿宋_GB2312" w:eastAsia="仿宋_GB2312"/>
                <w:sz w:val="21"/>
              </w:rPr>
              <w:t>部署管理：支持静默批量部署、策略统一下发、终端状态实时监控、异常告警提醒，低资源占用，不影响终端正常办公运行。</w:t>
            </w:r>
          </w:p>
          <w:p>
            <w:pPr>
              <w:pStyle w:val="null3"/>
              <w:ind w:firstLine="420"/>
            </w:pPr>
            <w:r>
              <w:rPr>
                <w:rFonts w:ascii="仿宋_GB2312" w:hAnsi="仿宋_GB2312" w:cs="仿宋_GB2312" w:eastAsia="仿宋_GB2312"/>
                <w:sz w:val="21"/>
              </w:rPr>
              <w:t>三、服务器防护参数</w:t>
            </w:r>
          </w:p>
          <w:p>
            <w:pPr>
              <w:pStyle w:val="null3"/>
              <w:ind w:firstLine="420"/>
            </w:pPr>
            <w:r>
              <w:rPr>
                <w:rFonts w:ascii="仿宋_GB2312" w:hAnsi="仿宋_GB2312" w:cs="仿宋_GB2312" w:eastAsia="仿宋_GB2312"/>
                <w:sz w:val="21"/>
              </w:rPr>
              <w:t>部署环境：支持物理服务器与虚拟化服务器全场景部署，兼容</w:t>
            </w:r>
            <w:r>
              <w:rPr>
                <w:rFonts w:ascii="仿宋_GB2312" w:hAnsi="仿宋_GB2312" w:cs="仿宋_GB2312" w:eastAsia="仿宋_GB2312"/>
                <w:sz w:val="21"/>
              </w:rPr>
              <w:t>vmware、Hyper-V、国产化虚拟化平台等主流虚拟化架构，支持虚拟化集群、虚拟机无代理 / 轻代理防护部署。</w:t>
            </w:r>
          </w:p>
          <w:p>
            <w:pPr>
              <w:pStyle w:val="null3"/>
              <w:ind w:firstLine="420"/>
            </w:pPr>
            <w:r>
              <w:rPr>
                <w:rFonts w:ascii="仿宋_GB2312" w:hAnsi="仿宋_GB2312" w:cs="仿宋_GB2312" w:eastAsia="仿宋_GB2312"/>
                <w:sz w:val="21"/>
              </w:rPr>
              <w:t>系统兼容：支持</w:t>
            </w:r>
            <w:r>
              <w:rPr>
                <w:rFonts w:ascii="仿宋_GB2312" w:hAnsi="仿宋_GB2312" w:cs="仿宋_GB2312" w:eastAsia="仿宋_GB2312"/>
                <w:sz w:val="21"/>
              </w:rPr>
              <w:t>Windows Server、CentOS、RedHat、Ubuntu 等通用服务器系统，同时适配国产服务器操作系统，满足国产化服务器安全防护需求。</w:t>
            </w:r>
          </w:p>
          <w:p>
            <w:pPr>
              <w:pStyle w:val="null3"/>
              <w:ind w:firstLine="420"/>
            </w:pPr>
            <w:r>
              <w:rPr>
                <w:rFonts w:ascii="仿宋_GB2312" w:hAnsi="仿宋_GB2312" w:cs="仿宋_GB2312" w:eastAsia="仿宋_GB2312"/>
                <w:sz w:val="21"/>
              </w:rPr>
              <w:t>服务器专属能力：支持服务器文件实时防护、目录防护、共享文件扫描、业务系统低干扰运行，支持定时全盘查杀、漏洞风险检测、服务器关键文件防篡改，保障业务系统稳定运行。</w:t>
            </w:r>
          </w:p>
          <w:p>
            <w:pPr>
              <w:pStyle w:val="null3"/>
              <w:ind w:firstLine="420"/>
            </w:pPr>
            <w:r>
              <w:rPr>
                <w:rFonts w:ascii="仿宋_GB2312" w:hAnsi="仿宋_GB2312" w:cs="仿宋_GB2312" w:eastAsia="仿宋_GB2312"/>
                <w:sz w:val="21"/>
              </w:rPr>
              <w:t>四、管理与运维要求</w:t>
            </w:r>
          </w:p>
          <w:p>
            <w:pPr>
              <w:pStyle w:val="null3"/>
              <w:ind w:firstLine="420"/>
            </w:pPr>
            <w:r>
              <w:rPr>
                <w:rFonts w:ascii="仿宋_GB2312" w:hAnsi="仿宋_GB2312" w:cs="仿宋_GB2312" w:eastAsia="仿宋_GB2312"/>
                <w:sz w:val="21"/>
              </w:rPr>
              <w:t>配备统一</w:t>
            </w:r>
            <w:r>
              <w:rPr>
                <w:rFonts w:ascii="仿宋_GB2312" w:hAnsi="仿宋_GB2312" w:cs="仿宋_GB2312" w:eastAsia="仿宋_GB2312"/>
                <w:sz w:val="21"/>
              </w:rPr>
              <w:t>B/S 架构管理控制台，可集中管控全网 PC 终端、国产化终端、物理服务器、虚拟化服务器，统一配置防护策略、升级策略、查杀任务。</w:t>
            </w:r>
          </w:p>
          <w:p>
            <w:pPr>
              <w:pStyle w:val="null3"/>
              <w:ind w:firstLine="420"/>
            </w:pPr>
            <w:r>
              <w:rPr>
                <w:rFonts w:ascii="仿宋_GB2312" w:hAnsi="仿宋_GB2312" w:cs="仿宋_GB2312" w:eastAsia="仿宋_GB2312"/>
                <w:sz w:val="21"/>
              </w:rPr>
              <w:t>支持日志审计、威胁溯源、报表统计、异常终端隔离管控，符合等保安全合规要求。</w:t>
            </w:r>
          </w:p>
          <w:p>
            <w:pPr>
              <w:pStyle w:val="null3"/>
              <w:ind w:firstLine="420"/>
            </w:pPr>
            <w:r>
              <w:rPr>
                <w:rFonts w:ascii="仿宋_GB2312" w:hAnsi="仿宋_GB2312" w:cs="仿宋_GB2312" w:eastAsia="仿宋_GB2312"/>
                <w:sz w:val="21"/>
              </w:rPr>
              <w:t>提供原厂正版授权，含多年免费病毒库、引擎升级及技术售后支持。</w:t>
            </w:r>
          </w:p>
          <w:p>
            <w:pPr>
              <w:pStyle w:val="null3"/>
              <w:ind w:firstLine="420"/>
            </w:pPr>
            <w:r>
              <w:rPr>
                <w:rFonts w:ascii="仿宋_GB2312" w:hAnsi="仿宋_GB2312" w:cs="仿宋_GB2312" w:eastAsia="仿宋_GB2312"/>
                <w:sz w:val="21"/>
              </w:rPr>
              <w:t>2．工期要求：</w:t>
            </w:r>
          </w:p>
          <w:p>
            <w:pPr>
              <w:pStyle w:val="null3"/>
              <w:ind w:firstLine="420"/>
            </w:pPr>
            <w:r>
              <w:rPr>
                <w:rFonts w:ascii="仿宋_GB2312" w:hAnsi="仿宋_GB2312" w:cs="仿宋_GB2312" w:eastAsia="仿宋_GB2312"/>
                <w:sz w:val="21"/>
              </w:rPr>
              <w:t>完成产品到货，</w:t>
            </w:r>
            <w:r>
              <w:rPr>
                <w:rFonts w:ascii="仿宋_GB2312" w:hAnsi="仿宋_GB2312" w:cs="仿宋_GB2312" w:eastAsia="仿宋_GB2312"/>
                <w:sz w:val="21"/>
              </w:rPr>
              <w:t>10</w:t>
            </w:r>
            <w:r>
              <w:rPr>
                <w:rFonts w:ascii="仿宋_GB2312" w:hAnsi="仿宋_GB2312" w:cs="仿宋_GB2312" w:eastAsia="仿宋_GB2312"/>
                <w:sz w:val="21"/>
              </w:rPr>
              <w:t>个工作日；</w:t>
            </w:r>
          </w:p>
          <w:p>
            <w:pPr>
              <w:pStyle w:val="null3"/>
              <w:ind w:firstLine="420"/>
            </w:pPr>
            <w:r>
              <w:rPr>
                <w:rFonts w:ascii="仿宋_GB2312" w:hAnsi="仿宋_GB2312" w:cs="仿宋_GB2312" w:eastAsia="仿宋_GB2312"/>
                <w:sz w:val="21"/>
              </w:rPr>
              <w:t>完成设备实施安装，</w:t>
            </w:r>
            <w:r>
              <w:rPr>
                <w:rFonts w:ascii="仿宋_GB2312" w:hAnsi="仿宋_GB2312" w:cs="仿宋_GB2312" w:eastAsia="仿宋_GB2312"/>
                <w:sz w:val="21"/>
              </w:rPr>
              <w:t>5</w:t>
            </w:r>
            <w:r>
              <w:rPr>
                <w:rFonts w:ascii="仿宋_GB2312" w:hAnsi="仿宋_GB2312" w:cs="仿宋_GB2312" w:eastAsia="仿宋_GB2312"/>
                <w:sz w:val="21"/>
              </w:rPr>
              <w:t>个工作日；</w:t>
            </w:r>
          </w:p>
          <w:p>
            <w:pPr>
              <w:pStyle w:val="null3"/>
            </w:pPr>
            <w:r>
              <w:rPr>
                <w:rFonts w:ascii="仿宋_GB2312" w:hAnsi="仿宋_GB2312" w:cs="仿宋_GB2312" w:eastAsia="仿宋_GB2312"/>
                <w:sz w:val="21"/>
                <w:b/>
              </w:rPr>
              <w:t>三</w:t>
            </w:r>
            <w:r>
              <w:rPr>
                <w:rFonts w:ascii="仿宋_GB2312" w:hAnsi="仿宋_GB2312" w:cs="仿宋_GB2312" w:eastAsia="仿宋_GB2312"/>
                <w:sz w:val="21"/>
                <w:b/>
              </w:rPr>
              <w:t>、服务要求（如对人员配置、专业设备、服务标准等）</w:t>
            </w:r>
          </w:p>
          <w:p>
            <w:pPr>
              <w:pStyle w:val="null3"/>
              <w:ind w:firstLine="420"/>
            </w:pPr>
            <w:r>
              <w:rPr>
                <w:rFonts w:ascii="仿宋_GB2312" w:hAnsi="仿宋_GB2312" w:cs="仿宋_GB2312" w:eastAsia="仿宋_GB2312"/>
                <w:sz w:val="21"/>
              </w:rPr>
              <w:t>1．服务商须提供详细的项目实施方案，组建技术团队完成实施工作。</w:t>
            </w:r>
          </w:p>
          <w:p>
            <w:pPr>
              <w:pStyle w:val="null3"/>
              <w:ind w:firstLine="420"/>
            </w:pPr>
            <w:r>
              <w:rPr>
                <w:rFonts w:ascii="仿宋_GB2312" w:hAnsi="仿宋_GB2312" w:cs="仿宋_GB2312" w:eastAsia="仿宋_GB2312"/>
                <w:sz w:val="21"/>
              </w:rPr>
              <w:t>2．服务商在建设实施过程中应避免对业务系统的干扰，如果因服务商技术问题或维护问题等原因造成招标单位业务系统事故，使招标单位遭受损失的，服务商应赔偿损失；</w:t>
            </w:r>
          </w:p>
          <w:p>
            <w:pPr>
              <w:pStyle w:val="null3"/>
              <w:ind w:firstLine="420"/>
            </w:pPr>
            <w:r>
              <w:rPr>
                <w:rFonts w:ascii="仿宋_GB2312" w:hAnsi="仿宋_GB2312" w:cs="仿宋_GB2312" w:eastAsia="仿宋_GB2312"/>
                <w:sz w:val="21"/>
              </w:rPr>
              <w:t>3．在技术服务期间，如果出现因服务商责任，未能在承诺时间内恢复业务运行，招标单位有权请第三方进行解决处理，由此所产生的一切费用由服务商承担。</w:t>
            </w:r>
          </w:p>
          <w:p>
            <w:pPr>
              <w:pStyle w:val="null3"/>
              <w:ind w:firstLine="420"/>
            </w:pPr>
            <w:r>
              <w:rPr>
                <w:rFonts w:ascii="仿宋_GB2312" w:hAnsi="仿宋_GB2312" w:cs="仿宋_GB2312" w:eastAsia="仿宋_GB2312"/>
                <w:sz w:val="21"/>
              </w:rPr>
              <w:t>4．技术服务期间，服务商不符合或达不到合同中要求的技术服务标准，招标单位有权提前终止或解除合同。</w:t>
            </w:r>
          </w:p>
          <w:p>
            <w:pPr>
              <w:pStyle w:val="null3"/>
              <w:ind w:firstLine="420"/>
            </w:pPr>
            <w:r>
              <w:rPr>
                <w:rFonts w:ascii="仿宋_GB2312" w:hAnsi="仿宋_GB2312" w:cs="仿宋_GB2312" w:eastAsia="仿宋_GB2312"/>
                <w:sz w:val="21"/>
              </w:rPr>
              <w:t>5．双方需对项目过程中发现的问题进行现场确认。服务商应对约定的项目建设负全责，并应在满足工程进度要求的前提下，确保实施过程中不会因工作失误而影响用户系统正常运行。</w:t>
            </w:r>
          </w:p>
          <w:p>
            <w:pPr>
              <w:pStyle w:val="null3"/>
              <w:ind w:firstLine="420"/>
            </w:pPr>
            <w:r>
              <w:rPr>
                <w:rFonts w:ascii="仿宋_GB2312" w:hAnsi="仿宋_GB2312" w:cs="仿宋_GB2312" w:eastAsia="仿宋_GB2312"/>
                <w:sz w:val="21"/>
              </w:rPr>
              <w:t>6．技术服务期间，必须按照招标方的要求在实施安装期间完成对全院范围内的设备进行相关软硬件安装，安装期间服务商现场技术服务人员不得少于3人。系统试运行期间，按照制定的管理策略进行策略下发执行，并配合招标方相关人员完成系统上线、技术文档移交等验收交付前的准备工作。</w:t>
            </w:r>
          </w:p>
          <w:p>
            <w:pPr>
              <w:pStyle w:val="null3"/>
            </w:pPr>
            <w:r>
              <w:rPr>
                <w:rFonts w:ascii="仿宋_GB2312" w:hAnsi="仿宋_GB2312" w:cs="仿宋_GB2312" w:eastAsia="仿宋_GB2312"/>
                <w:sz w:val="21"/>
              </w:rPr>
              <w:t>7．管理策略制定：在西安市中心医院相关人员的协助下，对西安市中心医院业务内网所属服务器，按照安全管理要求，分级、分部门的制定出完善的、体系化的管理策略。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维保内容按甲方指定地点，6个月维保服务期满且验收合格后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12个月维保服务期满且验收合格后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供应商需要在线提交所有通过电子化交易平台实施的政府采购项目的投标文件，同时，线下提交投标 文件正本 壹 份、副本 贰 份。若电子投标文件 与纸质投标文件不一致的，以线上提交的电子投标文件为准。 1.线下提交投标文件地点：西安市高新区唐延路旺座现代城C座25楼2502室 2.联系电话：029-88319689-8003/8005；邮箱：sxwzzb04@163.com 3.供应商登记免费领取采购文件的，如不参与项目投标，应在递交投标（或响应）文件截止时间一日前以书面形式告知采购代理机构（自拟弃标函，发送至以上邮箱）。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法定代表人授权委托书及法定代表人、委托代理人身份证，并提供被授权人在本单位缴纳的社保记录（近3个月内，提交响应文件截止时间当月不计入），自然人参加磋商的只需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审计的2024年度或2025年度的财务审计报告复印件（财务报告是指经会计师事务所审计的上述指定年度整个会计年度财务报表,复印件至少须包括报告正文、资产负债表、利润表、现金流量表、所有者权益变动表及附注和会计师事务所营业执照，报告正文应当有会计师事务所公章和2名注册会计师的签字及盖章。且审计报告应当经过注册会计师行业统一监管平台备案赋码），或在响应文件提交截至时间前六个月内其基本开户银行出具的资信证明和基本户证明材料(若供应商成立时间不足六个月，需提供成立至今的财务状况证明材料，或成立至响应文件提交截至时间前的基本开户银行出具的资信证明和基本户证明材料)。（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本项目不接受联合体磋商，供应商应提供非联合体声明函。（格式自拟）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3.异常低价审查： 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投标（响应）供应商不能提供上述低价书面说明、证明材料（包括但不限于原材料成本、人工成本、制造费用等），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供应商名称是否与主体资格证书及公章一致</w:t>
            </w:r>
          </w:p>
        </w:tc>
        <w:tc>
          <w:tcPr>
            <w:tcW w:type="dxa" w:w="1661"/>
          </w:tcPr>
          <w:p>
            <w:pPr>
              <w:pStyle w:val="null3"/>
            </w:pPr>
            <w:r>
              <w:rPr>
                <w:rFonts w:ascii="仿宋_GB2312" w:hAnsi="仿宋_GB2312" w:cs="仿宋_GB2312" w:eastAsia="仿宋_GB2312"/>
              </w:rPr>
              <w:t>人员配备 重难点分析 中小企业声明函 商务应答表 供应商认为有必要说明的其他问题 承诺书 供应商应提交的相关资格证明材料 服务内容及服务要求应答表 业绩一览表 响应文件封面 应急方案 服务承诺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不属于磋商文件规定的无效情形</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人员配备 重难点分析 中小企业声明函 商务应答表 供应商认为有必要说明的其他问题 承诺书 供应商应提交的相关资格证明材料 服务内容及服务要求应答表 业绩一览表 响应文件封面 应急方案 服务承诺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人员配备 重难点分析 中小企业声明函 商务应答表 供应商认为有必要说明的其他问题 承诺书 供应商应提交的相关资格证明材料 服务内容及服务要求应答表 业绩一览表 响应文件封面 应急方案 服务承诺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法律法规和实质性要求：是否符合法律法规和采购文件规定的其他实质性要求</w:t>
            </w:r>
          </w:p>
        </w:tc>
        <w:tc>
          <w:tcPr>
            <w:tcW w:type="dxa" w:w="1661"/>
          </w:tcPr>
          <w:p>
            <w:pPr>
              <w:pStyle w:val="null3"/>
            </w:pPr>
            <w:r>
              <w:rPr>
                <w:rFonts w:ascii="仿宋_GB2312" w:hAnsi="仿宋_GB2312" w:cs="仿宋_GB2312" w:eastAsia="仿宋_GB2312"/>
              </w:rPr>
              <w:t>人员配备 重难点分析 中小企业声明函 商务应答表 供应商认为有必要说明的其他问题 承诺书 供应商应提交的相关资格证明材料 服务内容及服务要求应答表 业绩一览表 响应文件封面 应急方案 服务承诺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（1）供应商不是西安市中心医院的职工投资开办或控股企业; (2)西安市中心医院的职工本人或其亲属未在供应商担任高管、独立董事等具有重大利益关系职务。</w:t>
            </w:r>
          </w:p>
        </w:tc>
        <w:tc>
          <w:tcPr>
            <w:tcW w:type="dxa" w:w="1661"/>
          </w:tcPr>
          <w:p>
            <w:pPr>
              <w:pStyle w:val="null3"/>
            </w:pPr>
            <w:r>
              <w:rPr>
                <w:rFonts w:ascii="仿宋_GB2312" w:hAnsi="仿宋_GB2312" w:cs="仿宋_GB2312" w:eastAsia="仿宋_GB2312"/>
              </w:rPr>
              <w:t>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针对本项目的服务方案（含：①总体服务方案；②维保方案；③维保措施；④响应时间；⑤风险防范措施；⑥进度计划保证措施；⑦质量保证措施；⑧管理制度）进行综合评审，完整提供上述8项内容的得32分；每有一项未提供扣4分，扣完为止；每有一处有缺陷扣2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的重难点分析，包含①分析维保过程中的重难点工作；②针对重难点工作提出对应的解决方案及解决措施。完整提供上述2项内容的得10分；每有一项未提供扣5分，扣完为止；每有一处有缺陷扣3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重难点分析</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的人员配备方案，包含①人员配备清单；②岗位分工；③配备人员资质证书④人员管理制度。完整提供上述4项内容的得12分；每有一项未提供扣3分，扣完为止；每有一处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应急措施保障，措施保障内容包含①应急预案、②应急处理响应时间、③应急人数及人员安排、④保障措施。完整提供上述4项内容的得10分；每有一项未提供扣2.5分，扣完为止；每有一处有缺陷扣1.5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承诺内容包含①售后服务承诺及原厂售后服务服务承诺②售后响应方案。完整提供上述2项内容的得8分；每有一项未提供扣4分，扣完为止；每有一处有缺陷扣3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提供服务商的2023年1月1日（以签订日期为准）至今类似项目业绩合同复印件并加盖公章，每份计2分，满分8分。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 算，即满足磋商文件要求且磋商价格最低的磋商报价为评标基准价，其价格分为满分。其他供应商的价格分统一按照下 列公式计算：价格分=(评标基准价／磋商报价)×报价分值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详见附件：重难点分析</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详见附件：应急方案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详见附件：供应商认为有必要说明的其他问题</w:t>
      </w:r>
    </w:p>
    <w:p>
      <w:pPr>
        <w:pStyle w:val="null3"/>
        <w:ind w:firstLine="960"/>
      </w:pPr>
      <w:r>
        <w:rPr>
          <w:rFonts w:ascii="仿宋_GB2312" w:hAnsi="仿宋_GB2312" w:cs="仿宋_GB2312" w:eastAsia="仿宋_GB2312"/>
        </w:rPr>
        <w:t>详见附件：承诺书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