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E519E5">
      <w:pPr>
        <w:jc w:val="center"/>
        <w:rPr>
          <w:rFonts w:hint="default" w:ascii="仿宋_GB2312" w:hAnsi="仿宋_GB2312" w:eastAsia="仿宋_GB2312" w:cs="仿宋_GB2312"/>
          <w:b/>
          <w:bCs/>
          <w:kern w:val="0"/>
          <w:sz w:val="32"/>
          <w:szCs w:val="32"/>
          <w:highlight w:val="none"/>
          <w:lang w:val="en-US" w:eastAsia="zh-CN"/>
        </w:rPr>
      </w:pPr>
      <w:r>
        <w:rPr>
          <w:rFonts w:hint="eastAsia" w:ascii="仿宋_GB2312" w:hAnsi="仿宋_GB2312" w:eastAsia="仿宋_GB2312" w:cs="仿宋_GB2312"/>
          <w:b/>
          <w:bCs/>
          <w:kern w:val="0"/>
          <w:sz w:val="32"/>
          <w:szCs w:val="32"/>
          <w:highlight w:val="none"/>
          <w:lang w:val="en-US" w:eastAsia="zh-CN"/>
        </w:rPr>
        <w:t>采购需求</w:t>
      </w:r>
    </w:p>
    <w:p w14:paraId="68DD9F7F">
      <w:pP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一、服务内容</w:t>
      </w:r>
    </w:p>
    <w:p w14:paraId="55BB135F">
      <w:pPr>
        <w:pStyle w:val="5"/>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（一）项目概况</w:t>
      </w:r>
    </w:p>
    <w:p w14:paraId="2A9E197A">
      <w:pPr>
        <w:pStyle w:val="5"/>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highlight w:val="none"/>
          <w:lang w:val="en-US" w:eastAsia="zh-Hans"/>
        </w:rPr>
        <w:t>为进一步贯彻落实全国“八五”普法规划关于“加强青少年法治教育”的部署要求，切实推动青少年法治宣传教育深入开展，推进全省高校法治文化建设，提高大学生的法治意识，增强高等院校大学生法治观念，切实培育大学生参与法治实践的能力</w:t>
      </w:r>
      <w:r>
        <w:rPr>
          <w:rFonts w:hint="eastAsia" w:ascii="仿宋_GB2312" w:hAnsi="仿宋_GB2312" w:eastAsia="仿宋_GB2312" w:cs="仿宋_GB2312"/>
          <w:highlight w:val="none"/>
          <w:lang w:val="en-US" w:eastAsia="zh-CN"/>
        </w:rPr>
        <w:t>，计划开展</w:t>
      </w:r>
      <w:r>
        <w:rPr>
          <w:rFonts w:hint="eastAsia" w:ascii="仿宋_GB2312" w:hAnsi="仿宋_GB2312" w:eastAsia="仿宋_GB2312" w:cs="仿宋_GB2312"/>
          <w:highlight w:val="none"/>
          <w:lang w:eastAsia="zh-CN"/>
        </w:rPr>
        <w:t>陕西省第十一届高校法治文化宣传季</w:t>
      </w:r>
      <w:r>
        <w:rPr>
          <w:rFonts w:hint="eastAsia" w:ascii="仿宋_GB2312" w:hAnsi="仿宋_GB2312" w:eastAsia="仿宋_GB2312" w:cs="仿宋_GB2312"/>
          <w:highlight w:val="none"/>
          <w:lang w:val="en-US" w:eastAsia="zh-Hans"/>
        </w:rPr>
        <w:t>。</w:t>
      </w:r>
    </w:p>
    <w:p w14:paraId="099CD923">
      <w:pP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（二）活动计划：</w:t>
      </w:r>
    </w:p>
    <w:p w14:paraId="35B1160D">
      <w:pP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1.陕西省第十届高校法治文化宣传季成果汇报暨陕西省第十一届高校法治文化宣传季启动仪式；</w:t>
      </w:r>
    </w:p>
    <w:p w14:paraId="12DEA9BC">
      <w:pP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2.“五个一”法治文化作品征集；</w:t>
      </w:r>
    </w:p>
    <w:p w14:paraId="38A01E27">
      <w:pP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3.“法典先锋”冲关答题挑战赛；</w:t>
      </w:r>
    </w:p>
    <w:p w14:paraId="10D88360">
      <w:pP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4.“法治与文化”辩论邀请赛；</w:t>
      </w:r>
    </w:p>
    <w:p w14:paraId="442E4A3E">
      <w:pP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5.陕西省数字创意普法大赛。</w:t>
      </w:r>
    </w:p>
    <w:p w14:paraId="1169B607">
      <w:pP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二、服务要求</w:t>
      </w:r>
    </w:p>
    <w:p w14:paraId="54736D9C">
      <w:pP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1.陕西省第十届高校法治文化宣传季成果汇报暨陕西省第十一届高</w:t>
      </w:r>
      <w:bookmarkStart w:id="0" w:name="_GoBack"/>
      <w:bookmarkEnd w:id="0"/>
      <w:r>
        <w:rPr>
          <w:rFonts w:hint="eastAsia" w:ascii="仿宋_GB2312" w:hAnsi="仿宋_GB2312" w:eastAsia="仿宋_GB2312" w:cs="仿宋_GB2312"/>
          <w:kern w:val="0"/>
          <w:sz w:val="20"/>
          <w:szCs w:val="20"/>
          <w:highlight w:val="none"/>
          <w:lang w:val="en-US" w:eastAsia="zh-CN"/>
        </w:rPr>
        <w:t>校法治文化宣传季启动仪式</w:t>
      </w:r>
    </w:p>
    <w:p w14:paraId="0EF90280">
      <w:pP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策划组织实施本届高校法治文化宣传季启动仪式，设计主要环节，同时对活动场地进行整体设计规划，主舞台设计满足汇报演出需求，氛围营造符合活动需求，整体施工搭建规划合理。</w:t>
      </w:r>
    </w:p>
    <w:p w14:paraId="1AB99E3E">
      <w:pP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2.“五个一”法治文化作品征集</w:t>
      </w:r>
    </w:p>
    <w:p w14:paraId="03114B41">
      <w:pP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承接全省法治文艺作品征集、系统整理与权威评选工作。在项目规定周期内完成文学、微视频、书画、戏剧等多品类作品的征集接收、专业分类与数字化归档；协调法学专家、艺术家及媒体人士组建评审团，制定并应用兼顾法治内涵与艺术价值的双重量化标准进行评审；</w:t>
      </w:r>
    </w:p>
    <w:p w14:paraId="6B4B0087">
      <w:pPr>
        <w:rPr>
          <w:rFonts w:hint="eastAsia" w:ascii="仿宋_GB2312" w:hAnsi="仿宋_GB2312" w:eastAsia="仿宋_GB2312" w:cs="仿宋_GB2312"/>
          <w:b/>
          <w:bCs/>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3.“法典先锋”冲关答题挑战赛</w:t>
      </w:r>
    </w:p>
    <w:p w14:paraId="21EF9092">
      <w:pP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结合未成年人保护法、预防未成年人犯罪法、校园电信诈骗等青少年相关的法律法规及热点事件专业化筛选评估，并编制题库和普法内容。定制开发小程序为线上载体，在陕西省联动各高校开展线上、线下答题挑战赛。</w:t>
      </w:r>
    </w:p>
    <w:p w14:paraId="58F1EF4D">
      <w:pP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4.“法治与文化”辩论邀请赛</w:t>
      </w:r>
    </w:p>
    <w:p w14:paraId="1339B78C">
      <w:pP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广泛联动邀请全国代表性高校及全省各高校广泛开展“法治与文化”主题的高校辩论赛，围绕国家重视、家庭学校关心、社会关注、青少年关切的法律热点事件、问题设置辩论题目，以专业评审团队教育引导在校大学生自觉成为尊法学法守法用法的现代公民，做社会主义法治的忠实崇尚者、自觉遵守者、坚定捍卫者。</w:t>
      </w:r>
    </w:p>
    <w:p w14:paraId="1296A99A">
      <w:pP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5.陕西省数字创意普法大赛</w:t>
      </w:r>
    </w:p>
    <w:p w14:paraId="4226742D">
      <w:pP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组织大学生开展创意普法作品征集活动，鼓励各专业学生运用AIGC（人工智能生成内容）、动画动漫、短视频、平面设计、软件开发等新技术形式，组织专业领域评审老师进行评审指导，赋能法治文化的创新传播与法律知识的精准普及，助力培育具备数字素养与法治精神的新时代公民。</w:t>
      </w:r>
    </w:p>
    <w:p w14:paraId="1C10CFD9">
      <w:pPr>
        <w:pStyle w:val="2"/>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三、其他要求</w:t>
      </w:r>
    </w:p>
    <w:p w14:paraId="4FBC9809">
      <w:pP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1.</w:t>
      </w:r>
      <w:r>
        <w:rPr>
          <w:rFonts w:hint="default" w:ascii="仿宋_GB2312" w:hAnsi="仿宋_GB2312" w:eastAsia="仿宋_GB2312" w:cs="仿宋_GB2312"/>
          <w:kern w:val="0"/>
          <w:sz w:val="20"/>
          <w:szCs w:val="20"/>
          <w:highlight w:val="none"/>
          <w:lang w:val="en-US" w:eastAsia="zh-CN"/>
        </w:rPr>
        <w:t>供应商应编制应急预案及补救措施，方案需明确突发事件应急处理小组设置与人员分工，制定服务未达预期效果的处置方案，并针对各类突发事件制定相应应急措施。</w:t>
      </w:r>
    </w:p>
    <w:p w14:paraId="3F9D1116">
      <w:pP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2.服务承诺</w:t>
      </w:r>
    </w:p>
    <w:p w14:paraId="00B4424E">
      <w:pP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①服务期内过程资料整理、移交</w:t>
      </w:r>
    </w:p>
    <w:p w14:paraId="14627703">
      <w:pP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服务期内全程规范收集、整理项目所有图文、视频、台账、备案资料，服务结束后完整、有序完成资料归档与移交，保障项目资料可追溯、可存档。</w:t>
      </w:r>
    </w:p>
    <w:p w14:paraId="1ADE7AE9">
      <w:pP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②服务期限内人员及活动保障</w:t>
      </w:r>
    </w:p>
    <w:p w14:paraId="7A9AAAF7">
      <w:pP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服务周期内配备固定、专业团队，全程在岗履职，不随意更换核心工作人员，保障宣传策划、执行、落地全流程稳定有序。</w:t>
      </w:r>
    </w:p>
    <w:p w14:paraId="6C9DDC5C">
      <w:pP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③积极主动与采购人对接沟通</w:t>
      </w:r>
    </w:p>
    <w:p w14:paraId="75AE31FD">
      <w:pP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项目实施全过程主动、积极对接采购人，及时汇报项目进度、工作动态，主动对接需求、答疑解惑，配合采购人统筹安排各项工作。</w:t>
      </w:r>
    </w:p>
    <w:p w14:paraId="31929273">
      <w:pP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④针对采购人提出的修改意见、整改要求与优化建议提供服务</w:t>
      </w:r>
    </w:p>
    <w:p w14:paraId="1ED036AF">
      <w:pP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完全响应采购人在前期、执行、收尾各阶段提出的修改意见、整改要求及优化建议，做到即时响应、限期整改、闭环落实，全力保障服务质量。</w:t>
      </w:r>
    </w:p>
    <w:p w14:paraId="05EBD955">
      <w:pP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⑤突发事件及时响应</w:t>
      </w:r>
    </w:p>
    <w:p w14:paraId="05BA4D9F">
      <w:pP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项目实施过程中的突发状况、现场问题、风险等突发事项，建立快速响应机制，第一时间处置、及时上报、妥善化解问题。</w:t>
      </w:r>
    </w:p>
    <w:p w14:paraId="373D92FC">
      <w:pP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⑥信息安全保密</w:t>
      </w:r>
    </w:p>
    <w:p w14:paraId="7D534A85">
      <w:pP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对项目涉及的信息、相关数据、内部资料、未公开宣传内容严格保密，严禁外泄、转借、私自传播，承担全程保密责任。</w:t>
      </w:r>
    </w:p>
    <w:p w14:paraId="1B6CD0AF">
      <w:pP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⑦素材版权合规</w:t>
      </w:r>
    </w:p>
    <w:p w14:paraId="2BBB3D24">
      <w:pP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项目所用图文、视频、字体、设计素材等均保证版权合规、来源合法，无侵权风险。</w:t>
      </w:r>
    </w:p>
    <w:p w14:paraId="16F13DCC">
      <w:pPr>
        <w:rPr>
          <w:rFonts w:hint="default" w:ascii="仿宋_GB2312" w:hAnsi="仿宋_GB2312" w:eastAsia="仿宋_GB2312" w:cs="仿宋_GB2312"/>
          <w:kern w:val="0"/>
          <w:sz w:val="20"/>
          <w:szCs w:val="20"/>
          <w:highlight w:val="none"/>
          <w:lang w:val="en-US" w:eastAsia="zh-CN"/>
        </w:rPr>
      </w:pPr>
      <w:r>
        <w:rPr>
          <w:rFonts w:hint="default" w:ascii="仿宋_GB2312" w:hAnsi="仿宋_GB2312" w:eastAsia="仿宋_GB2312" w:cs="仿宋_GB2312"/>
          <w:kern w:val="0"/>
          <w:sz w:val="20"/>
          <w:szCs w:val="20"/>
          <w:highlight w:val="none"/>
          <w:lang w:val="en-US" w:eastAsia="zh-CN"/>
        </w:rPr>
        <w:t>⑧售后长效保障</w:t>
      </w:r>
    </w:p>
    <w:p w14:paraId="47447CEC">
      <w:pPr>
        <w:rPr>
          <w:highlight w:val="none"/>
        </w:rPr>
      </w:pPr>
      <w:r>
        <w:rPr>
          <w:rFonts w:hint="default" w:ascii="仿宋_GB2312" w:hAnsi="仿宋_GB2312" w:eastAsia="仿宋_GB2312" w:cs="仿宋_GB2312"/>
          <w:kern w:val="0"/>
          <w:sz w:val="20"/>
          <w:szCs w:val="20"/>
          <w:highlight w:val="none"/>
          <w:lang w:val="en-US" w:eastAsia="zh-CN"/>
        </w:rPr>
        <w:t>项目完成后提供合理周期的售后保障服务，针对宣传内容微调、资料补录、信息更正等后续需求，无偿配合完成兜底服务。</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124837"/>
    <w:rsid w:val="591248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Arial" w:hAnsi="Arial" w:eastAsia="Arial" w:cs="Arial"/>
      <w:sz w:val="21"/>
      <w:szCs w:val="21"/>
      <w:lang w:val="en-US" w:eastAsia="en-US" w:bidi="ar-SA"/>
    </w:r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2026-08-07T01:09:00Z</dcterms:created>
  <dc:creator>Lenovo</dc:creator>
  <cp:lastModifiedBy>Lenovo</cp:lastModifiedBy>
  <dcterms:modified xsi:type="dcterms:W3CDTF">2026-08-07T01:11:30Z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343A4A8843F343E2AA6BF2BA532F3270_11</vt:lpwstr>
  </property>
  <property fmtid="{D5CDD505-2E9C-101B-9397-08002B2CF9AE}" pid="4" name="KSOTemplateDocerSaveRecord">
    <vt:lpwstr>eyJoZGlkIjoiZjdmN2JjMTBmOTIxY2MwYTkyYTRkYTkxMmM4MjYyNWEiLCJ1c2VySWQiOiI0NDgyMTE1NDUifQ==</vt:lpwstr>
  </property>
</Properties>
</file>