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D4BB0E">
      <w:pPr>
        <w:spacing w:line="560" w:lineRule="exact"/>
        <w:rPr>
          <w:rFonts w:hint="eastAsia" w:cs="仿宋" w:asciiTheme="minorEastAsia" w:hAnsiTheme="minorEastAsia"/>
          <w:sz w:val="28"/>
          <w:szCs w:val="28"/>
        </w:rPr>
      </w:pPr>
      <w:r>
        <w:rPr>
          <w:rFonts w:hint="eastAsia" w:cs="仿宋" w:asciiTheme="minorEastAsia" w:hAnsiTheme="minorEastAsia"/>
          <w:sz w:val="28"/>
          <w:szCs w:val="28"/>
        </w:rPr>
        <w:t xml:space="preserve">项目编号：       </w:t>
      </w:r>
    </w:p>
    <w:p w14:paraId="43190AB0">
      <w:pPr>
        <w:spacing w:line="560" w:lineRule="exact"/>
        <w:rPr>
          <w:rFonts w:hint="eastAsia" w:cs="仿宋" w:asciiTheme="minorEastAsia" w:hAnsiTheme="minorEastAsia"/>
          <w:sz w:val="28"/>
          <w:szCs w:val="28"/>
        </w:rPr>
      </w:pPr>
    </w:p>
    <w:p w14:paraId="32BBCC7E">
      <w:pPr>
        <w:spacing w:line="480" w:lineRule="auto"/>
        <w:jc w:val="center"/>
        <w:rPr>
          <w:rFonts w:hint="eastAsia" w:cs="仿宋" w:asciiTheme="minorEastAsia" w:hAnsiTheme="minorEastAsia"/>
          <w:sz w:val="48"/>
          <w:szCs w:val="48"/>
        </w:rPr>
      </w:pPr>
    </w:p>
    <w:p w14:paraId="69A0CD58">
      <w:pPr>
        <w:spacing w:line="480" w:lineRule="auto"/>
        <w:jc w:val="center"/>
        <w:rPr>
          <w:rFonts w:hint="eastAsia" w:cs="仿宋" w:asciiTheme="minorEastAsia" w:hAnsiTheme="minorEastAsia"/>
          <w:b/>
          <w:bCs/>
          <w:sz w:val="48"/>
          <w:szCs w:val="48"/>
        </w:rPr>
      </w:pPr>
    </w:p>
    <w:p w14:paraId="58F2A56C">
      <w:pPr>
        <w:spacing w:line="720" w:lineRule="auto"/>
        <w:jc w:val="center"/>
        <w:rPr>
          <w:rFonts w:hint="eastAsia" w:cs="仿宋" w:asciiTheme="minorEastAsia" w:hAnsiTheme="minorEastAsia"/>
          <w:b/>
          <w:bCs/>
          <w:sz w:val="48"/>
          <w:szCs w:val="48"/>
          <w:lang w:eastAsia="zh-CN"/>
        </w:rPr>
      </w:pPr>
      <w:r>
        <w:rPr>
          <w:rFonts w:hint="eastAsia" w:cs="仿宋" w:asciiTheme="minorEastAsia" w:hAnsiTheme="minorEastAsia"/>
          <w:b/>
          <w:bCs/>
          <w:sz w:val="48"/>
          <w:szCs w:val="48"/>
          <w:lang w:eastAsia="zh-CN"/>
        </w:rPr>
        <w:t>鄠邑区耕地占补平衡B库指标核定入库项目</w:t>
      </w:r>
    </w:p>
    <w:p w14:paraId="6FC1151F">
      <w:pPr>
        <w:spacing w:line="720" w:lineRule="auto"/>
        <w:jc w:val="center"/>
        <w:rPr>
          <w:rFonts w:hint="eastAsia" w:cs="仿宋" w:asciiTheme="minorEastAsia" w:hAnsiTheme="minorEastAsia"/>
          <w:b/>
          <w:bCs/>
          <w:sz w:val="48"/>
          <w:szCs w:val="48"/>
          <w:lang w:eastAsia="zh-CN"/>
        </w:rPr>
      </w:pPr>
      <w:r>
        <w:rPr>
          <w:rFonts w:hint="eastAsia" w:cs="仿宋" w:asciiTheme="minorEastAsia" w:hAnsiTheme="minorEastAsia"/>
          <w:b/>
          <w:bCs/>
          <w:sz w:val="48"/>
          <w:szCs w:val="48"/>
          <w:lang w:eastAsia="zh-CN"/>
        </w:rPr>
        <w:t>（</w:t>
      </w:r>
      <w:r>
        <w:rPr>
          <w:rFonts w:hint="eastAsia" w:cs="仿宋" w:asciiTheme="minorEastAsia" w:hAnsiTheme="minorEastAsia"/>
          <w:b/>
          <w:bCs/>
          <w:sz w:val="48"/>
          <w:szCs w:val="48"/>
          <w:lang w:val="en-US" w:eastAsia="zh-CN"/>
        </w:rPr>
        <w:t>采购包1：B库指标核定入库</w:t>
      </w:r>
      <w:r>
        <w:rPr>
          <w:rFonts w:hint="eastAsia" w:cs="仿宋" w:asciiTheme="minorEastAsia" w:hAnsiTheme="minorEastAsia"/>
          <w:b/>
          <w:bCs/>
          <w:sz w:val="48"/>
          <w:szCs w:val="48"/>
          <w:lang w:eastAsia="zh-CN"/>
        </w:rPr>
        <w:t>）</w:t>
      </w:r>
    </w:p>
    <w:p w14:paraId="5D542DE3">
      <w:pPr>
        <w:spacing w:line="560" w:lineRule="exact"/>
        <w:jc w:val="center"/>
        <w:rPr>
          <w:rFonts w:hint="eastAsia" w:cs="仿宋" w:asciiTheme="minorEastAsia" w:hAnsiTheme="minorEastAsia"/>
          <w:b/>
          <w:sz w:val="44"/>
          <w:szCs w:val="44"/>
        </w:rPr>
      </w:pPr>
    </w:p>
    <w:p w14:paraId="01713F66">
      <w:pPr>
        <w:spacing w:line="560" w:lineRule="exact"/>
        <w:jc w:val="center"/>
        <w:rPr>
          <w:rFonts w:hint="eastAsia" w:cs="仿宋" w:asciiTheme="minorEastAsia" w:hAnsiTheme="minorEastAsia"/>
          <w:b/>
          <w:sz w:val="56"/>
          <w:szCs w:val="56"/>
        </w:rPr>
      </w:pPr>
      <w:r>
        <w:rPr>
          <w:rFonts w:hint="eastAsia" w:cs="仿宋" w:asciiTheme="minorEastAsia" w:hAnsiTheme="minorEastAsia"/>
          <w:b/>
          <w:sz w:val="56"/>
          <w:szCs w:val="56"/>
        </w:rPr>
        <w:t>服 务 合 同</w:t>
      </w:r>
    </w:p>
    <w:p w14:paraId="7099EF0A">
      <w:pPr>
        <w:spacing w:line="560" w:lineRule="exact"/>
        <w:jc w:val="center"/>
        <w:rPr>
          <w:rFonts w:hint="eastAsia" w:cs="仿宋" w:asciiTheme="minorEastAsia" w:hAnsiTheme="minorEastAsia"/>
          <w:b/>
          <w:sz w:val="56"/>
          <w:szCs w:val="56"/>
        </w:rPr>
      </w:pPr>
    </w:p>
    <w:p w14:paraId="5C743B4F">
      <w:pPr>
        <w:tabs>
          <w:tab w:val="left" w:pos="5040"/>
          <w:tab w:val="left" w:pos="5250"/>
        </w:tabs>
        <w:spacing w:line="560" w:lineRule="exact"/>
        <w:jc w:val="center"/>
        <w:rPr>
          <w:rFonts w:hint="eastAsia" w:cs="仿宋" w:asciiTheme="minorEastAsia" w:hAnsiTheme="minorEastAsia"/>
          <w:b/>
          <w:sz w:val="44"/>
          <w:szCs w:val="44"/>
        </w:rPr>
      </w:pPr>
      <w:r>
        <w:rPr>
          <w:rFonts w:hint="eastAsia" w:cs="仿宋" w:asciiTheme="minorEastAsia" w:hAnsiTheme="minorEastAsia"/>
          <w:b/>
          <w:sz w:val="44"/>
          <w:szCs w:val="44"/>
        </w:rPr>
        <w:t>（参考格式）</w:t>
      </w:r>
    </w:p>
    <w:p w14:paraId="721421A2">
      <w:pPr>
        <w:spacing w:line="560" w:lineRule="exact"/>
        <w:rPr>
          <w:rFonts w:hint="eastAsia" w:cs="仿宋" w:asciiTheme="minorEastAsia" w:hAnsiTheme="minorEastAsia"/>
          <w:sz w:val="32"/>
          <w:szCs w:val="32"/>
        </w:rPr>
      </w:pPr>
    </w:p>
    <w:p w14:paraId="095B3F30">
      <w:pPr>
        <w:spacing w:line="560" w:lineRule="exact"/>
        <w:ind w:firstLine="843" w:firstLineChars="400"/>
        <w:rPr>
          <w:rFonts w:hint="eastAsia" w:cs="仿宋" w:asciiTheme="minorEastAsia" w:hAnsiTheme="minorEastAsia"/>
          <w:b/>
        </w:rPr>
      </w:pPr>
    </w:p>
    <w:p w14:paraId="0C93C751">
      <w:pPr>
        <w:spacing w:line="560" w:lineRule="exact"/>
        <w:ind w:firstLine="843" w:firstLineChars="400"/>
        <w:rPr>
          <w:rFonts w:hint="eastAsia" w:cs="仿宋" w:asciiTheme="minorEastAsia" w:hAnsiTheme="minorEastAsia"/>
          <w:b/>
        </w:rPr>
      </w:pPr>
    </w:p>
    <w:p w14:paraId="1C522EB7">
      <w:pPr>
        <w:spacing w:line="560" w:lineRule="exact"/>
        <w:ind w:firstLine="843" w:firstLineChars="400"/>
        <w:rPr>
          <w:rFonts w:hint="eastAsia" w:cs="仿宋" w:asciiTheme="minorEastAsia" w:hAnsiTheme="minorEastAsia"/>
          <w:b/>
        </w:rPr>
      </w:pPr>
    </w:p>
    <w:p w14:paraId="2CBA718D">
      <w:pPr>
        <w:spacing w:line="720" w:lineRule="auto"/>
        <w:jc w:val="both"/>
        <w:rPr>
          <w:rFonts w:hint="eastAsia" w:cs="仿宋" w:asciiTheme="minorEastAsia" w:hAnsiTheme="minorEastAsia"/>
          <w:sz w:val="28"/>
          <w:szCs w:val="28"/>
        </w:rPr>
      </w:pPr>
    </w:p>
    <w:p w14:paraId="07A2EFCA">
      <w:pPr>
        <w:spacing w:line="720" w:lineRule="auto"/>
        <w:jc w:val="center"/>
        <w:rPr>
          <w:rFonts w:hint="eastAsia" w:cs="仿宋" w:asciiTheme="minorEastAsia" w:hAnsiTheme="minorEastAsia"/>
          <w:szCs w:val="21"/>
        </w:rPr>
      </w:pPr>
      <w:r>
        <w:rPr>
          <w:rFonts w:hint="eastAsia" w:cs="仿宋" w:asciiTheme="minorEastAsia" w:hAnsiTheme="minorEastAsia"/>
          <w:sz w:val="28"/>
          <w:szCs w:val="28"/>
        </w:rPr>
        <w:t>二〇二六年  月</w:t>
      </w:r>
    </w:p>
    <w:p w14:paraId="093D3A8B">
      <w:pPr>
        <w:pStyle w:val="4"/>
        <w:spacing w:line="360" w:lineRule="auto"/>
        <w:ind w:left="0" w:leftChars="0" w:firstLine="420" w:firstLineChars="200"/>
        <w:rPr>
          <w:rFonts w:hint="eastAsia" w:ascii="宋体" w:hAnsi="宋体"/>
          <w:sz w:val="21"/>
          <w:szCs w:val="21"/>
        </w:rPr>
      </w:pPr>
    </w:p>
    <w:p w14:paraId="14720ABC">
      <w:pPr>
        <w:pStyle w:val="4"/>
        <w:spacing w:line="360" w:lineRule="auto"/>
        <w:ind w:left="0" w:leftChars="0" w:firstLine="420" w:firstLineChars="200"/>
        <w:rPr>
          <w:rFonts w:hint="eastAsia" w:ascii="宋体" w:hAnsi="宋体"/>
          <w:sz w:val="21"/>
          <w:szCs w:val="21"/>
        </w:rPr>
      </w:pPr>
    </w:p>
    <w:p w14:paraId="5ED86BA7">
      <w:pPr>
        <w:pStyle w:val="4"/>
        <w:spacing w:line="360" w:lineRule="auto"/>
        <w:ind w:left="0" w:leftChars="0" w:firstLine="420" w:firstLineChars="200"/>
        <w:rPr>
          <w:rFonts w:hint="eastAsia" w:ascii="宋体" w:hAnsi="宋体"/>
          <w:sz w:val="21"/>
          <w:szCs w:val="21"/>
        </w:rPr>
      </w:pPr>
    </w:p>
    <w:p w14:paraId="00323120">
      <w:pPr>
        <w:pStyle w:val="4"/>
        <w:spacing w:line="360" w:lineRule="auto"/>
        <w:ind w:left="0" w:leftChars="0" w:firstLine="420" w:firstLineChars="200"/>
        <w:rPr>
          <w:rFonts w:hint="eastAsia" w:ascii="宋体" w:hAnsi="宋体"/>
          <w:sz w:val="21"/>
          <w:szCs w:val="21"/>
        </w:rPr>
      </w:pPr>
    </w:p>
    <w:p w14:paraId="4EECA41D">
      <w:pPr>
        <w:pStyle w:val="4"/>
        <w:spacing w:line="360" w:lineRule="auto"/>
        <w:ind w:left="0" w:leftChars="0" w:firstLine="420" w:firstLineChars="200"/>
        <w:rPr>
          <w:rFonts w:hint="eastAsia" w:ascii="宋体" w:hAnsi="宋体"/>
          <w:sz w:val="21"/>
          <w:szCs w:val="21"/>
        </w:rPr>
      </w:pPr>
    </w:p>
    <w:p w14:paraId="61F5EBA2">
      <w:pPr>
        <w:pStyle w:val="4"/>
        <w:spacing w:line="360" w:lineRule="auto"/>
        <w:ind w:left="0" w:leftChars="0" w:firstLine="0" w:firstLineChars="0"/>
        <w:rPr>
          <w:rFonts w:hint="eastAsia" w:ascii="宋体" w:hAnsi="宋体"/>
          <w:sz w:val="21"/>
          <w:szCs w:val="21"/>
        </w:rPr>
      </w:pPr>
      <w:r>
        <w:rPr>
          <w:rFonts w:hint="eastAsia" w:ascii="宋体" w:hAnsi="宋体"/>
          <w:sz w:val="21"/>
          <w:szCs w:val="21"/>
        </w:rPr>
        <w:t>采购人（甲方）：</w:t>
      </w:r>
    </w:p>
    <w:p w14:paraId="325D7FFE">
      <w:pPr>
        <w:pStyle w:val="4"/>
        <w:spacing w:line="360" w:lineRule="auto"/>
        <w:ind w:left="0" w:leftChars="0" w:firstLine="0" w:firstLineChars="0"/>
        <w:rPr>
          <w:rFonts w:hint="eastAsia" w:ascii="宋体" w:hAnsi="宋体"/>
          <w:sz w:val="21"/>
          <w:szCs w:val="21"/>
        </w:rPr>
      </w:pPr>
      <w:r>
        <w:rPr>
          <w:rFonts w:hint="eastAsia" w:ascii="宋体" w:hAnsi="宋体"/>
          <w:sz w:val="21"/>
          <w:szCs w:val="21"/>
        </w:rPr>
        <w:t>供应商（乙方）：</w:t>
      </w:r>
    </w:p>
    <w:p w14:paraId="4803FA75">
      <w:pPr>
        <w:pStyle w:val="4"/>
        <w:spacing w:line="360" w:lineRule="auto"/>
        <w:ind w:firstLine="420"/>
        <w:rPr>
          <w:rFonts w:hint="eastAsia" w:ascii="宋体" w:hAnsi="宋体"/>
          <w:sz w:val="21"/>
          <w:szCs w:val="21"/>
        </w:rPr>
      </w:pPr>
      <w:r>
        <w:rPr>
          <w:rFonts w:hint="eastAsia" w:ascii="宋体" w:hAnsi="宋体"/>
          <w:sz w:val="21"/>
          <w:szCs w:val="21"/>
        </w:rPr>
        <w:t>根据《中华人民共和国政府采购法》及实施条例、《中华人民共和国民法典》和甲方</w:t>
      </w:r>
      <w:r>
        <w:rPr>
          <w:rFonts w:hint="eastAsia" w:ascii="宋体" w:hAnsi="宋体"/>
          <w:sz w:val="21"/>
          <w:szCs w:val="21"/>
          <w:u w:val="single"/>
          <w:lang w:eastAsia="zh-CN"/>
        </w:rPr>
        <w:t>鄠邑区耕地占补平衡B库指标核定入库项目</w:t>
      </w:r>
      <w:r>
        <w:rPr>
          <w:rFonts w:hint="eastAsia" w:ascii="宋体" w:hAnsi="宋体"/>
          <w:sz w:val="21"/>
          <w:szCs w:val="21"/>
          <w:u w:val="single"/>
          <w:lang w:val="en-US" w:eastAsia="zh-CN"/>
        </w:rPr>
        <w:t>、一包</w:t>
      </w:r>
      <w:r>
        <w:rPr>
          <w:rFonts w:hint="eastAsia" w:ascii="宋体" w:hAnsi="宋体"/>
          <w:sz w:val="21"/>
          <w:szCs w:val="21"/>
        </w:rPr>
        <w:t>（采购项目编号：</w:t>
      </w:r>
      <w:r>
        <w:rPr>
          <w:rFonts w:hint="eastAsia" w:ascii="宋体" w:hAnsi="宋体"/>
          <w:sz w:val="21"/>
          <w:szCs w:val="21"/>
          <w:lang w:eastAsia="zh-CN"/>
        </w:rPr>
        <w:t>GXZB2026-086Z</w:t>
      </w:r>
      <w:r>
        <w:rPr>
          <w:rFonts w:hint="eastAsia" w:ascii="宋体" w:hAnsi="宋体"/>
          <w:sz w:val="21"/>
          <w:szCs w:val="21"/>
        </w:rPr>
        <w:t>）的磋商文件、磋商响应文件等有关规定，为确保甲方采购项目的顺利实施，甲、乙双方在平等自愿原则下签订本合同，并共同遵守如下条款：</w:t>
      </w:r>
    </w:p>
    <w:p w14:paraId="5BAC2368">
      <w:pPr>
        <w:pStyle w:val="4"/>
        <w:spacing w:line="360" w:lineRule="auto"/>
        <w:ind w:firstLine="0" w:firstLineChars="0"/>
        <w:outlineLvl w:val="2"/>
        <w:rPr>
          <w:rFonts w:hint="eastAsia" w:ascii="宋体" w:hAnsi="宋体"/>
          <w:b/>
          <w:bCs/>
          <w:sz w:val="22"/>
          <w:szCs w:val="22"/>
        </w:rPr>
      </w:pPr>
      <w:r>
        <w:rPr>
          <w:rFonts w:hint="eastAsia" w:ascii="宋体" w:hAnsi="宋体"/>
          <w:b/>
          <w:bCs/>
          <w:sz w:val="22"/>
          <w:szCs w:val="22"/>
        </w:rPr>
        <w:t xml:space="preserve">第一条 项目基本情况 </w:t>
      </w:r>
    </w:p>
    <w:p w14:paraId="75D742DE">
      <w:pPr>
        <w:spacing w:line="360" w:lineRule="auto"/>
        <w:ind w:firstLine="420" w:firstLineChars="200"/>
        <w:rPr>
          <w:rFonts w:hint="eastAsia" w:ascii="宋体" w:hAnsi="宋体" w:cs="宋体"/>
          <w:szCs w:val="21"/>
        </w:rPr>
      </w:pPr>
      <w:r>
        <w:rPr>
          <w:rFonts w:hint="eastAsia" w:ascii="宋体" w:hAnsi="宋体" w:cs="宋体"/>
          <w:szCs w:val="21"/>
        </w:rPr>
        <w:t>为推进鄠周眉高速，西户路，西户铁路等重大项目的安置用地报批，破解当前非农建设用地占补平衡指标紧缺难题，根据陕西省自然资源厅2025年12月18日会议纪要精神及市资源规划局最新工作要求，鄠邑区启动耕地占补平衡B库指标核定入库工作。本次项目核定1000亩。</w:t>
      </w:r>
    </w:p>
    <w:p w14:paraId="5E2D22AD">
      <w:pPr>
        <w:pStyle w:val="4"/>
        <w:spacing w:line="360" w:lineRule="auto"/>
        <w:ind w:firstLine="0" w:firstLineChars="0"/>
        <w:outlineLvl w:val="2"/>
        <w:rPr>
          <w:rFonts w:hint="eastAsia" w:ascii="宋体" w:hAnsi="宋体"/>
          <w:b/>
          <w:bCs/>
          <w:sz w:val="22"/>
          <w:szCs w:val="22"/>
        </w:rPr>
      </w:pPr>
      <w:r>
        <w:rPr>
          <w:rFonts w:hint="eastAsia" w:ascii="宋体" w:hAnsi="宋体"/>
          <w:b/>
          <w:bCs/>
          <w:sz w:val="22"/>
          <w:szCs w:val="22"/>
        </w:rPr>
        <w:t>第二条 合同期限</w:t>
      </w:r>
    </w:p>
    <w:p w14:paraId="04983393">
      <w:pPr>
        <w:pStyle w:val="4"/>
        <w:spacing w:line="360" w:lineRule="auto"/>
        <w:ind w:firstLine="210" w:firstLineChars="0"/>
        <w:rPr>
          <w:rFonts w:hint="eastAsia" w:ascii="宋体" w:hAnsi="宋体" w:eastAsia="宋体"/>
          <w:sz w:val="22"/>
          <w:szCs w:val="22"/>
        </w:rPr>
      </w:pPr>
      <w:r>
        <w:rPr>
          <w:rFonts w:hint="eastAsia" w:ascii="宋体" w:hAnsi="宋体" w:eastAsia="宋体"/>
          <w:b/>
          <w:bCs/>
          <w:sz w:val="22"/>
          <w:szCs w:val="22"/>
        </w:rPr>
        <w:t xml:space="preserve"> </w:t>
      </w:r>
      <w:r>
        <w:rPr>
          <w:rFonts w:hint="eastAsia" w:ascii="宋体" w:hAnsi="宋体" w:eastAsia="宋体"/>
          <w:sz w:val="22"/>
          <w:szCs w:val="22"/>
        </w:rPr>
        <w:t xml:space="preserve"> 合同签订后1年内完成全部工作任务。</w:t>
      </w:r>
    </w:p>
    <w:p w14:paraId="5DFF3105">
      <w:pPr>
        <w:pStyle w:val="4"/>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第三条  服务内容与质量标准</w:t>
      </w:r>
    </w:p>
    <w:p w14:paraId="22086383">
      <w:pPr>
        <w:pStyle w:val="4"/>
        <w:spacing w:line="360" w:lineRule="auto"/>
        <w:ind w:firstLine="420"/>
        <w:rPr>
          <w:rFonts w:hint="eastAsia" w:ascii="宋体" w:hAnsi="宋体"/>
          <w:sz w:val="21"/>
          <w:szCs w:val="21"/>
        </w:rPr>
      </w:pPr>
      <w:r>
        <w:rPr>
          <w:rFonts w:hint="eastAsia" w:ascii="宋体" w:hAnsi="宋体"/>
          <w:sz w:val="21"/>
          <w:szCs w:val="21"/>
        </w:rPr>
        <w:t>（一）服务内容：</w:t>
      </w:r>
    </w:p>
    <w:p w14:paraId="14D6E71A">
      <w:pPr>
        <w:pStyle w:val="4"/>
        <w:spacing w:line="360" w:lineRule="auto"/>
        <w:ind w:firstLine="420"/>
        <w:rPr>
          <w:rFonts w:hint="eastAsia" w:ascii="宋体" w:hAnsi="宋体"/>
          <w:sz w:val="21"/>
          <w:szCs w:val="21"/>
        </w:rPr>
      </w:pPr>
      <w:r>
        <w:rPr>
          <w:rFonts w:hint="eastAsia" w:ascii="宋体" w:hAnsi="宋体"/>
          <w:sz w:val="21"/>
          <w:szCs w:val="21"/>
        </w:rPr>
        <w:t>1、潜力图斑筛选分析</w:t>
      </w:r>
    </w:p>
    <w:p w14:paraId="1A9EB28F">
      <w:pPr>
        <w:pStyle w:val="4"/>
        <w:spacing w:line="360" w:lineRule="auto"/>
        <w:ind w:firstLine="420"/>
        <w:rPr>
          <w:rFonts w:hint="eastAsia" w:ascii="宋体" w:hAnsi="宋体"/>
          <w:sz w:val="21"/>
          <w:szCs w:val="21"/>
        </w:rPr>
      </w:pPr>
      <w:r>
        <w:rPr>
          <w:rFonts w:hint="eastAsia" w:ascii="宋体" w:hAnsi="宋体"/>
          <w:sz w:val="21"/>
          <w:szCs w:val="21"/>
        </w:rPr>
        <w:t>收集鄠邑区国土变更调查、“三区三线”、用地报批、秦保、林业保护、设农备案、耕地后备资源调查、土地储备计划、重点建设项目、山水项目等实施范围资料，矢量化数据统一坐标系。根据省、市下发图斑，利用“一张图”系统，对不能纳入补充耕地的禁止项和限制项进行内业筛选，确保潜力图斑合规性。</w:t>
      </w:r>
    </w:p>
    <w:p w14:paraId="22BE2516">
      <w:pPr>
        <w:pStyle w:val="4"/>
        <w:spacing w:line="360" w:lineRule="auto"/>
        <w:ind w:firstLine="420"/>
        <w:rPr>
          <w:rFonts w:hint="eastAsia" w:ascii="宋体" w:hAnsi="宋体"/>
          <w:sz w:val="21"/>
          <w:szCs w:val="21"/>
        </w:rPr>
      </w:pPr>
      <w:r>
        <w:rPr>
          <w:rFonts w:hint="eastAsia" w:ascii="宋体" w:hAnsi="宋体"/>
          <w:sz w:val="21"/>
          <w:szCs w:val="21"/>
        </w:rPr>
        <w:t>结合三区三线划定耕地保护目标和永久基本农田的规则，筛选符合要求的稳定利用耕地；处理细碎图斑；最终形成符合要求的潜力图斑。对潜力图斑进行实地调查，调查现状是否为耕地，种植农作物情况，道路通达情况，灌溉设施情况、土层情况等，确定是否符合种植粮食作物的基础条件。</w:t>
      </w:r>
    </w:p>
    <w:p w14:paraId="75C6526B">
      <w:pPr>
        <w:pStyle w:val="4"/>
        <w:spacing w:line="360" w:lineRule="auto"/>
        <w:ind w:firstLine="420"/>
        <w:rPr>
          <w:rFonts w:hint="eastAsia" w:ascii="宋体" w:hAnsi="宋体"/>
          <w:sz w:val="21"/>
          <w:szCs w:val="21"/>
        </w:rPr>
      </w:pPr>
      <w:r>
        <w:rPr>
          <w:rFonts w:hint="eastAsia" w:ascii="宋体" w:hAnsi="宋体"/>
          <w:sz w:val="21"/>
          <w:szCs w:val="21"/>
        </w:rPr>
        <w:t>2、B库指标核定</w:t>
      </w:r>
    </w:p>
    <w:p w14:paraId="331BFCF9">
      <w:pPr>
        <w:pStyle w:val="4"/>
        <w:spacing w:line="360" w:lineRule="auto"/>
        <w:ind w:firstLine="420"/>
        <w:rPr>
          <w:rFonts w:hint="eastAsia" w:ascii="宋体" w:hAnsi="宋体"/>
          <w:sz w:val="21"/>
          <w:szCs w:val="21"/>
        </w:rPr>
      </w:pPr>
      <w:r>
        <w:rPr>
          <w:rFonts w:hint="eastAsia" w:ascii="宋体" w:hAnsi="宋体"/>
          <w:sz w:val="21"/>
          <w:szCs w:val="21"/>
        </w:rPr>
        <w:t>对拟入库耕地，按要求使用调查监测云逐地块进行带定位拍照举证。按照报备要求，逐图斑开展航拍正射影像（不低于0.1米分辨率）。按照举证情况，结合航拍正射影像，对耕地范围内不符合要求的（田坎、坟地、管理房、撂荒）等不符合报备审查要求的进行内业分割剔除。修改的地块重新开展外业举证。</w:t>
      </w:r>
    </w:p>
    <w:p w14:paraId="33D88317">
      <w:pPr>
        <w:pStyle w:val="4"/>
        <w:spacing w:line="360" w:lineRule="auto"/>
        <w:ind w:firstLine="420"/>
        <w:rPr>
          <w:rFonts w:hint="eastAsia" w:ascii="宋体" w:hAnsi="宋体"/>
          <w:sz w:val="21"/>
          <w:szCs w:val="21"/>
        </w:rPr>
      </w:pPr>
      <w:r>
        <w:rPr>
          <w:rFonts w:hint="eastAsia" w:ascii="宋体" w:hAnsi="宋体"/>
          <w:sz w:val="21"/>
          <w:szCs w:val="21"/>
        </w:rPr>
        <w:t>3、指标报备入库</w:t>
      </w:r>
    </w:p>
    <w:p w14:paraId="5093E4CF">
      <w:pPr>
        <w:pStyle w:val="4"/>
        <w:spacing w:line="360" w:lineRule="auto"/>
        <w:ind w:firstLine="420"/>
        <w:rPr>
          <w:rFonts w:hint="eastAsia" w:ascii="宋体" w:hAnsi="宋体"/>
          <w:sz w:val="21"/>
          <w:szCs w:val="21"/>
        </w:rPr>
      </w:pPr>
      <w:r>
        <w:rPr>
          <w:rFonts w:hint="eastAsia" w:ascii="宋体" w:hAnsi="宋体"/>
          <w:sz w:val="21"/>
          <w:szCs w:val="21"/>
        </w:rPr>
        <w:t>配合开展县级数量验收、市级数量验收和省级复核，根据验收意见进行整改。按照系统报备要求，将通过农业部门质量验收的拟核定地块进行矢量数据处理，提供系统质检，汇总整理正射影像图、四个验收文件，开展数据查验。对接省市系统技术审核单位，对系统报备开展数据技术处理、资料填报、系统问题处理、指标入库等。</w:t>
      </w:r>
    </w:p>
    <w:p w14:paraId="385F4A0C">
      <w:pPr>
        <w:pStyle w:val="4"/>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第四条  服务费用</w:t>
      </w:r>
    </w:p>
    <w:p w14:paraId="3AA880EE">
      <w:pPr>
        <w:pStyle w:val="4"/>
        <w:spacing w:line="360" w:lineRule="auto"/>
        <w:ind w:firstLine="420"/>
        <w:rPr>
          <w:rFonts w:hint="eastAsia" w:ascii="宋体" w:hAnsi="宋体"/>
          <w:sz w:val="21"/>
          <w:szCs w:val="21"/>
        </w:rPr>
      </w:pPr>
      <w:r>
        <w:rPr>
          <w:rFonts w:hint="eastAsia" w:ascii="宋体" w:hAnsi="宋体"/>
          <w:sz w:val="21"/>
          <w:szCs w:val="21"/>
        </w:rPr>
        <w:t>1．服务总费用为人民币（大写）：</w:t>
      </w:r>
      <w:r>
        <w:rPr>
          <w:rFonts w:hint="eastAsia" w:ascii="宋体" w:hAnsi="宋体"/>
          <w:sz w:val="21"/>
          <w:szCs w:val="21"/>
          <w:u w:val="single"/>
        </w:rPr>
        <w:t xml:space="preserve">             </w:t>
      </w:r>
      <w:r>
        <w:rPr>
          <w:rFonts w:hint="eastAsia" w:ascii="宋体" w:hAnsi="宋体"/>
          <w:sz w:val="21"/>
          <w:szCs w:val="21"/>
        </w:rPr>
        <w:t>元， ￥</w:t>
      </w:r>
      <w:r>
        <w:rPr>
          <w:rFonts w:hint="eastAsia" w:ascii="宋体" w:hAnsi="宋体"/>
          <w:sz w:val="21"/>
          <w:szCs w:val="21"/>
          <w:u w:val="single"/>
        </w:rPr>
        <w:t xml:space="preserve">           。</w:t>
      </w:r>
    </w:p>
    <w:p w14:paraId="6D670ABE">
      <w:pPr>
        <w:pStyle w:val="4"/>
        <w:spacing w:line="360" w:lineRule="auto"/>
        <w:ind w:firstLine="420"/>
        <w:rPr>
          <w:rFonts w:hint="eastAsia" w:ascii="宋体" w:hAnsi="宋体"/>
          <w:sz w:val="21"/>
          <w:szCs w:val="21"/>
        </w:rPr>
      </w:pPr>
      <w:r>
        <w:rPr>
          <w:rFonts w:hint="eastAsia" w:ascii="宋体" w:hAnsi="宋体"/>
          <w:sz w:val="21"/>
          <w:szCs w:val="21"/>
        </w:rPr>
        <w:t>2．本合同执行期间服务总费用不变，甲方无须另向乙方支付本合同规定之外的其他任何费用。</w:t>
      </w:r>
    </w:p>
    <w:p w14:paraId="25140486">
      <w:pPr>
        <w:pStyle w:val="4"/>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第五条  服务费支付方式：</w:t>
      </w:r>
    </w:p>
    <w:p w14:paraId="0BFE58EE">
      <w:pPr>
        <w:pStyle w:val="4"/>
        <w:spacing w:line="360" w:lineRule="auto"/>
        <w:ind w:firstLine="420"/>
        <w:rPr>
          <w:rFonts w:hint="eastAsia" w:cs="仿宋_GB2312" w:asciiTheme="minorEastAsia" w:hAnsiTheme="minorEastAsia"/>
          <w:kern w:val="0"/>
          <w:sz w:val="20"/>
          <w:lang w:eastAsia="zh-Hans"/>
        </w:rPr>
      </w:pPr>
      <w:r>
        <w:rPr>
          <w:rFonts w:hint="eastAsia" w:ascii="宋体" w:hAnsi="宋体"/>
          <w:sz w:val="21"/>
          <w:szCs w:val="21"/>
        </w:rPr>
        <w:t>1．付款比例：</w:t>
      </w:r>
    </w:p>
    <w:p w14:paraId="1893F63F">
      <w:pPr>
        <w:pStyle w:val="4"/>
        <w:spacing w:line="360" w:lineRule="auto"/>
        <w:ind w:firstLine="420"/>
        <w:rPr>
          <w:rFonts w:hint="eastAsia" w:ascii="宋体" w:hAnsi="宋体"/>
          <w:sz w:val="21"/>
          <w:szCs w:val="21"/>
        </w:rPr>
      </w:pPr>
      <w:r>
        <w:rPr>
          <w:rFonts w:hint="eastAsia" w:ascii="宋体" w:hAnsi="宋体"/>
          <w:sz w:val="21"/>
          <w:szCs w:val="21"/>
        </w:rPr>
        <w:t>项目合同签订后，支付30%合同价款；指标核定通过市级验收时，支付50%合同价款；指标核定入库通过各级验收，形成补充耕地指标后，支付20%合同价款。甲方付款前，乙方应出具相应金额的正规发票。</w:t>
      </w:r>
    </w:p>
    <w:p w14:paraId="7F5A910B">
      <w:pPr>
        <w:pStyle w:val="4"/>
        <w:spacing w:line="360" w:lineRule="auto"/>
        <w:ind w:firstLine="420"/>
        <w:rPr>
          <w:rFonts w:hint="eastAsia" w:ascii="宋体" w:hAnsi="宋体"/>
          <w:sz w:val="21"/>
          <w:szCs w:val="21"/>
        </w:rPr>
      </w:pPr>
      <w:r>
        <w:rPr>
          <w:rFonts w:hint="eastAsia" w:ascii="宋体" w:hAnsi="宋体"/>
          <w:sz w:val="21"/>
          <w:szCs w:val="21"/>
        </w:rPr>
        <w:t>2．结算方式：银行转账。</w:t>
      </w:r>
    </w:p>
    <w:p w14:paraId="507B621C">
      <w:pPr>
        <w:pStyle w:val="4"/>
        <w:spacing w:line="360" w:lineRule="auto"/>
        <w:ind w:firstLine="420"/>
        <w:rPr>
          <w:rFonts w:hint="eastAsia" w:ascii="宋体" w:hAnsi="宋体"/>
          <w:sz w:val="21"/>
          <w:szCs w:val="21"/>
        </w:rPr>
      </w:pPr>
      <w:r>
        <w:rPr>
          <w:rFonts w:hint="eastAsia" w:ascii="宋体" w:hAnsi="宋体"/>
          <w:sz w:val="21"/>
          <w:szCs w:val="21"/>
        </w:rPr>
        <w:t>3．结算单位：由甲方负责结算，乙方开具合同总价数的全额发票交甲方。</w:t>
      </w:r>
    </w:p>
    <w:p w14:paraId="286FA39D">
      <w:pPr>
        <w:pStyle w:val="4"/>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第六条  成果交付要求</w:t>
      </w:r>
    </w:p>
    <w:p w14:paraId="5319D593">
      <w:pPr>
        <w:spacing w:line="360" w:lineRule="auto"/>
        <w:ind w:firstLine="420" w:firstLineChars="200"/>
        <w:rPr>
          <w:rFonts w:hint="eastAsia" w:ascii="宋体" w:hAnsi="宋体" w:cs="宋体"/>
          <w:szCs w:val="21"/>
          <w:lang w:eastAsia="zh-Hans"/>
        </w:rPr>
      </w:pPr>
      <w:r>
        <w:rPr>
          <w:rFonts w:hint="eastAsia" w:ascii="宋体" w:hAnsi="宋体" w:cs="宋体"/>
          <w:szCs w:val="21"/>
          <w:lang w:eastAsia="zh-Hans"/>
        </w:rPr>
        <w:t>1</w:t>
      </w:r>
      <w:r>
        <w:rPr>
          <w:rFonts w:hint="eastAsia" w:ascii="宋体" w:hAnsi="宋体" w:cs="宋体"/>
          <w:szCs w:val="21"/>
          <w:lang w:eastAsia="zh-CN"/>
        </w:rPr>
        <w:t>.</w:t>
      </w:r>
      <w:r>
        <w:rPr>
          <w:rFonts w:hint="eastAsia" w:ascii="宋体" w:hAnsi="宋体" w:cs="宋体"/>
          <w:szCs w:val="21"/>
          <w:lang w:eastAsia="zh-Hans"/>
        </w:rPr>
        <w:t>成果完整性：工作成果应当完整、详细、清晰，包括项目矢量数据及高清正射影像等图件资料；数量核定报告、质量鉴定报告及土壤检测报告等文本成果；经县级填报、市级审核、省级复核后在监管平台备案形成的电子成果；</w:t>
      </w:r>
    </w:p>
    <w:p w14:paraId="7998A09D">
      <w:pPr>
        <w:spacing w:line="360" w:lineRule="auto"/>
        <w:ind w:firstLine="420" w:firstLineChars="200"/>
        <w:rPr>
          <w:rFonts w:hint="eastAsia" w:ascii="宋体" w:hAnsi="宋体" w:cs="宋体"/>
          <w:szCs w:val="21"/>
          <w:lang w:eastAsia="zh-Hans"/>
        </w:rPr>
      </w:pPr>
      <w:r>
        <w:rPr>
          <w:rFonts w:hint="eastAsia" w:ascii="宋体" w:hAnsi="宋体" w:cs="宋体"/>
          <w:szCs w:val="21"/>
          <w:lang w:eastAsia="zh-Hans"/>
        </w:rPr>
        <w:t>2</w:t>
      </w:r>
      <w:r>
        <w:rPr>
          <w:rFonts w:hint="eastAsia" w:ascii="宋体" w:hAnsi="宋体" w:cs="宋体"/>
          <w:szCs w:val="21"/>
          <w:lang w:eastAsia="zh-CN"/>
        </w:rPr>
        <w:t>.</w:t>
      </w:r>
      <w:r>
        <w:rPr>
          <w:rFonts w:hint="eastAsia" w:ascii="宋体" w:hAnsi="宋体" w:cs="宋体"/>
          <w:szCs w:val="21"/>
          <w:lang w:eastAsia="zh-Hans"/>
        </w:rPr>
        <w:t>成果质量要求：工作成果应当符合国家和地方的有关法律法规和相关政策要求，同时要遵循科学、合理、可行的原则，确保成果通过省、市级审查，形成补充耕地B库指标；</w:t>
      </w:r>
    </w:p>
    <w:p w14:paraId="450B2057">
      <w:pPr>
        <w:spacing w:line="360" w:lineRule="auto"/>
        <w:ind w:firstLine="420" w:firstLineChars="200"/>
        <w:rPr>
          <w:rFonts w:hint="eastAsia" w:ascii="宋体" w:hAnsi="宋体" w:cs="宋体"/>
          <w:szCs w:val="21"/>
          <w:lang w:eastAsia="zh-Hans"/>
        </w:rPr>
      </w:pPr>
      <w:r>
        <w:rPr>
          <w:rFonts w:hint="eastAsia" w:ascii="宋体" w:hAnsi="宋体" w:cs="宋体"/>
          <w:szCs w:val="21"/>
          <w:lang w:eastAsia="zh-Hans"/>
        </w:rPr>
        <w:t>3</w:t>
      </w:r>
      <w:r>
        <w:rPr>
          <w:rFonts w:hint="eastAsia" w:ascii="宋体" w:hAnsi="宋体" w:cs="宋体"/>
          <w:szCs w:val="21"/>
          <w:lang w:eastAsia="zh-CN"/>
        </w:rPr>
        <w:t>.</w:t>
      </w:r>
      <w:r>
        <w:rPr>
          <w:rFonts w:hint="eastAsia" w:ascii="宋体" w:hAnsi="宋体" w:cs="宋体"/>
          <w:szCs w:val="21"/>
          <w:lang w:eastAsia="zh-Hans"/>
        </w:rPr>
        <w:t>交付方式要求：工作成果应当以纸质和电子版两种形式进行交付，同时要确保交付方式的规范和合法，避免出现不必要的纠纷和争议。遵循国家和地方的法律法规和政策要求，以规范、合法的方式进行交付和应用。</w:t>
      </w:r>
    </w:p>
    <w:p w14:paraId="30F40984">
      <w:pPr>
        <w:spacing w:line="360" w:lineRule="auto"/>
        <w:ind w:firstLine="420" w:firstLineChars="200"/>
        <w:rPr>
          <w:rFonts w:hint="eastAsia" w:ascii="宋体" w:hAnsi="宋体" w:cs="宋体"/>
          <w:szCs w:val="21"/>
          <w:lang w:eastAsia="zh-Hans"/>
        </w:rPr>
      </w:pPr>
      <w:r>
        <w:rPr>
          <w:rFonts w:hint="eastAsia" w:ascii="宋体" w:hAnsi="宋体" w:cs="宋体"/>
          <w:szCs w:val="21"/>
          <w:lang w:val="en-US" w:eastAsia="zh-CN"/>
        </w:rPr>
        <w:t>4</w:t>
      </w:r>
      <w:r>
        <w:rPr>
          <w:rFonts w:hint="eastAsia" w:ascii="宋体" w:hAnsi="宋体" w:cs="宋体"/>
          <w:szCs w:val="21"/>
          <w:lang w:eastAsia="zh-Hans"/>
        </w:rPr>
        <w:t>、电子成果：矢量数据、表格、报告全套电子版1 套（U 盘）。</w:t>
      </w:r>
    </w:p>
    <w:p w14:paraId="56E47CC6">
      <w:pPr>
        <w:pStyle w:val="4"/>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第七条  知识产权归属</w:t>
      </w:r>
    </w:p>
    <w:p w14:paraId="1693A999">
      <w:pPr>
        <w:pStyle w:val="4"/>
        <w:spacing w:line="360" w:lineRule="auto"/>
        <w:ind w:firstLine="420"/>
        <w:rPr>
          <w:rFonts w:hint="eastAsia" w:ascii="宋体" w:hAnsi="宋体"/>
          <w:sz w:val="21"/>
          <w:szCs w:val="21"/>
        </w:rPr>
      </w:pPr>
      <w:r>
        <w:rPr>
          <w:rFonts w:hint="eastAsia" w:ascii="宋体" w:hAnsi="宋体"/>
          <w:sz w:val="21"/>
          <w:szCs w:val="21"/>
        </w:rPr>
        <w:t>1.本项目产生的所有成果</w:t>
      </w:r>
      <w:r>
        <w:rPr>
          <w:rFonts w:hint="eastAsia" w:ascii="宋体" w:hAnsi="宋体"/>
          <w:sz w:val="21"/>
          <w:szCs w:val="21"/>
          <w:lang w:val="en-US" w:eastAsia="zh-CN"/>
        </w:rPr>
        <w:t>资料</w:t>
      </w:r>
      <w:r>
        <w:rPr>
          <w:rFonts w:hint="eastAsia" w:ascii="宋体" w:hAnsi="宋体"/>
          <w:sz w:val="21"/>
          <w:szCs w:val="21"/>
        </w:rPr>
        <w:t>（包括但不限于图件、表格、数据库、文字报告等）的知识产权（含著作权）归甲方所有。供应商不得将上述成果用于本项目之外的任何用途。</w:t>
      </w:r>
    </w:p>
    <w:p w14:paraId="39DE1B1D">
      <w:pPr>
        <w:pStyle w:val="4"/>
        <w:spacing w:line="360" w:lineRule="auto"/>
        <w:ind w:firstLine="420"/>
        <w:rPr>
          <w:rFonts w:hint="eastAsia" w:ascii="宋体" w:hAnsi="宋体"/>
          <w:sz w:val="21"/>
          <w:szCs w:val="21"/>
        </w:rPr>
      </w:pPr>
      <w:r>
        <w:rPr>
          <w:rFonts w:hint="eastAsia" w:ascii="宋体" w:hAnsi="宋体"/>
          <w:sz w:val="21"/>
          <w:szCs w:val="21"/>
        </w:rPr>
        <w:t>2.乙方应保证所提供的服务或其任何一部分均不会侵犯任何第三方的专利权、商标权或著作权。</w:t>
      </w:r>
    </w:p>
    <w:p w14:paraId="18C2FAC9">
      <w:pPr>
        <w:pStyle w:val="4"/>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第八条  无产权瑕疵条款</w:t>
      </w:r>
    </w:p>
    <w:p w14:paraId="0B1B9CEE">
      <w:pPr>
        <w:pStyle w:val="4"/>
        <w:spacing w:line="360" w:lineRule="auto"/>
        <w:ind w:firstLine="420"/>
        <w:rPr>
          <w:rFonts w:hint="eastAsia" w:ascii="宋体" w:hAnsi="宋体"/>
          <w:sz w:val="21"/>
          <w:szCs w:val="21"/>
        </w:rPr>
      </w:pPr>
      <w:r>
        <w:rPr>
          <w:rFonts w:hint="eastAsia" w:ascii="宋体" w:hAnsi="宋体"/>
          <w:sz w:val="21"/>
          <w:szCs w:val="21"/>
        </w:rPr>
        <w:t>乙方保证所提供的服务的所有权完全属于乙方且无任何抵押、查封等产权瑕疵。如有产权瑕疵的，视为乙方违约。乙方应负担由此而产生的一切损失。</w:t>
      </w:r>
    </w:p>
    <w:p w14:paraId="3D601ADF">
      <w:pPr>
        <w:pStyle w:val="4"/>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第九条  验收</w:t>
      </w:r>
    </w:p>
    <w:p w14:paraId="663D49C7">
      <w:pPr>
        <w:pStyle w:val="4"/>
        <w:spacing w:line="360" w:lineRule="auto"/>
        <w:ind w:firstLine="420"/>
        <w:rPr>
          <w:rFonts w:hint="default" w:ascii="宋体" w:hAnsi="宋体" w:eastAsiaTheme="minorEastAsia"/>
          <w:sz w:val="21"/>
          <w:szCs w:val="21"/>
          <w:lang w:val="en-US" w:eastAsia="zh-CN"/>
        </w:rPr>
      </w:pPr>
      <w:r>
        <w:rPr>
          <w:rFonts w:hint="eastAsia" w:ascii="宋体" w:hAnsi="宋体"/>
          <w:sz w:val="21"/>
          <w:szCs w:val="21"/>
        </w:rPr>
        <w:t>1．质量验收标准或规范</w:t>
      </w:r>
      <w:r>
        <w:rPr>
          <w:rFonts w:hint="eastAsia" w:ascii="宋体" w:hAnsi="宋体"/>
          <w:sz w:val="21"/>
          <w:szCs w:val="21"/>
          <w:lang w:val="en-US" w:eastAsia="zh-CN"/>
        </w:rPr>
        <w:t>：成果质量合格，符合省、市级审查要求。</w:t>
      </w:r>
    </w:p>
    <w:p w14:paraId="2AF3B0A2">
      <w:pPr>
        <w:pStyle w:val="4"/>
        <w:spacing w:line="360" w:lineRule="auto"/>
        <w:ind w:firstLine="420"/>
        <w:rPr>
          <w:rFonts w:hint="eastAsia" w:ascii="宋体" w:hAnsi="宋体"/>
          <w:sz w:val="21"/>
          <w:szCs w:val="21"/>
        </w:rPr>
      </w:pPr>
      <w:r>
        <w:rPr>
          <w:rFonts w:hint="eastAsia" w:ascii="宋体" w:hAnsi="宋体"/>
          <w:sz w:val="21"/>
          <w:szCs w:val="21"/>
          <w:lang w:val="en-US" w:eastAsia="zh-CN"/>
        </w:rPr>
        <w:t>2.</w:t>
      </w:r>
      <w:r>
        <w:rPr>
          <w:rFonts w:hint="eastAsia" w:ascii="宋体" w:hAnsi="宋体"/>
          <w:sz w:val="21"/>
          <w:szCs w:val="21"/>
        </w:rPr>
        <w:t>甲方确认收到所有工作成果后，乙方向甲方提出验收申请，甲方接到乙方验收申请后组织验收（必要时可聘请相应专家或委托相应部门验收）。</w:t>
      </w:r>
    </w:p>
    <w:p w14:paraId="61CC0599">
      <w:pPr>
        <w:pStyle w:val="4"/>
        <w:spacing w:line="360" w:lineRule="auto"/>
        <w:ind w:firstLine="420"/>
        <w:rPr>
          <w:rFonts w:hint="eastAsia" w:ascii="宋体" w:hAnsi="宋体"/>
          <w:sz w:val="21"/>
          <w:szCs w:val="21"/>
        </w:rPr>
      </w:pPr>
      <w:r>
        <w:rPr>
          <w:rFonts w:hint="eastAsia" w:ascii="宋体" w:hAnsi="宋体"/>
          <w:sz w:val="21"/>
          <w:szCs w:val="21"/>
          <w:lang w:val="en-US" w:eastAsia="zh-CN"/>
        </w:rPr>
        <w:t>3</w:t>
      </w:r>
      <w:r>
        <w:rPr>
          <w:rFonts w:hint="eastAsia" w:ascii="宋体" w:hAnsi="宋体"/>
          <w:sz w:val="21"/>
          <w:szCs w:val="21"/>
        </w:rPr>
        <w:t>．最终验收：最终验收结果作为付款依据，乙方填写验收单，并向甲方提交实施过程中的所有资料，以便甲方日后管理。</w:t>
      </w:r>
    </w:p>
    <w:p w14:paraId="6AFFBB1C">
      <w:pPr>
        <w:pStyle w:val="4"/>
        <w:spacing w:line="360" w:lineRule="auto"/>
        <w:ind w:firstLine="420"/>
        <w:rPr>
          <w:rFonts w:hint="eastAsia" w:ascii="宋体" w:hAnsi="宋体"/>
          <w:sz w:val="21"/>
          <w:szCs w:val="21"/>
        </w:rPr>
      </w:pPr>
      <w:r>
        <w:rPr>
          <w:rFonts w:hint="eastAsia" w:ascii="宋体" w:hAnsi="宋体"/>
          <w:sz w:val="21"/>
          <w:szCs w:val="21"/>
          <w:lang w:val="en-US" w:eastAsia="zh-CN"/>
        </w:rPr>
        <w:t>4</w:t>
      </w:r>
      <w:r>
        <w:rPr>
          <w:rFonts w:hint="eastAsia" w:ascii="宋体" w:hAnsi="宋体"/>
          <w:sz w:val="21"/>
          <w:szCs w:val="21"/>
        </w:rPr>
        <w:t>．验收依据：</w:t>
      </w:r>
    </w:p>
    <w:p w14:paraId="6FBA1D07">
      <w:pPr>
        <w:pStyle w:val="4"/>
        <w:spacing w:line="360" w:lineRule="auto"/>
        <w:ind w:firstLine="420"/>
        <w:rPr>
          <w:rFonts w:hint="eastAsia" w:ascii="宋体" w:hAnsi="宋体"/>
          <w:sz w:val="21"/>
          <w:szCs w:val="21"/>
        </w:rPr>
      </w:pPr>
      <w:r>
        <w:rPr>
          <w:rFonts w:hint="eastAsia" w:ascii="宋体" w:hAnsi="宋体"/>
          <w:sz w:val="21"/>
          <w:szCs w:val="21"/>
          <w:lang w:val="en-US" w:eastAsia="zh-CN"/>
        </w:rPr>
        <w:t>4</w:t>
      </w:r>
      <w:r>
        <w:rPr>
          <w:rFonts w:hint="eastAsia" w:ascii="宋体" w:hAnsi="宋体"/>
          <w:sz w:val="21"/>
          <w:szCs w:val="21"/>
        </w:rPr>
        <w:t>-1．合同文本、合同附件、磋商文件、响应文件。</w:t>
      </w:r>
    </w:p>
    <w:p w14:paraId="51F8791F">
      <w:pPr>
        <w:pStyle w:val="4"/>
        <w:spacing w:line="360" w:lineRule="auto"/>
        <w:ind w:firstLine="420"/>
        <w:rPr>
          <w:rFonts w:hint="eastAsia" w:ascii="宋体" w:hAnsi="宋体"/>
          <w:sz w:val="21"/>
          <w:szCs w:val="21"/>
        </w:rPr>
      </w:pPr>
      <w:r>
        <w:rPr>
          <w:rFonts w:hint="eastAsia" w:ascii="宋体" w:hAnsi="宋体"/>
          <w:sz w:val="21"/>
          <w:szCs w:val="21"/>
          <w:lang w:val="en-US" w:eastAsia="zh-CN"/>
        </w:rPr>
        <w:t>4</w:t>
      </w:r>
      <w:r>
        <w:rPr>
          <w:rFonts w:hint="eastAsia" w:ascii="宋体" w:hAnsi="宋体"/>
          <w:sz w:val="21"/>
          <w:szCs w:val="21"/>
        </w:rPr>
        <w:t>-2．国内相应的标准、规范。</w:t>
      </w:r>
    </w:p>
    <w:p w14:paraId="466F5FCD">
      <w:pPr>
        <w:pStyle w:val="4"/>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第十条  甲方的权利和义务</w:t>
      </w:r>
    </w:p>
    <w:p w14:paraId="39BB1E9A">
      <w:pPr>
        <w:pStyle w:val="4"/>
        <w:spacing w:line="360" w:lineRule="auto"/>
        <w:ind w:firstLine="420"/>
        <w:rPr>
          <w:rFonts w:hint="eastAsia" w:ascii="宋体" w:hAnsi="宋体"/>
          <w:sz w:val="21"/>
          <w:szCs w:val="21"/>
        </w:rPr>
      </w:pPr>
      <w:r>
        <w:rPr>
          <w:rFonts w:hint="eastAsia" w:ascii="宋体" w:hAnsi="宋体"/>
          <w:sz w:val="21"/>
          <w:szCs w:val="21"/>
        </w:rPr>
        <w:t>1．甲方有权对合同规定范围内乙方的服务行为进行监督和检查，拥有监管权。有权定期核对乙方提供服务所配备的人员数量。对甲方认为不合理的部分有权下达整改通知书，并要求乙方限期整改。</w:t>
      </w:r>
    </w:p>
    <w:p w14:paraId="5A91DFB2">
      <w:pPr>
        <w:pStyle w:val="4"/>
        <w:spacing w:line="360" w:lineRule="auto"/>
        <w:ind w:firstLine="420"/>
        <w:rPr>
          <w:rFonts w:hint="eastAsia" w:ascii="宋体" w:hAnsi="宋体"/>
          <w:sz w:val="21"/>
          <w:szCs w:val="21"/>
        </w:rPr>
      </w:pPr>
      <w:r>
        <w:rPr>
          <w:rFonts w:hint="eastAsia" w:ascii="宋体" w:hAnsi="宋体"/>
          <w:sz w:val="21"/>
          <w:szCs w:val="21"/>
        </w:rPr>
        <w:t>2．负责检查监督乙方管理工作的实施及制度的执行情况。</w:t>
      </w:r>
    </w:p>
    <w:p w14:paraId="293FA321">
      <w:pPr>
        <w:pStyle w:val="4"/>
        <w:spacing w:line="360" w:lineRule="auto"/>
        <w:ind w:firstLine="420"/>
        <w:rPr>
          <w:rFonts w:hint="eastAsia" w:ascii="宋体" w:hAnsi="宋体"/>
          <w:sz w:val="21"/>
          <w:szCs w:val="21"/>
        </w:rPr>
      </w:pPr>
      <w:r>
        <w:rPr>
          <w:rFonts w:hint="eastAsia" w:ascii="宋体" w:hAnsi="宋体"/>
          <w:sz w:val="21"/>
          <w:szCs w:val="21"/>
        </w:rPr>
        <w:t>3．根据本合同规定，按时向乙方支付应付服务费用。</w:t>
      </w:r>
    </w:p>
    <w:p w14:paraId="0961FF4F">
      <w:pPr>
        <w:pStyle w:val="4"/>
        <w:spacing w:line="360" w:lineRule="auto"/>
        <w:ind w:firstLine="420"/>
        <w:rPr>
          <w:rFonts w:hint="eastAsia" w:ascii="宋体" w:hAnsi="宋体"/>
          <w:sz w:val="21"/>
          <w:szCs w:val="21"/>
        </w:rPr>
      </w:pPr>
      <w:r>
        <w:rPr>
          <w:rFonts w:hint="eastAsia" w:ascii="宋体" w:hAnsi="宋体"/>
          <w:sz w:val="21"/>
          <w:szCs w:val="21"/>
        </w:rPr>
        <w:t>4．国家法律、法规所规定由甲方承担的其它责任。</w:t>
      </w:r>
    </w:p>
    <w:p w14:paraId="0F8C36C5">
      <w:pPr>
        <w:pStyle w:val="4"/>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第十一条  乙方的权利和义务</w:t>
      </w:r>
    </w:p>
    <w:p w14:paraId="111DD878">
      <w:pPr>
        <w:pStyle w:val="4"/>
        <w:spacing w:line="360" w:lineRule="auto"/>
        <w:ind w:firstLine="420"/>
        <w:rPr>
          <w:rFonts w:hint="eastAsia" w:ascii="宋体" w:hAnsi="宋体"/>
          <w:sz w:val="21"/>
          <w:szCs w:val="21"/>
        </w:rPr>
      </w:pPr>
      <w:r>
        <w:rPr>
          <w:rFonts w:hint="eastAsia" w:ascii="宋体" w:hAnsi="宋体"/>
          <w:sz w:val="21"/>
          <w:szCs w:val="21"/>
        </w:rPr>
        <w:t>1．对本合同规定的委托服务范围内的项目享有管理权及服务义务。</w:t>
      </w:r>
    </w:p>
    <w:p w14:paraId="41063036">
      <w:pPr>
        <w:pStyle w:val="4"/>
        <w:spacing w:line="360" w:lineRule="auto"/>
        <w:ind w:firstLine="420"/>
        <w:rPr>
          <w:rFonts w:hint="eastAsia" w:ascii="宋体" w:hAnsi="宋体"/>
          <w:sz w:val="21"/>
          <w:szCs w:val="21"/>
        </w:rPr>
      </w:pPr>
      <w:r>
        <w:rPr>
          <w:rFonts w:hint="eastAsia" w:ascii="宋体" w:hAnsi="宋体"/>
          <w:sz w:val="21"/>
          <w:szCs w:val="21"/>
        </w:rPr>
        <w:t>2．根据本合同的规定向甲方收取相关服务费用，并有权在本项目管理范围内管理及合理使用。</w:t>
      </w:r>
    </w:p>
    <w:p w14:paraId="25745F6F">
      <w:pPr>
        <w:pStyle w:val="4"/>
        <w:spacing w:line="360" w:lineRule="auto"/>
        <w:ind w:firstLine="420"/>
        <w:rPr>
          <w:rFonts w:hint="eastAsia" w:ascii="宋体" w:hAnsi="宋体"/>
          <w:sz w:val="21"/>
          <w:szCs w:val="21"/>
        </w:rPr>
      </w:pPr>
      <w:r>
        <w:rPr>
          <w:rFonts w:hint="eastAsia" w:ascii="宋体" w:hAnsi="宋体"/>
          <w:sz w:val="21"/>
          <w:szCs w:val="21"/>
        </w:rPr>
        <w:t>3．及时向甲方通告本项目服务范围内有关服务的重大事项，及时配合处理投诉。</w:t>
      </w:r>
    </w:p>
    <w:p w14:paraId="7C7DFAAA">
      <w:pPr>
        <w:pStyle w:val="4"/>
        <w:spacing w:line="360" w:lineRule="auto"/>
        <w:ind w:firstLine="420"/>
        <w:rPr>
          <w:rFonts w:hint="eastAsia" w:ascii="宋体" w:hAnsi="宋体"/>
          <w:sz w:val="21"/>
          <w:szCs w:val="21"/>
        </w:rPr>
      </w:pPr>
      <w:r>
        <w:rPr>
          <w:rFonts w:hint="eastAsia" w:ascii="宋体" w:hAnsi="宋体"/>
          <w:sz w:val="21"/>
          <w:szCs w:val="21"/>
        </w:rPr>
        <w:t>4．接受项目行业管理部门及政府有关部门的指导，接受甲方的监督。</w:t>
      </w:r>
    </w:p>
    <w:p w14:paraId="080647B1">
      <w:pPr>
        <w:pStyle w:val="4"/>
        <w:spacing w:line="360" w:lineRule="auto"/>
        <w:ind w:firstLine="420"/>
        <w:rPr>
          <w:rFonts w:hint="eastAsia" w:ascii="宋体" w:hAnsi="宋体"/>
          <w:sz w:val="21"/>
          <w:szCs w:val="21"/>
        </w:rPr>
      </w:pPr>
      <w:r>
        <w:rPr>
          <w:rFonts w:hint="eastAsia" w:ascii="宋体" w:hAnsi="宋体"/>
          <w:sz w:val="21"/>
          <w:szCs w:val="21"/>
        </w:rPr>
        <w:t>5．国家法律、法规所规定由乙方承担的其它责任。</w:t>
      </w:r>
    </w:p>
    <w:p w14:paraId="73F9158F">
      <w:pPr>
        <w:pStyle w:val="4"/>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第十二条  违约责任</w:t>
      </w:r>
    </w:p>
    <w:p w14:paraId="35BCFAFF">
      <w:pPr>
        <w:pStyle w:val="4"/>
        <w:spacing w:line="360" w:lineRule="auto"/>
        <w:ind w:firstLine="420"/>
        <w:rPr>
          <w:rFonts w:hint="eastAsia" w:ascii="宋体" w:hAnsi="宋体"/>
          <w:sz w:val="21"/>
          <w:szCs w:val="21"/>
        </w:rPr>
      </w:pPr>
      <w:r>
        <w:rPr>
          <w:rFonts w:hint="eastAsia" w:ascii="宋体" w:hAnsi="宋体"/>
          <w:sz w:val="21"/>
          <w:szCs w:val="21"/>
        </w:rPr>
        <w:t>1.乙方逾期交付成果的，每逾期一日，按合同总价的0.05%向甲方支付违约金，累计违约金不超过合同总价的10%。</w:t>
      </w:r>
    </w:p>
    <w:p w14:paraId="2DF5DFC8">
      <w:pPr>
        <w:pStyle w:val="4"/>
        <w:spacing w:line="360" w:lineRule="auto"/>
        <w:ind w:firstLine="420"/>
        <w:rPr>
          <w:rFonts w:hint="eastAsia" w:ascii="宋体" w:hAnsi="宋体"/>
          <w:sz w:val="21"/>
          <w:szCs w:val="21"/>
        </w:rPr>
      </w:pPr>
      <w:r>
        <w:rPr>
          <w:rFonts w:hint="eastAsia" w:ascii="宋体" w:hAnsi="宋体"/>
          <w:sz w:val="21"/>
          <w:szCs w:val="21"/>
        </w:rPr>
        <w:t>2.</w:t>
      </w:r>
      <w:r>
        <w:rPr>
          <w:rFonts w:ascii="宋体" w:hAnsi="宋体"/>
          <w:sz w:val="21"/>
          <w:szCs w:val="21"/>
        </w:rPr>
        <w:t>规划成果连续两次专家评审未通过的，</w:t>
      </w:r>
      <w:r>
        <w:rPr>
          <w:rFonts w:hint="eastAsia" w:ascii="宋体" w:hAnsi="宋体"/>
          <w:sz w:val="21"/>
          <w:szCs w:val="21"/>
        </w:rPr>
        <w:t>甲方</w:t>
      </w:r>
      <w:r>
        <w:rPr>
          <w:rFonts w:ascii="宋体" w:hAnsi="宋体"/>
          <w:sz w:val="21"/>
          <w:szCs w:val="21"/>
        </w:rPr>
        <w:t>有权解除合同，</w:t>
      </w:r>
      <w:r>
        <w:rPr>
          <w:rFonts w:hint="eastAsia" w:ascii="宋体" w:hAnsi="宋体"/>
          <w:sz w:val="21"/>
          <w:szCs w:val="21"/>
        </w:rPr>
        <w:t>乙方</w:t>
      </w:r>
      <w:r>
        <w:rPr>
          <w:rFonts w:ascii="宋体" w:hAnsi="宋体"/>
          <w:sz w:val="21"/>
          <w:szCs w:val="21"/>
        </w:rPr>
        <w:t>应退还已收取的全部款项。</w:t>
      </w:r>
    </w:p>
    <w:p w14:paraId="4C96B8A6">
      <w:pPr>
        <w:pStyle w:val="4"/>
        <w:spacing w:line="360" w:lineRule="auto"/>
        <w:ind w:firstLine="420"/>
        <w:rPr>
          <w:rFonts w:hint="eastAsia" w:ascii="宋体" w:hAnsi="宋体" w:eastAsia="宋体"/>
          <w:b/>
          <w:bCs/>
          <w:sz w:val="22"/>
          <w:szCs w:val="22"/>
        </w:rPr>
      </w:pPr>
      <w:r>
        <w:rPr>
          <w:rFonts w:hint="eastAsia" w:ascii="宋体" w:hAnsi="宋体"/>
          <w:sz w:val="21"/>
          <w:szCs w:val="21"/>
        </w:rPr>
        <w:t>3.甲方</w:t>
      </w:r>
      <w:r>
        <w:rPr>
          <w:rFonts w:ascii="宋体" w:hAnsi="宋体"/>
          <w:sz w:val="21"/>
          <w:szCs w:val="21"/>
        </w:rPr>
        <w:t>逾期付款的，每逾期一日，按应付未付款项的0.05%向</w:t>
      </w:r>
      <w:r>
        <w:rPr>
          <w:rFonts w:hint="eastAsia" w:ascii="宋体" w:hAnsi="宋体"/>
          <w:sz w:val="21"/>
          <w:szCs w:val="21"/>
        </w:rPr>
        <w:t>乙方</w:t>
      </w:r>
      <w:r>
        <w:rPr>
          <w:rFonts w:ascii="宋体" w:hAnsi="宋体"/>
          <w:sz w:val="21"/>
          <w:szCs w:val="21"/>
        </w:rPr>
        <w:t>支付违约金。</w:t>
      </w:r>
    </w:p>
    <w:p w14:paraId="4D368C99">
      <w:pPr>
        <w:pStyle w:val="4"/>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第十三条  不可抗力事件处理</w:t>
      </w:r>
    </w:p>
    <w:p w14:paraId="40BCB0AF">
      <w:pPr>
        <w:pStyle w:val="4"/>
        <w:spacing w:line="360" w:lineRule="auto"/>
        <w:ind w:firstLine="420"/>
        <w:rPr>
          <w:rFonts w:hint="eastAsia" w:ascii="宋体" w:hAnsi="宋体"/>
          <w:sz w:val="21"/>
          <w:szCs w:val="21"/>
        </w:rPr>
      </w:pPr>
      <w:r>
        <w:rPr>
          <w:rFonts w:hint="eastAsia" w:ascii="宋体" w:hAnsi="宋体"/>
          <w:sz w:val="21"/>
          <w:szCs w:val="21"/>
        </w:rPr>
        <w:t>1．在合同有效期内，任何一方因不可抗力事件导致不能履行合同，则合同履行期可延长，其延长期与不可抗力影响期相同。</w:t>
      </w:r>
    </w:p>
    <w:p w14:paraId="21D30105">
      <w:pPr>
        <w:pStyle w:val="4"/>
        <w:spacing w:line="360" w:lineRule="auto"/>
        <w:ind w:firstLine="420"/>
        <w:rPr>
          <w:rFonts w:hint="eastAsia" w:ascii="宋体" w:hAnsi="宋体"/>
          <w:sz w:val="21"/>
          <w:szCs w:val="21"/>
        </w:rPr>
      </w:pPr>
      <w:r>
        <w:rPr>
          <w:rFonts w:hint="eastAsia" w:ascii="宋体" w:hAnsi="宋体"/>
          <w:sz w:val="21"/>
          <w:szCs w:val="21"/>
        </w:rPr>
        <w:t>2．不可抗力事件发生后，应立即通知对方，并寄送有关权威机构出具的证明。</w:t>
      </w:r>
    </w:p>
    <w:p w14:paraId="36DACF52">
      <w:pPr>
        <w:pStyle w:val="4"/>
        <w:spacing w:line="360" w:lineRule="auto"/>
        <w:ind w:firstLine="420"/>
        <w:rPr>
          <w:rFonts w:hint="eastAsia" w:ascii="宋体" w:hAnsi="宋体"/>
          <w:sz w:val="21"/>
          <w:szCs w:val="21"/>
        </w:rPr>
      </w:pPr>
      <w:r>
        <w:rPr>
          <w:rFonts w:hint="eastAsia" w:ascii="宋体" w:hAnsi="宋体"/>
          <w:sz w:val="21"/>
          <w:szCs w:val="21"/>
        </w:rPr>
        <w:t>3．不可抗力事件延续60天以上，双方应通过友好协商，确定是否继续履行合同。</w:t>
      </w:r>
    </w:p>
    <w:p w14:paraId="0350409A">
      <w:pPr>
        <w:pStyle w:val="4"/>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第十四条  合同的变更和终止</w:t>
      </w:r>
    </w:p>
    <w:p w14:paraId="38CB162F">
      <w:pPr>
        <w:pStyle w:val="4"/>
        <w:spacing w:line="360" w:lineRule="auto"/>
        <w:ind w:firstLine="420"/>
        <w:rPr>
          <w:rFonts w:hint="eastAsia" w:ascii="宋体" w:hAnsi="宋体"/>
          <w:sz w:val="21"/>
          <w:szCs w:val="21"/>
        </w:rPr>
      </w:pPr>
      <w:r>
        <w:rPr>
          <w:rFonts w:hint="eastAsia" w:ascii="宋体" w:hAnsi="宋体"/>
          <w:sz w:val="21"/>
          <w:szCs w:val="21"/>
        </w:rPr>
        <w:t>除《中华人民共和国政府采购法》第49条、第50条第二款规定的情形外，本合同一经签订，甲乙双方不得擅自变更、中止或终止合同。</w:t>
      </w:r>
    </w:p>
    <w:p w14:paraId="621ED26E">
      <w:pPr>
        <w:pStyle w:val="4"/>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第十五条  解决合同纠纷的方式</w:t>
      </w:r>
    </w:p>
    <w:p w14:paraId="537BB022">
      <w:pPr>
        <w:pStyle w:val="4"/>
        <w:spacing w:line="360" w:lineRule="auto"/>
        <w:ind w:firstLine="420"/>
        <w:rPr>
          <w:rFonts w:hint="eastAsia" w:ascii="宋体" w:hAnsi="宋体"/>
          <w:sz w:val="21"/>
          <w:szCs w:val="21"/>
        </w:rPr>
      </w:pPr>
      <w:r>
        <w:rPr>
          <w:rFonts w:hint="eastAsia" w:ascii="宋体" w:hAnsi="宋体"/>
          <w:sz w:val="21"/>
          <w:szCs w:val="21"/>
        </w:rPr>
        <w:t>在执行本合同中发生的或与本合同有关的争端，双方应通过友好协商解决，经协商在30天内不能达成协议时，向甲方所在地有管辖权的人民法院提起诉讼。</w:t>
      </w:r>
    </w:p>
    <w:p w14:paraId="4B20F0F3">
      <w:pPr>
        <w:pStyle w:val="4"/>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第十六条  合同生效及其他</w:t>
      </w:r>
    </w:p>
    <w:p w14:paraId="49C889FF">
      <w:pPr>
        <w:pStyle w:val="4"/>
        <w:spacing w:line="360" w:lineRule="auto"/>
        <w:ind w:firstLine="420"/>
        <w:rPr>
          <w:rFonts w:hint="eastAsia" w:ascii="宋体" w:hAnsi="宋体"/>
          <w:sz w:val="21"/>
          <w:szCs w:val="21"/>
        </w:rPr>
      </w:pPr>
      <w:r>
        <w:rPr>
          <w:rFonts w:hint="eastAsia" w:ascii="宋体" w:hAnsi="宋体"/>
          <w:sz w:val="21"/>
          <w:szCs w:val="21"/>
        </w:rPr>
        <w:t>1．合同经双方法定代表人或委托代理人签名并加盖单</w:t>
      </w:r>
      <w:r>
        <w:rPr>
          <w:rFonts w:hint="eastAsia" w:ascii="宋体" w:hAnsi="宋体"/>
          <w:sz w:val="21"/>
          <w:szCs w:val="21"/>
          <w:lang w:eastAsia="zh-CN"/>
        </w:rPr>
        <w:t>位公</w:t>
      </w:r>
      <w:r>
        <w:rPr>
          <w:rFonts w:hint="eastAsia" w:ascii="宋体" w:hAnsi="宋体"/>
          <w:sz w:val="21"/>
          <w:szCs w:val="21"/>
        </w:rPr>
        <w:t>章后生效。</w:t>
      </w:r>
    </w:p>
    <w:p w14:paraId="2D62CECF">
      <w:pPr>
        <w:pStyle w:val="4"/>
        <w:spacing w:line="360" w:lineRule="auto"/>
        <w:ind w:firstLine="420"/>
        <w:rPr>
          <w:rFonts w:hint="eastAsia" w:ascii="宋体" w:hAnsi="宋体"/>
          <w:sz w:val="21"/>
          <w:szCs w:val="21"/>
        </w:rPr>
      </w:pPr>
      <w:r>
        <w:rPr>
          <w:rFonts w:hint="eastAsia" w:ascii="宋体" w:hAnsi="宋体"/>
          <w:sz w:val="21"/>
          <w:szCs w:val="21"/>
        </w:rPr>
        <w:t>2．合同执行中涉及采购资金和采购内容修改或补充的，须经政府采购监管部门审批，并</w:t>
      </w:r>
      <w:r>
        <w:rPr>
          <w:rFonts w:hint="eastAsia" w:ascii="宋体" w:hAnsi="宋体"/>
          <w:sz w:val="21"/>
          <w:szCs w:val="21"/>
          <w:lang w:eastAsia="zh-CN"/>
        </w:rPr>
        <w:t>签订</w:t>
      </w:r>
      <w:r>
        <w:rPr>
          <w:rFonts w:hint="eastAsia" w:ascii="宋体" w:hAnsi="宋体"/>
          <w:sz w:val="21"/>
          <w:szCs w:val="21"/>
        </w:rPr>
        <w:t>书面补充协议报政府采购监督管理部门备案，方可作为主合同不可分割的一部分。</w:t>
      </w:r>
    </w:p>
    <w:p w14:paraId="42A4A681">
      <w:pPr>
        <w:pStyle w:val="4"/>
        <w:spacing w:line="360" w:lineRule="auto"/>
        <w:ind w:firstLine="0" w:firstLineChars="0"/>
        <w:outlineLvl w:val="2"/>
        <w:rPr>
          <w:rFonts w:hint="eastAsia" w:ascii="宋体" w:hAnsi="宋体" w:eastAsia="宋体"/>
          <w:b/>
          <w:bCs/>
          <w:sz w:val="22"/>
          <w:szCs w:val="22"/>
        </w:rPr>
      </w:pPr>
      <w:r>
        <w:rPr>
          <w:rFonts w:hint="eastAsia" w:ascii="宋体" w:hAnsi="宋体" w:eastAsia="宋体"/>
          <w:b/>
          <w:bCs/>
          <w:sz w:val="22"/>
          <w:szCs w:val="22"/>
        </w:rPr>
        <w:t>第十七条  附件</w:t>
      </w:r>
    </w:p>
    <w:p w14:paraId="41946B65">
      <w:pPr>
        <w:pStyle w:val="4"/>
        <w:spacing w:line="360" w:lineRule="auto"/>
        <w:ind w:firstLine="420"/>
        <w:rPr>
          <w:rFonts w:hint="eastAsia" w:ascii="宋体" w:hAnsi="宋体"/>
          <w:sz w:val="21"/>
          <w:szCs w:val="21"/>
        </w:rPr>
      </w:pPr>
      <w:r>
        <w:rPr>
          <w:rFonts w:hint="eastAsia" w:ascii="宋体" w:hAnsi="宋体"/>
          <w:sz w:val="21"/>
          <w:szCs w:val="21"/>
        </w:rPr>
        <w:t>1．项目磋商文件</w:t>
      </w:r>
    </w:p>
    <w:p w14:paraId="75E8D4EF">
      <w:pPr>
        <w:pStyle w:val="4"/>
        <w:spacing w:line="360" w:lineRule="auto"/>
        <w:ind w:firstLine="420"/>
        <w:rPr>
          <w:rFonts w:hint="eastAsia" w:ascii="宋体" w:hAnsi="宋体"/>
          <w:sz w:val="21"/>
          <w:szCs w:val="21"/>
        </w:rPr>
      </w:pPr>
      <w:r>
        <w:rPr>
          <w:rFonts w:hint="eastAsia" w:ascii="宋体" w:hAnsi="宋体"/>
          <w:sz w:val="21"/>
          <w:szCs w:val="21"/>
        </w:rPr>
        <w:t>2．项目修改澄清文件</w:t>
      </w:r>
    </w:p>
    <w:p w14:paraId="003DCD77">
      <w:pPr>
        <w:pStyle w:val="4"/>
        <w:spacing w:line="360" w:lineRule="auto"/>
        <w:ind w:firstLine="420"/>
        <w:rPr>
          <w:rFonts w:hint="eastAsia" w:ascii="宋体" w:hAnsi="宋体"/>
          <w:sz w:val="21"/>
          <w:szCs w:val="21"/>
        </w:rPr>
      </w:pPr>
      <w:r>
        <w:rPr>
          <w:rFonts w:hint="eastAsia" w:ascii="宋体" w:hAnsi="宋体"/>
          <w:sz w:val="21"/>
          <w:szCs w:val="21"/>
        </w:rPr>
        <w:t>3．项目响应文件</w:t>
      </w:r>
    </w:p>
    <w:p w14:paraId="5DFFEC6D">
      <w:pPr>
        <w:pStyle w:val="4"/>
        <w:spacing w:line="360" w:lineRule="auto"/>
        <w:ind w:firstLine="420"/>
        <w:rPr>
          <w:rFonts w:hint="eastAsia" w:ascii="宋体" w:hAnsi="宋体"/>
          <w:sz w:val="21"/>
          <w:szCs w:val="21"/>
        </w:rPr>
      </w:pPr>
      <w:r>
        <w:rPr>
          <w:rFonts w:hint="eastAsia" w:ascii="宋体" w:hAnsi="宋体"/>
          <w:sz w:val="21"/>
          <w:szCs w:val="21"/>
        </w:rPr>
        <w:t>4．成交通知书</w:t>
      </w:r>
    </w:p>
    <w:p w14:paraId="3E1DF328">
      <w:pPr>
        <w:pStyle w:val="4"/>
        <w:spacing w:line="360" w:lineRule="auto"/>
        <w:ind w:firstLine="420"/>
        <w:rPr>
          <w:rFonts w:hint="eastAsia" w:ascii="宋体" w:hAnsi="宋体"/>
          <w:sz w:val="21"/>
          <w:szCs w:val="21"/>
        </w:rPr>
      </w:pPr>
      <w:r>
        <w:rPr>
          <w:rFonts w:hint="eastAsia" w:ascii="宋体" w:hAnsi="宋体"/>
          <w:sz w:val="21"/>
          <w:szCs w:val="21"/>
        </w:rPr>
        <w:t>5．其他</w:t>
      </w:r>
    </w:p>
    <w:p w14:paraId="1E061A6D">
      <w:pPr>
        <w:pStyle w:val="4"/>
        <w:spacing w:line="360" w:lineRule="auto"/>
        <w:ind w:firstLine="420"/>
        <w:rPr>
          <w:rFonts w:hint="eastAsia" w:ascii="宋体" w:hAnsi="宋体"/>
          <w:sz w:val="21"/>
          <w:szCs w:val="21"/>
        </w:rPr>
      </w:pPr>
      <w:r>
        <w:rPr>
          <w:rFonts w:hint="eastAsia" w:ascii="宋体" w:hAnsi="宋体"/>
          <w:sz w:val="21"/>
          <w:szCs w:val="21"/>
        </w:rPr>
        <w:t xml:space="preserve">本合同未尽事宜，双方可另行协商签订补充合同，补充合同与本合同具有同等效力。 </w:t>
      </w:r>
    </w:p>
    <w:p w14:paraId="6B3099B7">
      <w:pPr>
        <w:pStyle w:val="4"/>
        <w:spacing w:line="360" w:lineRule="auto"/>
        <w:ind w:firstLine="420"/>
        <w:rPr>
          <w:rFonts w:hint="eastAsia" w:ascii="宋体" w:hAnsi="宋体"/>
          <w:sz w:val="21"/>
          <w:szCs w:val="21"/>
        </w:rPr>
      </w:pPr>
      <w:r>
        <w:rPr>
          <w:rFonts w:hint="eastAsia" w:ascii="宋体" w:hAnsi="宋体"/>
          <w:sz w:val="21"/>
          <w:szCs w:val="21"/>
        </w:rPr>
        <w:t>本合同一式</w:t>
      </w:r>
      <w:r>
        <w:rPr>
          <w:rFonts w:hint="eastAsia" w:ascii="宋体" w:hAnsi="宋体"/>
          <w:sz w:val="21"/>
          <w:szCs w:val="21"/>
          <w:u w:val="single"/>
        </w:rPr>
        <w:t xml:space="preserve"> 肆 </w:t>
      </w:r>
      <w:r>
        <w:rPr>
          <w:rFonts w:hint="eastAsia" w:ascii="宋体" w:hAnsi="宋体"/>
          <w:sz w:val="21"/>
          <w:szCs w:val="21"/>
        </w:rPr>
        <w:t>份，甲方执</w:t>
      </w:r>
      <w:r>
        <w:rPr>
          <w:rFonts w:hint="eastAsia" w:ascii="宋体" w:hAnsi="宋体"/>
          <w:sz w:val="21"/>
          <w:szCs w:val="21"/>
          <w:u w:val="single"/>
        </w:rPr>
        <w:t xml:space="preserve"> 贰 </w:t>
      </w:r>
      <w:r>
        <w:rPr>
          <w:rFonts w:hint="eastAsia" w:ascii="宋体" w:hAnsi="宋体"/>
          <w:sz w:val="21"/>
          <w:szCs w:val="21"/>
        </w:rPr>
        <w:t>份、乙方执</w:t>
      </w:r>
      <w:r>
        <w:rPr>
          <w:rFonts w:hint="eastAsia" w:ascii="宋体" w:hAnsi="宋体"/>
          <w:sz w:val="21"/>
          <w:szCs w:val="21"/>
          <w:u w:val="single"/>
        </w:rPr>
        <w:t xml:space="preserve"> 贰 </w:t>
      </w:r>
      <w:r>
        <w:rPr>
          <w:rFonts w:hint="eastAsia" w:ascii="宋体" w:hAnsi="宋体"/>
          <w:sz w:val="21"/>
          <w:szCs w:val="21"/>
        </w:rPr>
        <w:t xml:space="preserve">份。 </w:t>
      </w:r>
    </w:p>
    <w:p w14:paraId="428604AE">
      <w:pPr>
        <w:pStyle w:val="4"/>
        <w:spacing w:line="360" w:lineRule="auto"/>
        <w:ind w:firstLine="0" w:firstLineChars="0"/>
        <w:rPr>
          <w:rFonts w:hint="eastAsia" w:ascii="宋体" w:hAnsi="宋体"/>
          <w:sz w:val="21"/>
          <w:szCs w:val="21"/>
        </w:rPr>
      </w:pPr>
    </w:p>
    <w:p w14:paraId="62086E33">
      <w:pPr>
        <w:pStyle w:val="4"/>
        <w:spacing w:line="360" w:lineRule="auto"/>
        <w:ind w:firstLine="0" w:firstLineChars="0"/>
        <w:rPr>
          <w:rFonts w:hint="eastAsia" w:ascii="宋体" w:hAnsi="宋体"/>
          <w:sz w:val="21"/>
          <w:szCs w:val="21"/>
        </w:rPr>
      </w:pPr>
    </w:p>
    <w:p w14:paraId="32CF74E3">
      <w:pPr>
        <w:pStyle w:val="4"/>
        <w:spacing w:line="360" w:lineRule="auto"/>
        <w:ind w:firstLine="0" w:firstLineChars="0"/>
        <w:rPr>
          <w:rFonts w:hint="eastAsia" w:ascii="宋体" w:hAnsi="宋体"/>
          <w:sz w:val="21"/>
          <w:szCs w:val="21"/>
        </w:rPr>
      </w:pPr>
    </w:p>
    <w:p w14:paraId="587FBEF7">
      <w:pPr>
        <w:pStyle w:val="4"/>
        <w:spacing w:line="360" w:lineRule="auto"/>
        <w:ind w:firstLine="0" w:firstLineChars="0"/>
        <w:rPr>
          <w:rFonts w:hint="eastAsia" w:ascii="宋体" w:hAnsi="宋体"/>
          <w:sz w:val="21"/>
          <w:szCs w:val="21"/>
        </w:rPr>
      </w:pPr>
    </w:p>
    <w:p w14:paraId="35F1B9A7">
      <w:pPr>
        <w:pStyle w:val="4"/>
        <w:spacing w:line="360" w:lineRule="auto"/>
        <w:ind w:firstLine="0" w:firstLineChars="0"/>
        <w:rPr>
          <w:rFonts w:hint="eastAsia" w:ascii="宋体" w:hAnsi="宋体"/>
          <w:sz w:val="21"/>
          <w:szCs w:val="21"/>
        </w:rPr>
      </w:pPr>
    </w:p>
    <w:p w14:paraId="7581ECC5">
      <w:pPr>
        <w:pStyle w:val="4"/>
        <w:spacing w:line="360" w:lineRule="auto"/>
        <w:ind w:firstLine="0" w:firstLineChars="0"/>
        <w:rPr>
          <w:rFonts w:hint="eastAsia" w:ascii="宋体" w:hAnsi="宋体"/>
          <w:sz w:val="21"/>
          <w:szCs w:val="21"/>
        </w:rPr>
      </w:pPr>
    </w:p>
    <w:p w14:paraId="46BA7504">
      <w:pPr>
        <w:pStyle w:val="4"/>
        <w:spacing w:line="360" w:lineRule="auto"/>
        <w:ind w:firstLine="0" w:firstLineChars="0"/>
        <w:rPr>
          <w:rFonts w:hint="default" w:ascii="宋体" w:hAnsi="宋体" w:eastAsiaTheme="minorEastAsia"/>
          <w:sz w:val="21"/>
          <w:szCs w:val="21"/>
          <w:lang w:val="en-US" w:eastAsia="zh-CN"/>
        </w:rPr>
      </w:pPr>
      <w:r>
        <w:rPr>
          <w:rFonts w:hint="eastAsia" w:ascii="宋体" w:hAnsi="宋体"/>
          <w:sz w:val="21"/>
          <w:szCs w:val="21"/>
          <w:lang w:val="en-US" w:eastAsia="zh-CN"/>
        </w:rPr>
        <w:t>以下无正文</w:t>
      </w:r>
    </w:p>
    <w:p w14:paraId="36912A11">
      <w:pPr>
        <w:pStyle w:val="4"/>
        <w:spacing w:line="360" w:lineRule="auto"/>
        <w:ind w:firstLine="0" w:firstLineChars="0"/>
        <w:rPr>
          <w:rFonts w:hint="eastAsia" w:ascii="宋体" w:hAnsi="宋体"/>
          <w:sz w:val="21"/>
          <w:szCs w:val="21"/>
        </w:rPr>
      </w:pPr>
    </w:p>
    <w:p w14:paraId="2A6E6326">
      <w:pPr>
        <w:pStyle w:val="4"/>
        <w:spacing w:line="360" w:lineRule="auto"/>
        <w:ind w:firstLine="420"/>
        <w:rPr>
          <w:rFonts w:hint="eastAsia" w:ascii="宋体" w:hAnsi="宋体"/>
          <w:sz w:val="21"/>
          <w:szCs w:val="21"/>
        </w:rPr>
      </w:pPr>
      <w:r>
        <w:rPr>
          <w:rFonts w:hint="eastAsia" w:ascii="宋体" w:hAnsi="宋体"/>
          <w:sz w:val="21"/>
          <w:szCs w:val="21"/>
        </w:rPr>
        <w:t xml:space="preserve">甲方：   （盖章）   </w:t>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 xml:space="preserve">   乙方：   （盖章）</w:t>
      </w:r>
    </w:p>
    <w:p w14:paraId="67DE7DC5">
      <w:pPr>
        <w:pStyle w:val="4"/>
        <w:spacing w:line="360" w:lineRule="auto"/>
        <w:ind w:firstLine="420"/>
        <w:rPr>
          <w:rFonts w:hint="eastAsia" w:ascii="宋体" w:hAnsi="宋体"/>
          <w:sz w:val="21"/>
          <w:szCs w:val="21"/>
        </w:rPr>
      </w:pPr>
      <w:r>
        <w:rPr>
          <w:rFonts w:hint="eastAsia" w:ascii="宋体" w:hAnsi="宋体"/>
          <w:sz w:val="21"/>
          <w:szCs w:val="21"/>
        </w:rPr>
        <w:t>法定代表人/委托代理人：            法定代表人/委托代理人：</w:t>
      </w:r>
    </w:p>
    <w:p w14:paraId="5D8BEE05">
      <w:pPr>
        <w:pStyle w:val="4"/>
        <w:spacing w:line="360" w:lineRule="auto"/>
        <w:ind w:firstLine="420"/>
        <w:rPr>
          <w:rFonts w:hint="eastAsia" w:ascii="宋体" w:hAnsi="宋体"/>
          <w:sz w:val="21"/>
          <w:szCs w:val="21"/>
        </w:rPr>
      </w:pPr>
      <w:r>
        <w:rPr>
          <w:rFonts w:hint="eastAsia" w:ascii="宋体" w:hAnsi="宋体"/>
          <w:sz w:val="21"/>
          <w:szCs w:val="21"/>
        </w:rPr>
        <w:t>地    址：                         地    址：</w:t>
      </w:r>
    </w:p>
    <w:p w14:paraId="5C370E88">
      <w:pPr>
        <w:pStyle w:val="4"/>
        <w:spacing w:line="360" w:lineRule="auto"/>
        <w:ind w:firstLine="420"/>
        <w:rPr>
          <w:rFonts w:hint="eastAsia" w:ascii="宋体" w:hAnsi="宋体"/>
          <w:sz w:val="21"/>
          <w:szCs w:val="21"/>
        </w:rPr>
      </w:pPr>
      <w:r>
        <w:rPr>
          <w:rFonts w:hint="eastAsia" w:ascii="宋体" w:hAnsi="宋体"/>
          <w:sz w:val="21"/>
          <w:szCs w:val="21"/>
        </w:rPr>
        <w:t>开户银行：                         开户银行：</w:t>
      </w:r>
    </w:p>
    <w:p w14:paraId="473553A5">
      <w:pPr>
        <w:pStyle w:val="4"/>
        <w:spacing w:line="360" w:lineRule="auto"/>
        <w:ind w:firstLine="420"/>
        <w:rPr>
          <w:rFonts w:hint="eastAsia" w:ascii="宋体" w:hAnsi="宋体"/>
          <w:sz w:val="21"/>
          <w:szCs w:val="21"/>
        </w:rPr>
      </w:pPr>
      <w:r>
        <w:rPr>
          <w:rFonts w:hint="eastAsia" w:ascii="宋体" w:hAnsi="宋体"/>
          <w:sz w:val="21"/>
          <w:szCs w:val="21"/>
        </w:rPr>
        <w:t>账    号：                         账    号：</w:t>
      </w:r>
    </w:p>
    <w:p w14:paraId="63D6AB6B">
      <w:pPr>
        <w:pStyle w:val="4"/>
        <w:spacing w:line="360" w:lineRule="auto"/>
        <w:ind w:firstLine="420"/>
        <w:rPr>
          <w:rFonts w:hint="eastAsia" w:ascii="宋体" w:hAnsi="宋体"/>
          <w:sz w:val="21"/>
          <w:szCs w:val="21"/>
        </w:rPr>
      </w:pPr>
      <w:r>
        <w:rPr>
          <w:rFonts w:hint="eastAsia" w:ascii="宋体" w:hAnsi="宋体"/>
          <w:sz w:val="21"/>
          <w:szCs w:val="21"/>
        </w:rPr>
        <w:t>电    话：                         电    话：</w:t>
      </w:r>
    </w:p>
    <w:p w14:paraId="3D7B16D7">
      <w:pPr>
        <w:pStyle w:val="4"/>
        <w:spacing w:line="360" w:lineRule="auto"/>
        <w:ind w:firstLine="420"/>
        <w:rPr>
          <w:rFonts w:hint="eastAsia" w:ascii="宋体" w:hAnsi="宋体"/>
          <w:sz w:val="21"/>
          <w:szCs w:val="21"/>
        </w:rPr>
      </w:pPr>
      <w:r>
        <w:rPr>
          <w:rFonts w:hint="eastAsia" w:ascii="宋体" w:hAnsi="宋体"/>
          <w:sz w:val="21"/>
          <w:szCs w:val="21"/>
        </w:rPr>
        <w:t>传    真：                         传    真：</w:t>
      </w:r>
    </w:p>
    <w:p w14:paraId="36281052">
      <w:pPr>
        <w:pStyle w:val="4"/>
        <w:spacing w:line="360" w:lineRule="auto"/>
        <w:ind w:firstLine="420"/>
        <w:rPr>
          <w:rFonts w:hint="eastAsia" w:asciiTheme="minorEastAsia" w:hAnsiTheme="minorEastAsia"/>
        </w:rPr>
      </w:pPr>
      <w:r>
        <w:rPr>
          <w:rFonts w:hint="eastAsia" w:ascii="宋体" w:hAnsi="宋体"/>
          <w:sz w:val="21"/>
          <w:szCs w:val="21"/>
        </w:rPr>
        <w:t>签约日期：    年  月  日           签约日期：    年  月  日</w:t>
      </w:r>
    </w:p>
    <w:p w14:paraId="65C1C87F">
      <w:pPr>
        <w:sectPr>
          <w:pgSz w:w="11906" w:h="16838"/>
          <w:pgMar w:top="1440" w:right="1800" w:bottom="1440" w:left="1800" w:header="851" w:footer="992" w:gutter="0"/>
          <w:cols w:space="425" w:num="1"/>
          <w:docGrid w:type="lines" w:linePitch="312" w:charSpace="0"/>
        </w:sectPr>
      </w:pPr>
    </w:p>
    <w:p w14:paraId="406F9A44">
      <w:pPr>
        <w:pStyle w:val="5"/>
        <w:rPr>
          <w:rFonts w:hint="eastAsia"/>
          <w:sz w:val="24"/>
          <w:szCs w:val="24"/>
          <w:highlight w:val="none"/>
          <w:lang w:val="en-US" w:eastAsia="zh-Hans"/>
        </w:rPr>
      </w:pPr>
      <w:r>
        <w:rPr>
          <w:rFonts w:hint="eastAsia"/>
          <w:sz w:val="24"/>
          <w:szCs w:val="24"/>
          <w:highlight w:val="none"/>
          <w:lang w:val="en-US" w:eastAsia="zh-Hans"/>
        </w:rPr>
        <w:t xml:space="preserve">项目编号：       </w:t>
      </w:r>
    </w:p>
    <w:p w14:paraId="1D22718C">
      <w:pPr>
        <w:pStyle w:val="5"/>
        <w:rPr>
          <w:rFonts w:hint="eastAsia"/>
          <w:highlight w:val="none"/>
          <w:lang w:val="en-US" w:eastAsia="zh-Hans"/>
        </w:rPr>
      </w:pPr>
    </w:p>
    <w:p w14:paraId="25110749">
      <w:pPr>
        <w:pStyle w:val="5"/>
        <w:rPr>
          <w:rFonts w:hint="eastAsia"/>
          <w:highlight w:val="none"/>
          <w:lang w:val="en-US" w:eastAsia="zh-Hans"/>
        </w:rPr>
      </w:pPr>
    </w:p>
    <w:p w14:paraId="7DDBF631">
      <w:pPr>
        <w:pStyle w:val="5"/>
        <w:rPr>
          <w:rFonts w:hint="eastAsia"/>
          <w:highlight w:val="none"/>
          <w:lang w:val="en-US" w:eastAsia="zh-Hans"/>
        </w:rPr>
      </w:pPr>
    </w:p>
    <w:p w14:paraId="4D06C5C6">
      <w:pPr>
        <w:pStyle w:val="5"/>
        <w:jc w:val="center"/>
        <w:rPr>
          <w:rFonts w:hint="eastAsia"/>
          <w:b/>
          <w:bCs/>
          <w:sz w:val="48"/>
          <w:szCs w:val="48"/>
          <w:highlight w:val="none"/>
          <w:lang w:val="en-US" w:eastAsia="zh-Hans"/>
        </w:rPr>
      </w:pPr>
    </w:p>
    <w:p w14:paraId="148D4FC4">
      <w:pPr>
        <w:pStyle w:val="5"/>
        <w:jc w:val="center"/>
        <w:rPr>
          <w:rFonts w:hint="eastAsia"/>
          <w:b/>
          <w:bCs/>
          <w:sz w:val="48"/>
          <w:szCs w:val="48"/>
          <w:highlight w:val="none"/>
          <w:lang w:val="en-US" w:eastAsia="zh-Hans"/>
        </w:rPr>
      </w:pPr>
    </w:p>
    <w:p w14:paraId="235E9056">
      <w:pPr>
        <w:pStyle w:val="5"/>
        <w:jc w:val="center"/>
        <w:rPr>
          <w:rFonts w:hint="eastAsia"/>
          <w:b/>
          <w:bCs/>
          <w:sz w:val="48"/>
          <w:szCs w:val="48"/>
          <w:highlight w:val="none"/>
          <w:lang w:val="en-US" w:eastAsia="zh-Hans"/>
        </w:rPr>
      </w:pPr>
      <w:r>
        <w:rPr>
          <w:rFonts w:hint="eastAsia"/>
          <w:b/>
          <w:bCs/>
          <w:sz w:val="48"/>
          <w:szCs w:val="48"/>
          <w:highlight w:val="none"/>
          <w:lang w:val="en-US" w:eastAsia="zh-Hans"/>
        </w:rPr>
        <w:t>鄠邑区耕地占补平衡B库指标核定入库项目</w:t>
      </w:r>
    </w:p>
    <w:p w14:paraId="1C943C90">
      <w:pPr>
        <w:pStyle w:val="5"/>
        <w:jc w:val="center"/>
        <w:rPr>
          <w:rFonts w:hint="eastAsia"/>
          <w:sz w:val="22"/>
          <w:szCs w:val="22"/>
          <w:highlight w:val="none"/>
          <w:lang w:val="en-US" w:eastAsia="zh-Hans"/>
        </w:rPr>
      </w:pPr>
      <w:r>
        <w:rPr>
          <w:rFonts w:hint="eastAsia"/>
          <w:b/>
          <w:bCs/>
          <w:sz w:val="48"/>
          <w:szCs w:val="48"/>
          <w:highlight w:val="none"/>
          <w:lang w:val="en-US" w:eastAsia="zh-Hans"/>
        </w:rPr>
        <w:t>（采购包</w:t>
      </w:r>
      <w:r>
        <w:rPr>
          <w:rFonts w:hint="eastAsia"/>
          <w:b/>
          <w:bCs/>
          <w:sz w:val="48"/>
          <w:szCs w:val="48"/>
          <w:highlight w:val="none"/>
          <w:lang w:val="en-US" w:eastAsia="zh-CN"/>
        </w:rPr>
        <w:t>2</w:t>
      </w:r>
      <w:r>
        <w:rPr>
          <w:rFonts w:hint="eastAsia"/>
          <w:b/>
          <w:bCs/>
          <w:sz w:val="48"/>
          <w:szCs w:val="48"/>
          <w:highlight w:val="none"/>
          <w:lang w:val="en-US" w:eastAsia="zh-Hans"/>
        </w:rPr>
        <w:t>：耕地质量等级评价）</w:t>
      </w:r>
    </w:p>
    <w:p w14:paraId="27065F81">
      <w:pPr>
        <w:pStyle w:val="5"/>
        <w:rPr>
          <w:rFonts w:hint="eastAsia"/>
          <w:highlight w:val="none"/>
          <w:lang w:val="en-US" w:eastAsia="zh-Hans"/>
        </w:rPr>
      </w:pPr>
    </w:p>
    <w:p w14:paraId="173FFA7C">
      <w:pPr>
        <w:pStyle w:val="5"/>
        <w:jc w:val="center"/>
        <w:rPr>
          <w:rFonts w:hint="eastAsia"/>
          <w:b/>
          <w:bCs/>
          <w:sz w:val="44"/>
          <w:szCs w:val="44"/>
          <w:highlight w:val="none"/>
          <w:lang w:val="en-US" w:eastAsia="zh-Hans"/>
        </w:rPr>
      </w:pPr>
      <w:r>
        <w:rPr>
          <w:rFonts w:hint="eastAsia"/>
          <w:b/>
          <w:bCs/>
          <w:sz w:val="44"/>
          <w:szCs w:val="44"/>
          <w:highlight w:val="none"/>
          <w:lang w:val="en-US" w:eastAsia="zh-Hans"/>
        </w:rPr>
        <w:t>服 务 合 同</w:t>
      </w:r>
    </w:p>
    <w:p w14:paraId="34B9646E">
      <w:pPr>
        <w:pStyle w:val="5"/>
        <w:rPr>
          <w:rFonts w:hint="eastAsia"/>
          <w:highlight w:val="none"/>
          <w:lang w:val="en-US" w:eastAsia="zh-Hans"/>
        </w:rPr>
      </w:pPr>
    </w:p>
    <w:p w14:paraId="4D4C72E0">
      <w:pPr>
        <w:pStyle w:val="5"/>
        <w:jc w:val="center"/>
        <w:rPr>
          <w:rFonts w:hint="eastAsia"/>
          <w:sz w:val="32"/>
          <w:szCs w:val="32"/>
          <w:highlight w:val="none"/>
          <w:lang w:val="en-US" w:eastAsia="zh-Hans"/>
        </w:rPr>
      </w:pPr>
    </w:p>
    <w:p w14:paraId="0663C27D">
      <w:pPr>
        <w:pStyle w:val="5"/>
        <w:jc w:val="center"/>
        <w:rPr>
          <w:rFonts w:hint="eastAsia"/>
          <w:sz w:val="32"/>
          <w:szCs w:val="32"/>
          <w:highlight w:val="none"/>
          <w:lang w:val="en-US" w:eastAsia="zh-Hans"/>
        </w:rPr>
      </w:pPr>
      <w:r>
        <w:rPr>
          <w:rFonts w:hint="eastAsia"/>
          <w:sz w:val="32"/>
          <w:szCs w:val="32"/>
          <w:highlight w:val="none"/>
          <w:lang w:val="en-US" w:eastAsia="zh-Hans"/>
        </w:rPr>
        <w:t>（参考格式）</w:t>
      </w:r>
    </w:p>
    <w:p w14:paraId="5F40FC48">
      <w:pPr>
        <w:pStyle w:val="5"/>
        <w:rPr>
          <w:rFonts w:hint="eastAsia"/>
          <w:highlight w:val="none"/>
          <w:lang w:val="en-US" w:eastAsia="zh-Hans"/>
        </w:rPr>
      </w:pPr>
    </w:p>
    <w:p w14:paraId="77538778">
      <w:pPr>
        <w:pStyle w:val="5"/>
        <w:rPr>
          <w:rFonts w:hint="eastAsia"/>
          <w:highlight w:val="none"/>
          <w:lang w:val="en-US" w:eastAsia="zh-Hans"/>
        </w:rPr>
      </w:pPr>
    </w:p>
    <w:p w14:paraId="476BBBFE">
      <w:pPr>
        <w:pStyle w:val="5"/>
        <w:rPr>
          <w:rFonts w:hint="eastAsia"/>
          <w:highlight w:val="none"/>
          <w:lang w:val="en-US" w:eastAsia="zh-Hans"/>
        </w:rPr>
      </w:pPr>
    </w:p>
    <w:p w14:paraId="4CC47330">
      <w:pPr>
        <w:pStyle w:val="5"/>
        <w:rPr>
          <w:rFonts w:hint="eastAsia"/>
          <w:highlight w:val="none"/>
          <w:lang w:val="en-US" w:eastAsia="zh-Hans"/>
        </w:rPr>
      </w:pPr>
    </w:p>
    <w:p w14:paraId="1907CCCC">
      <w:pPr>
        <w:pStyle w:val="5"/>
        <w:rPr>
          <w:rFonts w:hint="eastAsia"/>
          <w:sz w:val="36"/>
          <w:szCs w:val="36"/>
          <w:highlight w:val="none"/>
          <w:lang w:val="en-US" w:eastAsia="zh-Hans"/>
        </w:rPr>
      </w:pPr>
    </w:p>
    <w:p w14:paraId="7722216E">
      <w:pPr>
        <w:pStyle w:val="5"/>
        <w:jc w:val="center"/>
        <w:rPr>
          <w:rFonts w:hint="eastAsia"/>
          <w:sz w:val="36"/>
          <w:szCs w:val="36"/>
          <w:highlight w:val="none"/>
          <w:lang w:val="en-US" w:eastAsia="zh-Hans"/>
        </w:rPr>
      </w:pPr>
    </w:p>
    <w:p w14:paraId="758DE885">
      <w:pPr>
        <w:pStyle w:val="5"/>
        <w:jc w:val="center"/>
        <w:rPr>
          <w:rFonts w:hint="eastAsia"/>
          <w:sz w:val="36"/>
          <w:szCs w:val="36"/>
          <w:highlight w:val="none"/>
          <w:lang w:val="en-US" w:eastAsia="zh-Hans"/>
        </w:rPr>
      </w:pPr>
    </w:p>
    <w:p w14:paraId="551C351D">
      <w:pPr>
        <w:pStyle w:val="5"/>
        <w:jc w:val="center"/>
        <w:rPr>
          <w:rFonts w:hint="eastAsia"/>
          <w:sz w:val="36"/>
          <w:szCs w:val="36"/>
          <w:highlight w:val="none"/>
          <w:lang w:val="en-US" w:eastAsia="zh-Hans"/>
        </w:rPr>
      </w:pPr>
    </w:p>
    <w:p w14:paraId="66828940">
      <w:pPr>
        <w:pStyle w:val="5"/>
        <w:jc w:val="center"/>
        <w:rPr>
          <w:rFonts w:hint="eastAsia"/>
          <w:sz w:val="36"/>
          <w:szCs w:val="36"/>
          <w:highlight w:val="none"/>
          <w:lang w:val="en-US" w:eastAsia="zh-Hans"/>
        </w:rPr>
      </w:pPr>
      <w:r>
        <w:rPr>
          <w:rFonts w:hint="eastAsia"/>
          <w:sz w:val="36"/>
          <w:szCs w:val="36"/>
          <w:highlight w:val="none"/>
          <w:lang w:val="en-US" w:eastAsia="zh-Hans"/>
        </w:rPr>
        <w:t>二〇二六年  月</w:t>
      </w:r>
    </w:p>
    <w:p w14:paraId="2D1852DD">
      <w:pPr>
        <w:pStyle w:val="5"/>
        <w:rPr>
          <w:rFonts w:hint="eastAsia"/>
          <w:highlight w:val="none"/>
          <w:lang w:val="en-US" w:eastAsia="zh-Hans"/>
        </w:rPr>
      </w:pPr>
    </w:p>
    <w:p w14:paraId="72CD1E02">
      <w:pPr>
        <w:pStyle w:val="5"/>
        <w:rPr>
          <w:rFonts w:hint="eastAsia"/>
          <w:highlight w:val="none"/>
          <w:lang w:val="en-US" w:eastAsia="zh-Hans"/>
        </w:rPr>
      </w:pPr>
    </w:p>
    <w:p w14:paraId="1A075A4D">
      <w:pPr>
        <w:pStyle w:val="5"/>
        <w:rPr>
          <w:rFonts w:hint="eastAsia"/>
          <w:highlight w:val="none"/>
          <w:lang w:val="en-US" w:eastAsia="zh-Hans"/>
        </w:rPr>
      </w:pPr>
    </w:p>
    <w:p w14:paraId="73FE936E">
      <w:pPr>
        <w:pStyle w:val="5"/>
        <w:rPr>
          <w:rFonts w:hint="eastAsia"/>
          <w:highlight w:val="none"/>
          <w:lang w:val="en-US" w:eastAsia="zh-Hans"/>
        </w:rPr>
      </w:pPr>
    </w:p>
    <w:p w14:paraId="480FA6C4">
      <w:pPr>
        <w:pStyle w:val="5"/>
        <w:rPr>
          <w:rFonts w:hint="eastAsia"/>
          <w:highlight w:val="none"/>
          <w:lang w:val="en-US" w:eastAsia="zh-Hans"/>
        </w:rPr>
      </w:pPr>
    </w:p>
    <w:p w14:paraId="58F819C9">
      <w:pPr>
        <w:pStyle w:val="5"/>
        <w:rPr>
          <w:rFonts w:hint="eastAsia"/>
          <w:highlight w:val="none"/>
          <w:lang w:val="en-US" w:eastAsia="zh-Hans"/>
        </w:rPr>
      </w:pPr>
    </w:p>
    <w:p w14:paraId="5090238B">
      <w:pPr>
        <w:pStyle w:val="5"/>
        <w:rPr>
          <w:rFonts w:hint="eastAsia"/>
          <w:highlight w:val="none"/>
          <w:lang w:val="en-US" w:eastAsia="zh-Hans"/>
        </w:rPr>
      </w:pPr>
    </w:p>
    <w:p w14:paraId="4EE73F48">
      <w:pPr>
        <w:pStyle w:val="5"/>
        <w:rPr>
          <w:rFonts w:hint="eastAsia"/>
          <w:highlight w:val="none"/>
          <w:lang w:val="en-US" w:eastAsia="zh-Hans"/>
        </w:rPr>
      </w:pPr>
    </w:p>
    <w:p w14:paraId="645D0727">
      <w:pPr>
        <w:pStyle w:val="5"/>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1"/>
          <w:szCs w:val="21"/>
          <w:highlight w:val="none"/>
          <w:lang w:val="en-US" w:eastAsia="zh-Hans"/>
        </w:rPr>
      </w:pPr>
      <w:bookmarkStart w:id="0" w:name="_GoBack"/>
      <w:bookmarkEnd w:id="0"/>
      <w:r>
        <w:rPr>
          <w:rFonts w:hint="eastAsia"/>
          <w:sz w:val="21"/>
          <w:szCs w:val="21"/>
          <w:highlight w:val="none"/>
          <w:lang w:val="en-US" w:eastAsia="zh-Hans"/>
        </w:rPr>
        <w:t>采购人（甲方）：</w:t>
      </w:r>
    </w:p>
    <w:p w14:paraId="0631CB54">
      <w:pPr>
        <w:pStyle w:val="5"/>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1"/>
          <w:szCs w:val="21"/>
          <w:highlight w:val="none"/>
          <w:lang w:val="en-US" w:eastAsia="zh-Hans"/>
        </w:rPr>
      </w:pPr>
      <w:r>
        <w:rPr>
          <w:rFonts w:hint="eastAsia"/>
          <w:sz w:val="21"/>
          <w:szCs w:val="21"/>
          <w:highlight w:val="none"/>
          <w:lang w:val="en-US" w:eastAsia="zh-Hans"/>
        </w:rPr>
        <w:t>供应商（乙方）：</w:t>
      </w:r>
    </w:p>
    <w:p w14:paraId="21DB8C54">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根据《中华人民共和国政府采购法》及实施条例、《中华人民共和国民法典》和甲方鄠邑区耕地占补平衡B库指标核定入库项目、</w:t>
      </w:r>
      <w:r>
        <w:rPr>
          <w:rFonts w:hint="eastAsia"/>
          <w:sz w:val="21"/>
          <w:szCs w:val="21"/>
          <w:highlight w:val="none"/>
          <w:lang w:val="en-US" w:eastAsia="zh-CN"/>
        </w:rPr>
        <w:t>二</w:t>
      </w:r>
      <w:r>
        <w:rPr>
          <w:rFonts w:hint="eastAsia"/>
          <w:sz w:val="21"/>
          <w:szCs w:val="21"/>
          <w:highlight w:val="none"/>
          <w:lang w:val="en-US" w:eastAsia="zh-Hans"/>
        </w:rPr>
        <w:t>包（采购项目编号：</w:t>
      </w:r>
      <w:r>
        <w:rPr>
          <w:rFonts w:hint="eastAsia"/>
          <w:sz w:val="21"/>
          <w:szCs w:val="21"/>
          <w:highlight w:val="none"/>
          <w:lang w:val="en-US" w:eastAsia="zh-CN"/>
        </w:rPr>
        <w:t>GXZB2026-086Z</w:t>
      </w:r>
      <w:r>
        <w:rPr>
          <w:rFonts w:hint="eastAsia"/>
          <w:sz w:val="21"/>
          <w:szCs w:val="21"/>
          <w:highlight w:val="none"/>
          <w:lang w:val="en-US" w:eastAsia="zh-Hans"/>
        </w:rPr>
        <w:t>）的磋商文件、磋商响应文件等有关规定，为确保甲方采购项目的顺利实施，甲、乙双方在平等自愿原则下签订本合同，并共同遵守如下条款：</w:t>
      </w:r>
    </w:p>
    <w:p w14:paraId="6D8B7402">
      <w:pPr>
        <w:pStyle w:val="5"/>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b/>
          <w:bCs/>
          <w:sz w:val="21"/>
          <w:szCs w:val="21"/>
          <w:highlight w:val="none"/>
          <w:lang w:val="en-US" w:eastAsia="zh-Hans"/>
        </w:rPr>
      </w:pPr>
      <w:r>
        <w:rPr>
          <w:rFonts w:hint="eastAsia"/>
          <w:b/>
          <w:bCs/>
          <w:sz w:val="21"/>
          <w:szCs w:val="21"/>
          <w:highlight w:val="none"/>
          <w:lang w:val="en-US" w:eastAsia="zh-Hans"/>
        </w:rPr>
        <w:t xml:space="preserve">第一条 项目基本情况 </w:t>
      </w:r>
    </w:p>
    <w:p w14:paraId="538A4890">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为推进鄠周眉高速，西户路，西户铁路等重大项目的安置用地报批，破解当前非农建设用地占补平衡指标紧缺难题，根据陕西省自然资源厅2025年12月18日会议纪要精神及市资源规划局最新工作要求，鄠邑区启动耕地占补平衡B库指标核定入库工作。本次项目核定1000亩。</w:t>
      </w:r>
    </w:p>
    <w:p w14:paraId="5CC6C475">
      <w:pPr>
        <w:pStyle w:val="5"/>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b/>
          <w:bCs/>
          <w:sz w:val="21"/>
          <w:szCs w:val="21"/>
          <w:highlight w:val="none"/>
          <w:lang w:val="en-US" w:eastAsia="zh-Hans"/>
        </w:rPr>
      </w:pPr>
      <w:r>
        <w:rPr>
          <w:rFonts w:hint="eastAsia"/>
          <w:b/>
          <w:bCs/>
          <w:sz w:val="21"/>
          <w:szCs w:val="21"/>
          <w:highlight w:val="none"/>
          <w:lang w:val="en-US" w:eastAsia="zh-Hans"/>
        </w:rPr>
        <w:t>第二条 合同期限</w:t>
      </w:r>
    </w:p>
    <w:p w14:paraId="337F3D1D">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 xml:space="preserve">  </w:t>
      </w:r>
      <w:r>
        <w:rPr>
          <w:rFonts w:hint="eastAsia"/>
          <w:sz w:val="21"/>
          <w:szCs w:val="21"/>
          <w:highlight w:val="none"/>
          <w:lang w:val="en-US" w:eastAsia="zh-CN"/>
        </w:rPr>
        <w:t>自合同签订之日起120天内完成。</w:t>
      </w:r>
    </w:p>
    <w:p w14:paraId="70E105B2">
      <w:pPr>
        <w:pStyle w:val="5"/>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b/>
          <w:bCs/>
          <w:sz w:val="21"/>
          <w:szCs w:val="21"/>
          <w:highlight w:val="none"/>
          <w:lang w:val="en-US" w:eastAsia="zh-Hans"/>
        </w:rPr>
      </w:pPr>
      <w:r>
        <w:rPr>
          <w:rFonts w:hint="eastAsia"/>
          <w:b/>
          <w:bCs/>
          <w:sz w:val="21"/>
          <w:szCs w:val="21"/>
          <w:highlight w:val="none"/>
          <w:lang w:val="en-US" w:eastAsia="zh-Hans"/>
        </w:rPr>
        <w:t>第三条  服务内容与质量标准</w:t>
      </w:r>
    </w:p>
    <w:p w14:paraId="54003092">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（一）服务内容：</w:t>
      </w:r>
    </w:p>
    <w:p w14:paraId="3576EF2A">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1、资料收集与内业处理</w:t>
      </w:r>
    </w:p>
    <w:p w14:paraId="7D7C27EB">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包括主要包括补充耕地质量鉴定申请表、补充耕地地块位置和图斑等矢量数据、田面平整信息，需明确标注地块位置(四至坐标)、面积、地形坡度、地类变更前的土地具体用途信息(如采矿用地、农村宅基地、坑塘水面、未利用地、园地、林地、草地等)，并附地类变更前、后影像资料。有客土、物料填埋行为的，还应包括客土、填埋物料来源说明、填埋深度信息及具备CMA资质的检验检测机构出具的环境检测报告等资料。以项目方式实施的补充耕地，还应包括立项批复、项目竣工图、竣工报告、前置培肥实施方案、资金安排及实施影像等资料。以非项目方式产生的补充耕地，还应包括数量核定通过意见。</w:t>
      </w:r>
    </w:p>
    <w:p w14:paraId="3652A0FD">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2、现场踏勘与样品采集</w:t>
      </w:r>
    </w:p>
    <w:p w14:paraId="0FA09E1E">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组织开展农业生产符合性评价和耕地质量等级评价所需的现场踏勘及土壤样品采集。现场踏勘包括有效土层厚度、地形坡度、田面平整程度、土壤侵入体及砾石含量、水资源保障条件、道路通行条件、地块集中度、土壤污染状况、地形部位、质地构型、排水能力、海拔高度、农田防护与生态环境保护水平、耕层厚度等，核查图、文、表、照片资料，填写实地踏勘表;土壤样品采集包括表层土壤混合样品和表层土壤容重样品，填写土壤样品采集记录表。</w:t>
      </w:r>
    </w:p>
    <w:p w14:paraId="2557F729">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3、土壤样品检验检测</w:t>
      </w:r>
    </w:p>
    <w:p w14:paraId="395855EF">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将采集的样品送至具备CMA资质的检验检测机构，检验检测机构应当对送检样品出具检测报告。</w:t>
      </w:r>
    </w:p>
    <w:p w14:paraId="1FBEE32E">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4、农业生产符合性评价并编制报告</w:t>
      </w:r>
    </w:p>
    <w:p w14:paraId="7190B148">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依据现场踏勘结果和土壤样品检测结果开展农业生产符合性评价。评价指标包括有效土层厚度、土壤有机质含量、地形坡度、田面平整程度、土壤侵入体及砾石含量、水资源保障条件、道路通行条件、土壤酸碱度、土壤水溶性盐总量(选测)、地块集中度、土壤污染状况等影响农业生产基本条件的指标。</w:t>
      </w:r>
    </w:p>
    <w:p w14:paraId="7CECC678">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5、耕地质量等级评价并编制报告</w:t>
      </w:r>
    </w:p>
    <w:p w14:paraId="6421F625">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农业生产符合性评价合格的，按照《耕地质量等级》(GB/T33469)确定评价指标、划分耕地质量等级。耕地质量从高到低划分为十个等级，一等地耕地质量最高，十等地耕地质量最低，并编制耕地质量等级评价报告。</w:t>
      </w:r>
    </w:p>
    <w:p w14:paraId="0DD4AAE7">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6、配合完成县级、市级、省级鉴定验收</w:t>
      </w:r>
    </w:p>
    <w:p w14:paraId="600B5C9D">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配合完成县级初鉴、市级鉴定、省级抽核验收工作。</w:t>
      </w:r>
    </w:p>
    <w:p w14:paraId="74D5E274">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7、资料整理</w:t>
      </w:r>
    </w:p>
    <w:p w14:paraId="5F410E03">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全部验收合格地块整理验收记录表、检测报告、核查影像、图件成果、矢量数据、验收总报告等资料。</w:t>
      </w:r>
    </w:p>
    <w:p w14:paraId="679D652F">
      <w:pPr>
        <w:pStyle w:val="5"/>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b/>
          <w:bCs/>
          <w:sz w:val="21"/>
          <w:szCs w:val="21"/>
          <w:highlight w:val="none"/>
          <w:lang w:val="en-US" w:eastAsia="zh-Hans"/>
        </w:rPr>
      </w:pPr>
      <w:r>
        <w:rPr>
          <w:rFonts w:hint="eastAsia"/>
          <w:b/>
          <w:bCs/>
          <w:sz w:val="21"/>
          <w:szCs w:val="21"/>
          <w:highlight w:val="none"/>
          <w:lang w:val="en-US" w:eastAsia="zh-Hans"/>
        </w:rPr>
        <w:t>第四条  服务费用</w:t>
      </w:r>
    </w:p>
    <w:p w14:paraId="18504D9D">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1．服务总费用为人民币（大写）：</w:t>
      </w:r>
      <w:r>
        <w:rPr>
          <w:rFonts w:hint="eastAsia"/>
          <w:sz w:val="21"/>
          <w:szCs w:val="21"/>
          <w:highlight w:val="none"/>
          <w:u w:val="single"/>
          <w:lang w:val="en-US" w:eastAsia="zh-Hans"/>
        </w:rPr>
        <w:t xml:space="preserve">             </w:t>
      </w:r>
      <w:r>
        <w:rPr>
          <w:rFonts w:hint="eastAsia"/>
          <w:sz w:val="21"/>
          <w:szCs w:val="21"/>
          <w:highlight w:val="none"/>
          <w:lang w:val="en-US" w:eastAsia="zh-Hans"/>
        </w:rPr>
        <w:t>元，</w:t>
      </w:r>
      <w:r>
        <w:rPr>
          <w:rFonts w:hint="eastAsia"/>
          <w:sz w:val="21"/>
          <w:szCs w:val="21"/>
          <w:highlight w:val="none"/>
          <w:u w:val="single"/>
          <w:lang w:val="en-US" w:eastAsia="zh-Hans"/>
        </w:rPr>
        <w:t xml:space="preserve"> ￥           </w:t>
      </w:r>
      <w:r>
        <w:rPr>
          <w:rFonts w:hint="eastAsia"/>
          <w:sz w:val="21"/>
          <w:szCs w:val="21"/>
          <w:highlight w:val="none"/>
          <w:lang w:val="en-US" w:eastAsia="zh-Hans"/>
        </w:rPr>
        <w:t>。</w:t>
      </w:r>
    </w:p>
    <w:p w14:paraId="47AF3C2C">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2．本合同执行期间服务总费用不变，甲方无须另向乙方支付本合同规定之外的其他任何费用。</w:t>
      </w:r>
    </w:p>
    <w:p w14:paraId="60A5A93F">
      <w:pPr>
        <w:pStyle w:val="5"/>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b/>
          <w:bCs/>
          <w:sz w:val="21"/>
          <w:szCs w:val="21"/>
          <w:highlight w:val="none"/>
          <w:lang w:val="en-US" w:eastAsia="zh-Hans"/>
        </w:rPr>
      </w:pPr>
      <w:r>
        <w:rPr>
          <w:rFonts w:hint="eastAsia"/>
          <w:b/>
          <w:bCs/>
          <w:sz w:val="21"/>
          <w:szCs w:val="21"/>
          <w:highlight w:val="none"/>
          <w:lang w:val="en-US" w:eastAsia="zh-Hans"/>
        </w:rPr>
        <w:t>第五条  服务费支付方式</w:t>
      </w:r>
    </w:p>
    <w:p w14:paraId="6E6C5BB3">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1．付款比例：</w:t>
      </w:r>
    </w:p>
    <w:p w14:paraId="312922AF">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合同签订后10个工作日内，支付合同总金额的30%；完成农业生产符合性评价报告、耕地质量等级评价报告后10个工作日内，支付合同总金额的50%；配合完成县级、市级、省级鉴定验收合格后10个工作日内，支付合同总金额的20%。</w:t>
      </w:r>
    </w:p>
    <w:p w14:paraId="45847F8D">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2．结算方式：银行转账。</w:t>
      </w:r>
    </w:p>
    <w:p w14:paraId="7E6DAD04">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3．结算单位：由甲方负责结算，乙方开具合同总价数的全额发票交甲方。</w:t>
      </w:r>
    </w:p>
    <w:p w14:paraId="081A79E3">
      <w:pPr>
        <w:pStyle w:val="5"/>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b/>
          <w:bCs/>
          <w:sz w:val="21"/>
          <w:szCs w:val="21"/>
          <w:highlight w:val="none"/>
          <w:lang w:val="en-US" w:eastAsia="zh-Hans"/>
        </w:rPr>
      </w:pPr>
      <w:r>
        <w:rPr>
          <w:rFonts w:hint="eastAsia"/>
          <w:b/>
          <w:bCs/>
          <w:sz w:val="21"/>
          <w:szCs w:val="21"/>
          <w:highlight w:val="none"/>
          <w:lang w:val="en-US" w:eastAsia="zh-Hans"/>
        </w:rPr>
        <w:t>第六条  成果交付要求</w:t>
      </w:r>
    </w:p>
    <w:p w14:paraId="2B81CB28">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1</w:t>
      </w:r>
      <w:r>
        <w:rPr>
          <w:rFonts w:hint="eastAsia"/>
          <w:sz w:val="21"/>
          <w:szCs w:val="21"/>
          <w:highlight w:val="none"/>
          <w:lang w:val="en-US" w:eastAsia="zh-CN"/>
        </w:rPr>
        <w:t>.</w:t>
      </w:r>
      <w:r>
        <w:rPr>
          <w:rFonts w:hint="eastAsia"/>
          <w:sz w:val="21"/>
          <w:szCs w:val="21"/>
          <w:highlight w:val="none"/>
          <w:lang w:val="en-US" w:eastAsia="zh-Hans"/>
        </w:rPr>
        <w:t>纸质成果：验收工作总报告、验收记录表、验收意见书、CMA土壤检测报告、农业生产符合性评价报告、耕地质量等级评价报告、各类统计表各纸质版3份；</w:t>
      </w:r>
    </w:p>
    <w:p w14:paraId="0873E83F">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2</w:t>
      </w:r>
      <w:r>
        <w:rPr>
          <w:rFonts w:hint="eastAsia"/>
          <w:sz w:val="21"/>
          <w:szCs w:val="21"/>
          <w:highlight w:val="none"/>
          <w:lang w:val="en-US" w:eastAsia="zh-CN"/>
        </w:rPr>
        <w:t>.</w:t>
      </w:r>
      <w:r>
        <w:rPr>
          <w:rFonts w:hint="eastAsia"/>
          <w:sz w:val="21"/>
          <w:szCs w:val="21"/>
          <w:highlight w:val="none"/>
          <w:lang w:val="en-US" w:eastAsia="zh-Hans"/>
        </w:rPr>
        <w:t>电子成果：矢量数据、表格、报告全套电子版1 套（U 盘）。</w:t>
      </w:r>
    </w:p>
    <w:p w14:paraId="0EB30EBA">
      <w:pPr>
        <w:pStyle w:val="5"/>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b/>
          <w:bCs/>
          <w:sz w:val="21"/>
          <w:szCs w:val="21"/>
          <w:highlight w:val="none"/>
          <w:lang w:val="en-US" w:eastAsia="zh-Hans"/>
        </w:rPr>
      </w:pPr>
      <w:r>
        <w:rPr>
          <w:rFonts w:hint="eastAsia"/>
          <w:b/>
          <w:bCs/>
          <w:sz w:val="21"/>
          <w:szCs w:val="21"/>
          <w:highlight w:val="none"/>
          <w:lang w:val="en-US" w:eastAsia="zh-Hans"/>
        </w:rPr>
        <w:t>第七条  知识产权归属</w:t>
      </w:r>
    </w:p>
    <w:p w14:paraId="19883198">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1.本项目产生的所有成果资料（包括但不限于图件、表格、数据库、文字报告等）的知识产权（含著作权）归甲方所有。供应商不得将上述成果用于本项目之外的任何用途。</w:t>
      </w:r>
    </w:p>
    <w:p w14:paraId="08F50DB2">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2.乙方应保证所提供的服务或其任何一部分均不会侵犯任何第三方的专利权、商标权或著作权。</w:t>
      </w:r>
    </w:p>
    <w:p w14:paraId="42361C6C">
      <w:pPr>
        <w:pStyle w:val="5"/>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b/>
          <w:bCs/>
          <w:sz w:val="21"/>
          <w:szCs w:val="21"/>
          <w:highlight w:val="none"/>
          <w:lang w:val="en-US" w:eastAsia="zh-Hans"/>
        </w:rPr>
      </w:pPr>
      <w:r>
        <w:rPr>
          <w:rFonts w:hint="eastAsia"/>
          <w:b/>
          <w:bCs/>
          <w:sz w:val="21"/>
          <w:szCs w:val="21"/>
          <w:highlight w:val="none"/>
          <w:lang w:val="en-US" w:eastAsia="zh-Hans"/>
        </w:rPr>
        <w:t>第八条  无产权瑕疵条款</w:t>
      </w:r>
    </w:p>
    <w:p w14:paraId="1B32B173">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乙方保证所提供的服务的所有权完全属于乙方且无任何抵押、查封等产权瑕疵。如有产权瑕疵的，视为乙方违约。乙方应负担由此而产生的一切损失。</w:t>
      </w:r>
    </w:p>
    <w:p w14:paraId="622C9771">
      <w:pPr>
        <w:pStyle w:val="5"/>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b/>
          <w:bCs/>
          <w:sz w:val="21"/>
          <w:szCs w:val="21"/>
          <w:highlight w:val="none"/>
          <w:lang w:val="en-US" w:eastAsia="zh-Hans"/>
        </w:rPr>
      </w:pPr>
      <w:r>
        <w:rPr>
          <w:rFonts w:hint="eastAsia"/>
          <w:b/>
          <w:bCs/>
          <w:sz w:val="21"/>
          <w:szCs w:val="21"/>
          <w:highlight w:val="none"/>
          <w:lang w:val="en-US" w:eastAsia="zh-Hans"/>
        </w:rPr>
        <w:t>第九条  验收</w:t>
      </w:r>
    </w:p>
    <w:p w14:paraId="2A490AF5">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1．质量验收标准或规范：成果质量合格，符合省、市级审查要求。</w:t>
      </w:r>
    </w:p>
    <w:p w14:paraId="228D5912">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2.甲方确认收到所有工作成果后，乙方向甲方提出验收申请，甲方接到乙方验收申请后组织验收（必要时可聘请相应专家或委托相应部门验收）。</w:t>
      </w:r>
    </w:p>
    <w:p w14:paraId="1BBDDD90">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3．最终验收：最终验收结果作为付款依据，乙方填写验收单，并向甲方提交实施过程中的所有资料，以便甲方日后管理。</w:t>
      </w:r>
    </w:p>
    <w:p w14:paraId="498BD9C5">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4．验收依据：</w:t>
      </w:r>
    </w:p>
    <w:p w14:paraId="1CBEDDBF">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4-1．合同文本、合同附件、磋商文件、响应文件。</w:t>
      </w:r>
    </w:p>
    <w:p w14:paraId="6021E9EE">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4-2．国内相应的标准、规范。</w:t>
      </w:r>
    </w:p>
    <w:p w14:paraId="286A75CD">
      <w:pPr>
        <w:pStyle w:val="5"/>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b/>
          <w:bCs/>
          <w:sz w:val="21"/>
          <w:szCs w:val="21"/>
          <w:highlight w:val="none"/>
          <w:lang w:val="en-US" w:eastAsia="zh-Hans"/>
        </w:rPr>
      </w:pPr>
      <w:r>
        <w:rPr>
          <w:rFonts w:hint="eastAsia"/>
          <w:b/>
          <w:bCs/>
          <w:sz w:val="21"/>
          <w:szCs w:val="21"/>
          <w:highlight w:val="none"/>
          <w:lang w:val="en-US" w:eastAsia="zh-Hans"/>
        </w:rPr>
        <w:t>第十条  甲方的权利和义务</w:t>
      </w:r>
    </w:p>
    <w:p w14:paraId="60CA15DE">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1．甲方有权对合同规定范围内乙方的服务行为进行监督和检查，拥有监管权。有权定期核对乙方提供服务所配备的人员数量。对甲方认为不合理的部分有权下达整改通知书，并要求乙方限期整改。</w:t>
      </w:r>
    </w:p>
    <w:p w14:paraId="1C9B8504">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2．负责检查监督乙方管理工作的实施及制度的执行情况。</w:t>
      </w:r>
    </w:p>
    <w:p w14:paraId="28942E45">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3．根据本合同规定，按时向乙方支付应付服务费用。</w:t>
      </w:r>
    </w:p>
    <w:p w14:paraId="1FA2F783">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4．国家法律、法规所规定由甲方承担的其它责任。</w:t>
      </w:r>
    </w:p>
    <w:p w14:paraId="60005B42">
      <w:pPr>
        <w:pStyle w:val="5"/>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b/>
          <w:bCs/>
          <w:sz w:val="21"/>
          <w:szCs w:val="21"/>
          <w:highlight w:val="none"/>
          <w:lang w:val="en-US" w:eastAsia="zh-Hans"/>
        </w:rPr>
      </w:pPr>
      <w:r>
        <w:rPr>
          <w:rFonts w:hint="eastAsia"/>
          <w:b/>
          <w:bCs/>
          <w:sz w:val="21"/>
          <w:szCs w:val="21"/>
          <w:highlight w:val="none"/>
          <w:lang w:val="en-US" w:eastAsia="zh-Hans"/>
        </w:rPr>
        <w:t>第十一条  乙方的权利和义务</w:t>
      </w:r>
    </w:p>
    <w:p w14:paraId="33B4857A">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1．对本合同规定的委托服务范围内的项目享有管理权及服务义务。</w:t>
      </w:r>
    </w:p>
    <w:p w14:paraId="1C9A4A02">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2．根据本合同的规定向甲方收取相关服务费用，并有权在本项目管理范围内管理及合理使用。</w:t>
      </w:r>
    </w:p>
    <w:p w14:paraId="5461162F">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3．及时向甲方通告本项目服务范围内有关服务的重大事项，及时配合处理投诉。</w:t>
      </w:r>
    </w:p>
    <w:p w14:paraId="1B3AF198">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4．接受项目行业管理部门及政府有关部门的指导，接受甲方的监督。</w:t>
      </w:r>
    </w:p>
    <w:p w14:paraId="71F90BFA">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5．国家法律、法规所规定由乙方承担的其它责任。</w:t>
      </w:r>
    </w:p>
    <w:p w14:paraId="73335FD1">
      <w:pPr>
        <w:pStyle w:val="5"/>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b/>
          <w:bCs/>
          <w:sz w:val="21"/>
          <w:szCs w:val="21"/>
          <w:highlight w:val="none"/>
          <w:lang w:val="en-US" w:eastAsia="zh-Hans"/>
        </w:rPr>
      </w:pPr>
      <w:r>
        <w:rPr>
          <w:rFonts w:hint="eastAsia"/>
          <w:b/>
          <w:bCs/>
          <w:sz w:val="21"/>
          <w:szCs w:val="21"/>
          <w:highlight w:val="none"/>
          <w:lang w:val="en-US" w:eastAsia="zh-Hans"/>
        </w:rPr>
        <w:t>第十二条  违约责任</w:t>
      </w:r>
    </w:p>
    <w:p w14:paraId="455C6BEA">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1.乙方逾期交付成果的，每逾期一日，按合同总价的0.05%向甲方支付违约金，累计违约金不超过合同总价的10%。</w:t>
      </w:r>
    </w:p>
    <w:p w14:paraId="1A2A2729">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2.规划成果连续两次专家评审未通过的，甲方有权解除合同，乙方应退还已收取的全部款项。</w:t>
      </w:r>
    </w:p>
    <w:p w14:paraId="100EB8C4">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3.甲方逾期付款的，每逾期一日，按应付未付款项的0.05%向乙方支付违约金。</w:t>
      </w:r>
    </w:p>
    <w:p w14:paraId="08523077">
      <w:pPr>
        <w:pStyle w:val="5"/>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b/>
          <w:bCs/>
          <w:sz w:val="21"/>
          <w:szCs w:val="21"/>
          <w:highlight w:val="none"/>
          <w:lang w:val="en-US" w:eastAsia="zh-Hans"/>
        </w:rPr>
      </w:pPr>
      <w:r>
        <w:rPr>
          <w:rFonts w:hint="eastAsia"/>
          <w:b/>
          <w:bCs/>
          <w:sz w:val="21"/>
          <w:szCs w:val="21"/>
          <w:highlight w:val="none"/>
          <w:lang w:val="en-US" w:eastAsia="zh-Hans"/>
        </w:rPr>
        <w:t>第十三条  不可抗力事件处理</w:t>
      </w:r>
    </w:p>
    <w:p w14:paraId="6BE804CA">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1．在合同有效期内，任何一方因不可抗力事件导致不能履行合同，则合同履行期可延长，其延长期与不可抗力影响期相同。</w:t>
      </w:r>
    </w:p>
    <w:p w14:paraId="07EDDCE2">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2．不可抗力事件发生后，应立即通知对方，并寄送有关权威机构出具的证明。</w:t>
      </w:r>
    </w:p>
    <w:p w14:paraId="1F5C104F">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3．不可抗力事件延续60天以上，双方应通过友好协商，确定是否继续履行合同。</w:t>
      </w:r>
    </w:p>
    <w:p w14:paraId="1CD8B90B">
      <w:pPr>
        <w:pStyle w:val="5"/>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b/>
          <w:bCs/>
          <w:sz w:val="21"/>
          <w:szCs w:val="21"/>
          <w:highlight w:val="none"/>
          <w:lang w:val="en-US" w:eastAsia="zh-Hans"/>
        </w:rPr>
      </w:pPr>
      <w:r>
        <w:rPr>
          <w:rFonts w:hint="eastAsia"/>
          <w:b/>
          <w:bCs/>
          <w:sz w:val="21"/>
          <w:szCs w:val="21"/>
          <w:highlight w:val="none"/>
          <w:lang w:val="en-US" w:eastAsia="zh-Hans"/>
        </w:rPr>
        <w:t>第十四条  合同的变更和终止</w:t>
      </w:r>
    </w:p>
    <w:p w14:paraId="4B25F80F">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除《中华人民共和国政府采购法》第49条、第50条第二款规定的情形外，本合同一经签订，甲乙双方不得擅自变更、中止或终止合同。</w:t>
      </w:r>
    </w:p>
    <w:p w14:paraId="2ED77FD7">
      <w:pPr>
        <w:pStyle w:val="5"/>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b/>
          <w:bCs/>
          <w:sz w:val="21"/>
          <w:szCs w:val="21"/>
          <w:highlight w:val="none"/>
          <w:lang w:val="en-US" w:eastAsia="zh-Hans"/>
        </w:rPr>
      </w:pPr>
      <w:r>
        <w:rPr>
          <w:rFonts w:hint="eastAsia"/>
          <w:b/>
          <w:bCs/>
          <w:sz w:val="21"/>
          <w:szCs w:val="21"/>
          <w:highlight w:val="none"/>
          <w:lang w:val="en-US" w:eastAsia="zh-Hans"/>
        </w:rPr>
        <w:t>第十五条  解决合同纠纷的方式</w:t>
      </w:r>
    </w:p>
    <w:p w14:paraId="7261DEE4">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在执行本合同中发生的或与本合同有关的争端，双方应通过友好协商解决，经协商在30天内不能达成协议时，向甲方所在地有管辖权的人民法院提起诉讼。</w:t>
      </w:r>
    </w:p>
    <w:p w14:paraId="7AD0B963">
      <w:pPr>
        <w:pStyle w:val="5"/>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b/>
          <w:bCs/>
          <w:sz w:val="21"/>
          <w:szCs w:val="21"/>
          <w:highlight w:val="none"/>
          <w:lang w:val="en-US" w:eastAsia="zh-Hans"/>
        </w:rPr>
      </w:pPr>
      <w:r>
        <w:rPr>
          <w:rFonts w:hint="eastAsia"/>
          <w:b/>
          <w:bCs/>
          <w:sz w:val="21"/>
          <w:szCs w:val="21"/>
          <w:highlight w:val="none"/>
          <w:lang w:val="en-US" w:eastAsia="zh-Hans"/>
        </w:rPr>
        <w:t>第十六条  合同生效及其他</w:t>
      </w:r>
    </w:p>
    <w:p w14:paraId="75ADB335">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1．合同经双方法定代表人或委托代理人签名并加盖单位章后生效。</w:t>
      </w:r>
    </w:p>
    <w:p w14:paraId="7699B555">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2．合同执行中涉及采购资金和采购内容修改或补充的，须经政府采购监管部门审批，并</w:t>
      </w:r>
      <w:r>
        <w:rPr>
          <w:rFonts w:hint="eastAsia"/>
          <w:sz w:val="21"/>
          <w:szCs w:val="21"/>
          <w:highlight w:val="none"/>
          <w:lang w:val="en-US" w:eastAsia="zh-CN"/>
        </w:rPr>
        <w:t>签订</w:t>
      </w:r>
      <w:r>
        <w:rPr>
          <w:rFonts w:hint="eastAsia"/>
          <w:sz w:val="21"/>
          <w:szCs w:val="21"/>
          <w:highlight w:val="none"/>
          <w:lang w:val="en-US" w:eastAsia="zh-Hans"/>
        </w:rPr>
        <w:t>书面补充协议报政府采购监督管理部门备案，方可作为主合同不可分割的一部分。</w:t>
      </w:r>
    </w:p>
    <w:p w14:paraId="0F40DA74">
      <w:pPr>
        <w:pStyle w:val="5"/>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b/>
          <w:bCs/>
          <w:sz w:val="21"/>
          <w:szCs w:val="21"/>
          <w:highlight w:val="none"/>
          <w:lang w:val="en-US" w:eastAsia="zh-Hans"/>
        </w:rPr>
      </w:pPr>
      <w:r>
        <w:rPr>
          <w:rFonts w:hint="eastAsia"/>
          <w:b/>
          <w:bCs/>
          <w:sz w:val="21"/>
          <w:szCs w:val="21"/>
          <w:highlight w:val="none"/>
          <w:lang w:val="en-US" w:eastAsia="zh-Hans"/>
        </w:rPr>
        <w:t>第十七条  附件</w:t>
      </w:r>
    </w:p>
    <w:p w14:paraId="5C204E67">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1．项目磋商文件</w:t>
      </w:r>
    </w:p>
    <w:p w14:paraId="7473B628">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2．项目修改澄清文件</w:t>
      </w:r>
    </w:p>
    <w:p w14:paraId="47257102">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3．项目响应文件</w:t>
      </w:r>
    </w:p>
    <w:p w14:paraId="17882B6B">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4．成交通知书</w:t>
      </w:r>
    </w:p>
    <w:p w14:paraId="468B998E">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5．其他</w:t>
      </w:r>
    </w:p>
    <w:p w14:paraId="06A30DC7">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 xml:space="preserve">本合同未尽事宜，双方可另行协商签订补充合同，补充合同与本合同具有同等效力。 </w:t>
      </w:r>
    </w:p>
    <w:p w14:paraId="7FA444EF">
      <w:pPr>
        <w:pStyle w:val="5"/>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sz w:val="21"/>
          <w:szCs w:val="21"/>
          <w:highlight w:val="none"/>
          <w:lang w:val="en-US" w:eastAsia="zh-Hans"/>
        </w:rPr>
      </w:pPr>
      <w:r>
        <w:rPr>
          <w:rFonts w:hint="eastAsia"/>
          <w:sz w:val="21"/>
          <w:szCs w:val="21"/>
          <w:highlight w:val="none"/>
          <w:lang w:val="en-US" w:eastAsia="zh-Hans"/>
        </w:rPr>
        <w:t>本合同一式</w:t>
      </w:r>
      <w:r>
        <w:rPr>
          <w:rFonts w:hint="eastAsia"/>
          <w:sz w:val="21"/>
          <w:szCs w:val="21"/>
          <w:highlight w:val="none"/>
          <w:u w:val="single"/>
          <w:lang w:val="en-US" w:eastAsia="zh-Hans"/>
        </w:rPr>
        <w:t xml:space="preserve"> 肆 </w:t>
      </w:r>
      <w:r>
        <w:rPr>
          <w:rFonts w:hint="eastAsia"/>
          <w:sz w:val="21"/>
          <w:szCs w:val="21"/>
          <w:highlight w:val="none"/>
          <w:lang w:val="en-US" w:eastAsia="zh-Hans"/>
        </w:rPr>
        <w:t>份，甲方执</w:t>
      </w:r>
      <w:r>
        <w:rPr>
          <w:rFonts w:hint="eastAsia"/>
          <w:sz w:val="21"/>
          <w:szCs w:val="21"/>
          <w:highlight w:val="none"/>
          <w:u w:val="single"/>
          <w:lang w:val="en-US" w:eastAsia="zh-Hans"/>
        </w:rPr>
        <w:t xml:space="preserve"> 贰 </w:t>
      </w:r>
      <w:r>
        <w:rPr>
          <w:rFonts w:hint="eastAsia"/>
          <w:sz w:val="21"/>
          <w:szCs w:val="21"/>
          <w:highlight w:val="none"/>
          <w:lang w:val="en-US" w:eastAsia="zh-Hans"/>
        </w:rPr>
        <w:t>份、乙方执</w:t>
      </w:r>
      <w:r>
        <w:rPr>
          <w:rFonts w:hint="eastAsia"/>
          <w:sz w:val="21"/>
          <w:szCs w:val="21"/>
          <w:highlight w:val="none"/>
          <w:u w:val="single"/>
          <w:lang w:val="en-US" w:eastAsia="zh-Hans"/>
        </w:rPr>
        <w:t xml:space="preserve"> 贰 </w:t>
      </w:r>
      <w:r>
        <w:rPr>
          <w:rFonts w:hint="eastAsia"/>
          <w:sz w:val="21"/>
          <w:szCs w:val="21"/>
          <w:highlight w:val="none"/>
          <w:lang w:val="en-US" w:eastAsia="zh-Hans"/>
        </w:rPr>
        <w:t xml:space="preserve">份。 </w:t>
      </w:r>
    </w:p>
    <w:p w14:paraId="2CC2463E">
      <w:pPr>
        <w:pStyle w:val="5"/>
        <w:rPr>
          <w:rFonts w:hint="eastAsia"/>
          <w:sz w:val="21"/>
          <w:szCs w:val="21"/>
          <w:highlight w:val="none"/>
          <w:lang w:val="en-US" w:eastAsia="zh-Hans"/>
        </w:rPr>
      </w:pPr>
    </w:p>
    <w:p w14:paraId="18D92D85">
      <w:pPr>
        <w:pStyle w:val="5"/>
        <w:rPr>
          <w:rFonts w:hint="eastAsia"/>
          <w:sz w:val="21"/>
          <w:szCs w:val="21"/>
          <w:highlight w:val="none"/>
          <w:lang w:val="en-US" w:eastAsia="zh-Hans"/>
        </w:rPr>
      </w:pPr>
    </w:p>
    <w:p w14:paraId="7D9C24AE">
      <w:pPr>
        <w:pStyle w:val="5"/>
        <w:rPr>
          <w:rFonts w:hint="eastAsia"/>
          <w:sz w:val="21"/>
          <w:szCs w:val="21"/>
          <w:highlight w:val="none"/>
          <w:lang w:val="en-US" w:eastAsia="zh-Hans"/>
        </w:rPr>
      </w:pPr>
    </w:p>
    <w:p w14:paraId="1C465095">
      <w:pPr>
        <w:pStyle w:val="5"/>
        <w:rPr>
          <w:rFonts w:hint="eastAsia"/>
          <w:sz w:val="21"/>
          <w:szCs w:val="21"/>
          <w:highlight w:val="none"/>
          <w:lang w:val="en-US" w:eastAsia="zh-Hans"/>
        </w:rPr>
      </w:pPr>
    </w:p>
    <w:p w14:paraId="43E9927E">
      <w:pPr>
        <w:pStyle w:val="5"/>
        <w:rPr>
          <w:rFonts w:hint="eastAsia"/>
          <w:sz w:val="21"/>
          <w:szCs w:val="21"/>
          <w:highlight w:val="none"/>
          <w:lang w:val="en-US" w:eastAsia="zh-Hans"/>
        </w:rPr>
      </w:pPr>
    </w:p>
    <w:p w14:paraId="5BE5F88A">
      <w:pPr>
        <w:pStyle w:val="5"/>
        <w:rPr>
          <w:rFonts w:hint="eastAsia"/>
          <w:sz w:val="21"/>
          <w:szCs w:val="21"/>
          <w:highlight w:val="none"/>
          <w:lang w:val="en-US" w:eastAsia="zh-Hans"/>
        </w:rPr>
      </w:pPr>
      <w:r>
        <w:rPr>
          <w:rFonts w:hint="eastAsia"/>
          <w:sz w:val="21"/>
          <w:szCs w:val="21"/>
          <w:highlight w:val="none"/>
          <w:lang w:val="en-US" w:eastAsia="zh-Hans"/>
        </w:rPr>
        <w:t>以下无正文</w:t>
      </w:r>
    </w:p>
    <w:p w14:paraId="0EED9081">
      <w:pPr>
        <w:pStyle w:val="5"/>
        <w:rPr>
          <w:rFonts w:hint="eastAsia"/>
          <w:sz w:val="21"/>
          <w:szCs w:val="21"/>
          <w:highlight w:val="none"/>
          <w:lang w:val="en-US" w:eastAsia="zh-Hans"/>
        </w:rPr>
      </w:pPr>
    </w:p>
    <w:p w14:paraId="02942369">
      <w:pPr>
        <w:pStyle w:val="5"/>
        <w:keepNext w:val="0"/>
        <w:keepLines w:val="0"/>
        <w:pageBreakBefore w:val="0"/>
        <w:widowControl/>
        <w:kinsoku/>
        <w:wordWrap/>
        <w:overflowPunct/>
        <w:topLinePunct w:val="0"/>
        <w:autoSpaceDE/>
        <w:autoSpaceDN/>
        <w:bidi w:val="0"/>
        <w:adjustRightInd/>
        <w:snapToGrid/>
        <w:spacing w:line="480" w:lineRule="auto"/>
        <w:textAlignment w:val="auto"/>
        <w:rPr>
          <w:rFonts w:hint="eastAsia"/>
          <w:sz w:val="21"/>
          <w:szCs w:val="21"/>
          <w:highlight w:val="none"/>
          <w:lang w:val="en-US" w:eastAsia="zh-Hans"/>
        </w:rPr>
      </w:pPr>
      <w:r>
        <w:rPr>
          <w:rFonts w:hint="eastAsia"/>
          <w:sz w:val="21"/>
          <w:szCs w:val="21"/>
          <w:highlight w:val="none"/>
          <w:lang w:val="en-US" w:eastAsia="zh-Hans"/>
        </w:rPr>
        <w:t xml:space="preserve">甲方：   （盖章）   </w:t>
      </w:r>
      <w:r>
        <w:rPr>
          <w:rFonts w:hint="eastAsia"/>
          <w:sz w:val="21"/>
          <w:szCs w:val="21"/>
          <w:highlight w:val="none"/>
          <w:lang w:val="en-US" w:eastAsia="zh-Hans"/>
        </w:rPr>
        <w:tab/>
      </w:r>
      <w:r>
        <w:rPr>
          <w:rFonts w:hint="eastAsia"/>
          <w:sz w:val="21"/>
          <w:szCs w:val="21"/>
          <w:highlight w:val="none"/>
          <w:lang w:val="en-US" w:eastAsia="zh-Hans"/>
        </w:rPr>
        <w:tab/>
      </w:r>
      <w:r>
        <w:rPr>
          <w:rFonts w:hint="eastAsia"/>
          <w:sz w:val="21"/>
          <w:szCs w:val="21"/>
          <w:highlight w:val="none"/>
          <w:lang w:val="en-US" w:eastAsia="zh-Hans"/>
        </w:rPr>
        <w:tab/>
      </w:r>
      <w:r>
        <w:rPr>
          <w:rFonts w:hint="eastAsia"/>
          <w:sz w:val="21"/>
          <w:szCs w:val="21"/>
          <w:highlight w:val="none"/>
          <w:lang w:val="en-US" w:eastAsia="zh-Hans"/>
        </w:rPr>
        <w:t xml:space="preserve">   乙方：   （盖章）</w:t>
      </w:r>
    </w:p>
    <w:p w14:paraId="564910FA">
      <w:pPr>
        <w:pStyle w:val="5"/>
        <w:keepNext w:val="0"/>
        <w:keepLines w:val="0"/>
        <w:pageBreakBefore w:val="0"/>
        <w:widowControl/>
        <w:kinsoku/>
        <w:wordWrap/>
        <w:overflowPunct/>
        <w:topLinePunct w:val="0"/>
        <w:autoSpaceDE/>
        <w:autoSpaceDN/>
        <w:bidi w:val="0"/>
        <w:adjustRightInd/>
        <w:snapToGrid/>
        <w:spacing w:line="480" w:lineRule="auto"/>
        <w:textAlignment w:val="auto"/>
        <w:rPr>
          <w:rFonts w:hint="eastAsia"/>
          <w:sz w:val="21"/>
          <w:szCs w:val="21"/>
          <w:highlight w:val="none"/>
          <w:lang w:val="en-US" w:eastAsia="zh-Hans"/>
        </w:rPr>
      </w:pPr>
      <w:r>
        <w:rPr>
          <w:rFonts w:hint="eastAsia"/>
          <w:sz w:val="21"/>
          <w:szCs w:val="21"/>
          <w:highlight w:val="none"/>
          <w:lang w:val="en-US" w:eastAsia="zh-Hans"/>
        </w:rPr>
        <w:t>法定代表人/委托代理人：            法定代表人/委托代理人：</w:t>
      </w:r>
    </w:p>
    <w:p w14:paraId="38FCB875">
      <w:pPr>
        <w:pStyle w:val="5"/>
        <w:keepNext w:val="0"/>
        <w:keepLines w:val="0"/>
        <w:pageBreakBefore w:val="0"/>
        <w:widowControl/>
        <w:kinsoku/>
        <w:wordWrap/>
        <w:overflowPunct/>
        <w:topLinePunct w:val="0"/>
        <w:autoSpaceDE/>
        <w:autoSpaceDN/>
        <w:bidi w:val="0"/>
        <w:adjustRightInd/>
        <w:snapToGrid/>
        <w:spacing w:line="480" w:lineRule="auto"/>
        <w:textAlignment w:val="auto"/>
        <w:rPr>
          <w:rFonts w:hint="eastAsia"/>
          <w:sz w:val="21"/>
          <w:szCs w:val="21"/>
          <w:highlight w:val="none"/>
          <w:lang w:val="en-US" w:eastAsia="zh-Hans"/>
        </w:rPr>
      </w:pPr>
      <w:r>
        <w:rPr>
          <w:rFonts w:hint="eastAsia"/>
          <w:sz w:val="21"/>
          <w:szCs w:val="21"/>
          <w:highlight w:val="none"/>
          <w:lang w:val="en-US" w:eastAsia="zh-Hans"/>
        </w:rPr>
        <w:t>地    址：                         地    址：</w:t>
      </w:r>
    </w:p>
    <w:p w14:paraId="2A8972C9">
      <w:pPr>
        <w:pStyle w:val="5"/>
        <w:keepNext w:val="0"/>
        <w:keepLines w:val="0"/>
        <w:pageBreakBefore w:val="0"/>
        <w:widowControl/>
        <w:kinsoku/>
        <w:wordWrap/>
        <w:overflowPunct/>
        <w:topLinePunct w:val="0"/>
        <w:autoSpaceDE/>
        <w:autoSpaceDN/>
        <w:bidi w:val="0"/>
        <w:adjustRightInd/>
        <w:snapToGrid/>
        <w:spacing w:line="480" w:lineRule="auto"/>
        <w:textAlignment w:val="auto"/>
        <w:rPr>
          <w:rFonts w:hint="eastAsia"/>
          <w:sz w:val="21"/>
          <w:szCs w:val="21"/>
          <w:highlight w:val="none"/>
          <w:lang w:val="en-US" w:eastAsia="zh-Hans"/>
        </w:rPr>
      </w:pPr>
      <w:r>
        <w:rPr>
          <w:rFonts w:hint="eastAsia"/>
          <w:sz w:val="21"/>
          <w:szCs w:val="21"/>
          <w:highlight w:val="none"/>
          <w:lang w:val="en-US" w:eastAsia="zh-Hans"/>
        </w:rPr>
        <w:t>开户银行：                         开户银行：</w:t>
      </w:r>
    </w:p>
    <w:p w14:paraId="20AB4F36">
      <w:pPr>
        <w:pStyle w:val="5"/>
        <w:keepNext w:val="0"/>
        <w:keepLines w:val="0"/>
        <w:pageBreakBefore w:val="0"/>
        <w:widowControl/>
        <w:kinsoku/>
        <w:wordWrap/>
        <w:overflowPunct/>
        <w:topLinePunct w:val="0"/>
        <w:autoSpaceDE/>
        <w:autoSpaceDN/>
        <w:bidi w:val="0"/>
        <w:adjustRightInd/>
        <w:snapToGrid/>
        <w:spacing w:line="480" w:lineRule="auto"/>
        <w:textAlignment w:val="auto"/>
        <w:rPr>
          <w:rFonts w:hint="eastAsia"/>
          <w:sz w:val="21"/>
          <w:szCs w:val="21"/>
          <w:highlight w:val="none"/>
          <w:lang w:val="en-US" w:eastAsia="zh-Hans"/>
        </w:rPr>
      </w:pPr>
      <w:r>
        <w:rPr>
          <w:rFonts w:hint="eastAsia"/>
          <w:sz w:val="21"/>
          <w:szCs w:val="21"/>
          <w:highlight w:val="none"/>
          <w:lang w:val="en-US" w:eastAsia="zh-Hans"/>
        </w:rPr>
        <w:t>账    号：                         账    号：</w:t>
      </w:r>
    </w:p>
    <w:p w14:paraId="5B9A6EC2">
      <w:pPr>
        <w:pStyle w:val="5"/>
        <w:keepNext w:val="0"/>
        <w:keepLines w:val="0"/>
        <w:pageBreakBefore w:val="0"/>
        <w:widowControl/>
        <w:kinsoku/>
        <w:wordWrap/>
        <w:overflowPunct/>
        <w:topLinePunct w:val="0"/>
        <w:autoSpaceDE/>
        <w:autoSpaceDN/>
        <w:bidi w:val="0"/>
        <w:adjustRightInd/>
        <w:snapToGrid/>
        <w:spacing w:line="480" w:lineRule="auto"/>
        <w:textAlignment w:val="auto"/>
        <w:rPr>
          <w:rFonts w:hint="eastAsia"/>
          <w:sz w:val="21"/>
          <w:szCs w:val="21"/>
          <w:highlight w:val="none"/>
          <w:lang w:val="en-US" w:eastAsia="zh-Hans"/>
        </w:rPr>
      </w:pPr>
      <w:r>
        <w:rPr>
          <w:rFonts w:hint="eastAsia"/>
          <w:sz w:val="21"/>
          <w:szCs w:val="21"/>
          <w:highlight w:val="none"/>
          <w:lang w:val="en-US" w:eastAsia="zh-Hans"/>
        </w:rPr>
        <w:t>电    话：                         电    话：</w:t>
      </w:r>
    </w:p>
    <w:p w14:paraId="62EF31F9">
      <w:pPr>
        <w:pStyle w:val="5"/>
        <w:keepNext w:val="0"/>
        <w:keepLines w:val="0"/>
        <w:pageBreakBefore w:val="0"/>
        <w:widowControl/>
        <w:kinsoku/>
        <w:wordWrap/>
        <w:overflowPunct/>
        <w:topLinePunct w:val="0"/>
        <w:autoSpaceDE/>
        <w:autoSpaceDN/>
        <w:bidi w:val="0"/>
        <w:adjustRightInd/>
        <w:snapToGrid/>
        <w:spacing w:line="480" w:lineRule="auto"/>
        <w:textAlignment w:val="auto"/>
        <w:rPr>
          <w:rFonts w:hint="eastAsia"/>
          <w:sz w:val="21"/>
          <w:szCs w:val="21"/>
          <w:highlight w:val="none"/>
          <w:lang w:val="en-US" w:eastAsia="zh-Hans"/>
        </w:rPr>
      </w:pPr>
      <w:r>
        <w:rPr>
          <w:rFonts w:hint="eastAsia"/>
          <w:sz w:val="21"/>
          <w:szCs w:val="21"/>
          <w:highlight w:val="none"/>
          <w:lang w:val="en-US" w:eastAsia="zh-Hans"/>
        </w:rPr>
        <w:t>传    真：                         传    真：</w:t>
      </w:r>
    </w:p>
    <w:p w14:paraId="1722F459">
      <w:pPr>
        <w:pStyle w:val="5"/>
        <w:keepNext w:val="0"/>
        <w:keepLines w:val="0"/>
        <w:pageBreakBefore w:val="0"/>
        <w:widowControl/>
        <w:kinsoku/>
        <w:wordWrap/>
        <w:overflowPunct/>
        <w:topLinePunct w:val="0"/>
        <w:autoSpaceDE/>
        <w:autoSpaceDN/>
        <w:bidi w:val="0"/>
        <w:adjustRightInd/>
        <w:snapToGrid/>
        <w:spacing w:line="480" w:lineRule="auto"/>
        <w:textAlignment w:val="auto"/>
        <w:rPr>
          <w:rFonts w:hint="eastAsia"/>
          <w:sz w:val="21"/>
          <w:szCs w:val="21"/>
          <w:highlight w:val="none"/>
          <w:lang w:val="en-US" w:eastAsia="zh-Hans"/>
        </w:rPr>
      </w:pPr>
      <w:r>
        <w:rPr>
          <w:rFonts w:hint="eastAsia"/>
          <w:sz w:val="21"/>
          <w:szCs w:val="21"/>
          <w:highlight w:val="none"/>
          <w:lang w:val="en-US" w:eastAsia="zh-Hans"/>
        </w:rPr>
        <w:t>签约日期：    年  月  日           签约日期：    年  月  日</w:t>
      </w:r>
    </w:p>
    <w:p w14:paraId="607B74F2">
      <w:pPr>
        <w:rPr>
          <w:highlight w:val="none"/>
        </w:rPr>
      </w:pPr>
    </w:p>
    <w:p w14:paraId="3DB9179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327993"/>
    <w:rsid w:val="7C8F1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样式 首行缩进:  2 字符"/>
    <w:basedOn w:val="1"/>
    <w:qFormat/>
    <w:uiPriority w:val="0"/>
    <w:pPr>
      <w:spacing w:line="400" w:lineRule="exact"/>
      <w:ind w:firstLine="200" w:firstLineChars="200"/>
    </w:pPr>
    <w:rPr>
      <w:rFonts w:cs="宋体"/>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329</Words>
  <Characters>349</Characters>
  <Lines>0</Lines>
  <Paragraphs>0</Paragraphs>
  <TotalTime>0</TotalTime>
  <ScaleCrop>false</ScaleCrop>
  <LinksUpToDate>false</LinksUpToDate>
  <CharactersWithSpaces>363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2026-08-18T05:29:00Z</dcterms:created>
  <dc:creator>Administrator</dc:creator>
  <cp:lastModifiedBy>时间。负荷</cp:lastModifiedBy>
  <dcterms:modified xsi:type="dcterms:W3CDTF">2026-08-18T07:08:32Z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eyJoZGlkIjoiOTA2ZWIwNGE0ZTc5ZGFiODkyZDk5MDc0NmE4OGVhYTciLCJ1c2VySWQiOiI1MDY5NzczMDcifQ==</vt:lpwstr>
  </property>
  <property fmtid="{D5CDD505-2E9C-101B-9397-08002B2CF9AE}" pid="4" name="ICV">
    <vt:lpwstr>55A0FBFCDE884F929512CCC352827FFD_12</vt:lpwstr>
  </property>
</Properties>
</file>