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B2E820">
      <w:pPr>
        <w:keepNext/>
        <w:keepLines/>
        <w:spacing w:line="240" w:lineRule="auto"/>
        <w:jc w:val="center"/>
        <w:outlineLvl w:val="0"/>
        <w:rPr>
          <w:rFonts w:ascii="Calibri Light" w:hAnsi="Calibri Light" w:eastAsia="仿宋" w:cs="Calibri Light"/>
          <w:b/>
          <w:color w:val="auto"/>
          <w:kern w:val="44"/>
          <w:sz w:val="36"/>
          <w:szCs w:val="44"/>
          <w:lang w:val="en-US" w:eastAsia="zh-CN" w:bidi="ar-SA"/>
        </w:rPr>
      </w:pPr>
      <w:bookmarkStart w:id="0" w:name="_Toc10476_WPSOffice_Level1"/>
      <w:bookmarkStart w:id="1" w:name="_Toc31517"/>
      <w:bookmarkStart w:id="2" w:name="_Toc2772"/>
      <w:bookmarkStart w:id="3" w:name="_Toc6345"/>
      <w:bookmarkStart w:id="4" w:name="_Toc22915"/>
      <w:r>
        <w:rPr>
          <w:rFonts w:hint="eastAsia" w:ascii="黑体" w:hAnsi="黑体" w:eastAsia="黑体" w:cs="黑体"/>
          <w:b w:val="0"/>
          <w:bCs/>
          <w:color w:val="auto"/>
          <w:kern w:val="44"/>
          <w:sz w:val="32"/>
          <w:szCs w:val="40"/>
          <w:lang w:val="en-US" w:eastAsia="zh-CN" w:bidi="ar-SA"/>
        </w:rPr>
        <w:t>第三章  磋商内容及采</w:t>
      </w:r>
      <w:bookmarkEnd w:id="0"/>
      <w:r>
        <w:rPr>
          <w:rFonts w:hint="eastAsia" w:ascii="黑体" w:hAnsi="黑体" w:eastAsia="黑体" w:cs="黑体"/>
          <w:b w:val="0"/>
          <w:bCs/>
          <w:color w:val="auto"/>
          <w:kern w:val="44"/>
          <w:sz w:val="32"/>
          <w:szCs w:val="40"/>
          <w:lang w:val="en-US" w:eastAsia="zh-CN" w:bidi="ar-SA"/>
        </w:rPr>
        <w:t>购要求</w:t>
      </w:r>
      <w:bookmarkEnd w:id="1"/>
      <w:bookmarkEnd w:id="2"/>
      <w:bookmarkEnd w:id="3"/>
      <w:bookmarkEnd w:id="4"/>
    </w:p>
    <w:p w14:paraId="6656410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按照《汉中市商务局等7部门关于提质增效实施2026年消费品以旧换新政策的通知》（汉市商发〔2026〕5号）文件要求，对</w:t>
      </w:r>
      <w:r>
        <w:rPr>
          <w:rFonts w:hint="eastAsia" w:ascii="仿宋_GB2312" w:hAnsi="仿宋_GB2312" w:eastAsia="仿宋_GB2312" w:cs="仿宋_GB2312"/>
          <w:sz w:val="28"/>
          <w:szCs w:val="28"/>
          <w:lang w:val="en-US" w:eastAsia="zh-CN"/>
        </w:rPr>
        <w:t>2026年</w:t>
      </w:r>
      <w:r>
        <w:rPr>
          <w:rFonts w:hint="eastAsia" w:ascii="仿宋_GB2312" w:hAnsi="仿宋_GB2312" w:eastAsia="仿宋_GB2312" w:cs="仿宋_GB2312"/>
          <w:sz w:val="28"/>
          <w:szCs w:val="28"/>
        </w:rPr>
        <w:t>全市消费品以旧换新补贴资金进行审核。</w:t>
      </w:r>
    </w:p>
    <w:p w14:paraId="5EB88D13">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562" w:firstLineChars="200"/>
        <w:textAlignment w:val="auto"/>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b/>
          <w:bCs/>
          <w:sz w:val="28"/>
          <w:szCs w:val="28"/>
        </w:rPr>
        <w:t>审核内容</w:t>
      </w:r>
    </w:p>
    <w:p w14:paraId="76050EB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对全汉中市</w:t>
      </w:r>
      <w:r>
        <w:rPr>
          <w:rFonts w:hint="eastAsia" w:ascii="仿宋_GB2312" w:hAnsi="仿宋_GB2312" w:eastAsia="仿宋_GB2312" w:cs="仿宋_GB2312"/>
          <w:color w:val="auto"/>
          <w:sz w:val="28"/>
          <w:szCs w:val="28"/>
          <w:highlight w:val="none"/>
          <w:lang w:val="en-US" w:eastAsia="zh-CN"/>
        </w:rPr>
        <w:t>2026年</w:t>
      </w:r>
      <w:r>
        <w:rPr>
          <w:rFonts w:hint="eastAsia" w:ascii="仿宋_GB2312" w:hAnsi="仿宋_GB2312" w:eastAsia="仿宋_GB2312" w:cs="仿宋_GB2312"/>
          <w:color w:val="auto"/>
          <w:sz w:val="28"/>
          <w:szCs w:val="28"/>
          <w:highlight w:val="none"/>
          <w:lang w:eastAsia="zh-CN"/>
        </w:rPr>
        <w:t>消费品（汽车报废、汽车置换、家电、数码和</w:t>
      </w:r>
      <w:r>
        <w:rPr>
          <w:rFonts w:hint="eastAsia" w:ascii="仿宋_GB2312" w:hAnsi="仿宋_GB2312" w:eastAsia="仿宋_GB2312" w:cs="仿宋_GB2312"/>
          <w:color w:val="auto"/>
          <w:sz w:val="28"/>
          <w:szCs w:val="28"/>
          <w:highlight w:val="none"/>
          <w:lang w:val="en-US" w:eastAsia="zh-CN"/>
        </w:rPr>
        <w:t>3C品类</w:t>
      </w:r>
      <w:r>
        <w:rPr>
          <w:rFonts w:hint="eastAsia" w:ascii="仿宋_GB2312" w:hAnsi="仿宋_GB2312" w:eastAsia="仿宋_GB2312" w:cs="仿宋_GB2312"/>
          <w:color w:val="auto"/>
          <w:sz w:val="28"/>
          <w:szCs w:val="28"/>
          <w:highlight w:val="none"/>
          <w:lang w:eastAsia="zh-CN"/>
        </w:rPr>
        <w:t>等）以旧换新补贴第三方审核采购。</w:t>
      </w:r>
    </w:p>
    <w:p w14:paraId="40CC9BA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第一标段：对汉台区、西乡县、镇巴县2026年消费品（汽车报废、家电、数码和3C品类等）以旧换新补贴第三方审核采购。</w:t>
      </w:r>
    </w:p>
    <w:p w14:paraId="52A811D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第二标段：对南郑区、城固县、洋县、勉县、宁强县、略阳县、留坝县、佛坪县</w:t>
      </w:r>
      <w:r>
        <w:rPr>
          <w:rFonts w:hint="eastAsia" w:ascii="仿宋_GB2312" w:hAnsi="仿宋_GB2312" w:eastAsia="仿宋_GB2312" w:cs="仿宋_GB2312"/>
          <w:color w:val="auto"/>
          <w:sz w:val="28"/>
          <w:szCs w:val="28"/>
          <w:highlight w:val="none"/>
          <w:lang w:val="en-US" w:eastAsia="zh-CN"/>
        </w:rPr>
        <w:t>2026</w:t>
      </w:r>
      <w:r>
        <w:rPr>
          <w:rFonts w:hint="eastAsia" w:ascii="仿宋_GB2312" w:hAnsi="仿宋_GB2312" w:eastAsia="仿宋_GB2312" w:cs="仿宋_GB2312"/>
          <w:color w:val="auto"/>
          <w:sz w:val="28"/>
          <w:szCs w:val="28"/>
          <w:highlight w:val="none"/>
          <w:lang w:eastAsia="zh-CN"/>
        </w:rPr>
        <w:t>年消费品（汽车置换、家电、数码和3C品类等）以旧换新补贴第三方审核采购。</w:t>
      </w:r>
    </w:p>
    <w:p w14:paraId="175E65D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具体要求如下：</w:t>
      </w:r>
    </w:p>
    <w:p w14:paraId="0D7B243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按时限对消费者在商务部业务系统统一平台（汽车以旧换新小程序等）上提交的汽车报废更新补贴申请材料（《报废机动车回收证明》《机动车注销证明》《机动车登记证书》及申请人相关基本信息等）的真实性、合理性进行审核。</w:t>
      </w:r>
    </w:p>
    <w:p w14:paraId="5C164D4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2.按时限对消费者在汽车置换更新云闪付平台提交的汽车置换更新补贴申请材料（旧车和新车《机动车登记证书》《机动车销售统一发票》及申请人相关基本信息等）的真实性、合理性进行审核。</w:t>
      </w:r>
    </w:p>
    <w:p w14:paraId="5171377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3.按时限对商户在对应以旧换新服务平台提交的家电、数码和3C品类补贴申请材料（付款凭证和发票等销售凭证、商品唯一编码等）进行线上审核。</w:t>
      </w:r>
    </w:p>
    <w:p w14:paraId="299BC1D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4.对线上提交资料100%审核，原始票据核查不低于50%，走村入户核查交易行为是否属实不低于20%。</w:t>
      </w:r>
    </w:p>
    <w:p w14:paraId="4ACBAE9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5.第一时间协助我局处理12345、市长热线群众诉求和上级商务主管部门反馈问题。</w:t>
      </w:r>
    </w:p>
    <w:p w14:paraId="2C98FB3F">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二、实施范围</w:t>
      </w:r>
    </w:p>
    <w:p w14:paraId="1372913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汉中市辖区内发生的消费品以旧换新工单。</w:t>
      </w:r>
    </w:p>
    <w:p w14:paraId="742AA3B8">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三、服务质量要求</w:t>
      </w:r>
    </w:p>
    <w:p w14:paraId="4B05F0C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1.根据审核提交补贴资料的时间，最长不得超过1个月完成审核。</w:t>
      </w:r>
    </w:p>
    <w:p w14:paraId="19464A7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2.根据工作需要，每30天至少出具1次分项审核报告。对已经实施补贴未发现问题的企业，比对企业实际享受的补贴标准和政策规定，确定应发补贴资金的金额。</w:t>
      </w:r>
    </w:p>
    <w:p w14:paraId="140A5C1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3.审核结论必须真实，能够客观反映补贴资料的事实属性，在审计报告中说明审计的过程及得出的结论。对存在一点的问题，应作出书面说明。</w:t>
      </w:r>
    </w:p>
    <w:p w14:paraId="7158428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4.第三方机构审核期间安排1—2人在委托方安排的办公地点联合办公并接听、回复消费者电话咨询。</w:t>
      </w:r>
    </w:p>
    <w:p w14:paraId="542ADD4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5.在审核工作开展过程中，需及时出具半年度审核分项报告；在2026年度消费品以旧换新资金清算工作结束后及时出具全年度审核报告。</w:t>
      </w:r>
    </w:p>
    <w:p w14:paraId="37EC4CA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6.根据审核工作实际业务发生量进行业务资金结算，供应商按照费率报价，以业务发生量为基数，费率不超过0.3%。（预计全年1标段业务发生量约为1.5亿元，预计全年2标段业务发生量约为1.5亿元）。</w:t>
      </w:r>
    </w:p>
    <w:p w14:paraId="42EF4BF2">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四、其他事项</w:t>
      </w:r>
    </w:p>
    <w:p w14:paraId="7F67C35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1.履约期限自合同签订当日起240个工作日。如遇二次清算工作，合同履约期自动顺延至2026年度消费品以旧换新二次清算工作结束。</w:t>
      </w:r>
    </w:p>
    <w:p w14:paraId="5CAC37E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.付款方式为每季度按业务实际发生量进行结算。</w:t>
      </w:r>
    </w:p>
    <w:p w14:paraId="34EDC4E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供应商</w:t>
      </w:r>
      <w:r>
        <w:rPr>
          <w:rFonts w:hint="eastAsia" w:ascii="仿宋_GB2312" w:hAnsi="仿宋_GB2312" w:eastAsia="仿宋_GB2312" w:cs="仿宋_GB2312"/>
          <w:sz w:val="28"/>
          <w:szCs w:val="28"/>
        </w:rPr>
        <w:t>2个标段可以同时投标，但是仅能中标1个标段。</w:t>
      </w:r>
    </w:p>
    <w:p w14:paraId="371C138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rPr>
        <w:t>备注：</w:t>
      </w:r>
      <w:r>
        <w:rPr>
          <w:rFonts w:hint="eastAsia" w:ascii="仿宋_GB2312" w:hAnsi="仿宋_GB2312" w:eastAsia="仿宋_GB2312" w:cs="仿宋_GB2312"/>
          <w:b/>
          <w:bCs/>
          <w:color w:val="auto"/>
          <w:sz w:val="28"/>
          <w:szCs w:val="28"/>
          <w:lang w:val="en-US" w:eastAsia="zh-CN"/>
        </w:rPr>
        <w:t>1、采购内容适用于第一标段和第二标段；</w:t>
      </w:r>
    </w:p>
    <w:p w14:paraId="3A5C0EDD">
      <w:r>
        <w:rPr>
          <w:rFonts w:hint="eastAsia" w:ascii="仿宋_GB2312" w:hAnsi="仿宋_GB2312" w:eastAsia="仿宋_GB2312" w:cs="仿宋_GB2312"/>
          <w:b/>
          <w:bCs/>
          <w:color w:val="auto"/>
          <w:sz w:val="28"/>
          <w:szCs w:val="28"/>
          <w:highlight w:val="none"/>
          <w:lang w:val="en-US" w:eastAsia="zh-CN"/>
        </w:rPr>
        <w:t>2、以上均是</w:t>
      </w:r>
      <w:r>
        <w:rPr>
          <w:rFonts w:hint="eastAsia" w:ascii="仿宋_GB2312" w:hAnsi="仿宋_GB2312" w:eastAsia="仿宋_GB2312" w:cs="仿宋_GB2312"/>
          <w:b/>
          <w:bCs/>
          <w:color w:val="auto"/>
          <w:sz w:val="28"/>
          <w:szCs w:val="28"/>
          <w:highlight w:val="none"/>
        </w:rPr>
        <w:t>★</w:t>
      </w:r>
      <w:r>
        <w:rPr>
          <w:rFonts w:hint="eastAsia" w:ascii="仿宋_GB2312" w:hAnsi="仿宋_GB2312" w:eastAsia="仿宋_GB2312" w:cs="仿宋_GB2312"/>
          <w:b/>
          <w:bCs/>
          <w:color w:val="auto"/>
          <w:sz w:val="28"/>
          <w:szCs w:val="28"/>
          <w:highlight w:val="none"/>
          <w:lang w:val="en-US" w:eastAsia="zh-CN"/>
        </w:rPr>
        <w:t>内容，</w:t>
      </w:r>
      <w:r>
        <w:rPr>
          <w:rFonts w:hint="eastAsia" w:ascii="仿宋_GB2312" w:hAnsi="仿宋_GB2312" w:eastAsia="仿宋_GB2312" w:cs="仿宋_GB2312"/>
          <w:b/>
          <w:bCs/>
          <w:color w:val="auto"/>
          <w:sz w:val="28"/>
          <w:szCs w:val="28"/>
          <w:highlight w:val="none"/>
        </w:rPr>
        <w:t>为实质性要求，</w:t>
      </w:r>
      <w:r>
        <w:rPr>
          <w:rFonts w:hint="eastAsia" w:ascii="仿宋_GB2312" w:hAnsi="仿宋_GB2312" w:eastAsia="仿宋_GB2312" w:cs="仿宋_GB2312"/>
          <w:b/>
          <w:bCs/>
          <w:color w:val="auto"/>
          <w:sz w:val="28"/>
          <w:szCs w:val="28"/>
          <w:highlight w:val="none"/>
          <w:lang w:val="en-US" w:eastAsia="zh-CN"/>
        </w:rPr>
        <w:t>响应</w:t>
      </w:r>
      <w:r>
        <w:rPr>
          <w:rFonts w:hint="eastAsia" w:ascii="仿宋_GB2312" w:hAnsi="仿宋_GB2312" w:eastAsia="仿宋_GB2312" w:cs="仿宋_GB2312"/>
          <w:b/>
          <w:bCs/>
          <w:color w:val="auto"/>
          <w:sz w:val="28"/>
          <w:szCs w:val="28"/>
          <w:highlight w:val="none"/>
        </w:rPr>
        <w:t>人未逐条响应、有缺漏或负偏离将视为无效</w:t>
      </w:r>
      <w:r>
        <w:rPr>
          <w:rFonts w:hint="eastAsia" w:ascii="仿宋_GB2312" w:hAnsi="仿宋_GB2312" w:eastAsia="仿宋_GB2312" w:cs="仿宋_GB2312"/>
          <w:b/>
          <w:bCs/>
          <w:color w:val="auto"/>
          <w:sz w:val="28"/>
          <w:szCs w:val="28"/>
          <w:highlight w:val="none"/>
          <w:lang w:val="en-US" w:eastAsia="zh-CN"/>
        </w:rPr>
        <w:t>响应</w:t>
      </w:r>
      <w:r>
        <w:rPr>
          <w:rFonts w:hint="eastAsia" w:ascii="仿宋_GB2312" w:hAnsi="仿宋_GB2312" w:eastAsia="仿宋_GB2312" w:cs="仿宋_GB2312"/>
          <w:b/>
          <w:bCs/>
          <w:color w:val="auto"/>
          <w:sz w:val="28"/>
          <w:szCs w:val="28"/>
          <w:highlight w:val="none"/>
          <w:lang w:eastAsia="zh-CN"/>
        </w:rPr>
        <w:t>。</w:t>
      </w:r>
      <w:bookmarkStart w:id="5" w:name="_GoBack"/>
      <w:bookmarkEnd w:id="5"/>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7B71357"/>
    <w:multiLevelType w:val="singleLevel"/>
    <w:tmpl w:val="67B7135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301C52"/>
    <w:rsid w:val="34301C52"/>
    <w:rsid w:val="71B320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2026-08-27T03:32:00Z</dcterms:created>
  <dc:creator>莲鹤</dc:creator>
  <cp:lastModifiedBy>莲鹤</cp:lastModifiedBy>
  <dcterms:modified xsi:type="dcterms:W3CDTF">2026-08-27T03:33:44Z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C4DAD6B216254875998AF6BCD7C03B71_11</vt:lpwstr>
  </property>
  <property fmtid="{D5CDD505-2E9C-101B-9397-08002B2CF9AE}" pid="4" name="KSOTemplateDocerSaveRecord">
    <vt:lpwstr>eyJoZGlkIjoiNDI0MzZiZjE4ODg5YjA3M2UzOTY3ZWIxNWE2NWFjNTkiLCJ1c2VySWQiOiI3MDE1NDI4NjkifQ==</vt:lpwstr>
  </property>
</Properties>
</file>