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资格证明文件</w:t>
      </w:r>
    </w:p>
    <w:p w14:paraId="43F994CE">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31E9EB5D">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2、财务状况报告：提供经审计的2024年度或2025年度完整的财务报告或提交投标文件截止时间前六个月内其基本账户开户银行出具的资信证明；其他组织和自然人提供银行出具的资信证明或财务报表；</w:t>
      </w:r>
    </w:p>
    <w:p w14:paraId="35AF21EA">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69503A5C">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4CA7F76A">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5、具有履行合同所必需的设备和专业技术能力：具有履行合同所必需的设备和专业技术能力的承诺及说明；</w:t>
      </w:r>
    </w:p>
    <w:p w14:paraId="1CF7FAE3">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6、书面声明：参加政府采购活动前三年内，在经营活动中没有重大违法记录的书面声明；</w:t>
      </w:r>
    </w:p>
    <w:p w14:paraId="1EA5A838">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7、法定代表人或其授权委托书：法定代表人授权书（附法定代表人、被授权人身份证复印件及被授权人在本单位缴纳社保证明），法定代表人直接参加投标，须提供法定代表人身份证明；</w:t>
      </w:r>
    </w:p>
    <w:p w14:paraId="2B59A5D5">
      <w:pPr>
        <w:pStyle w:val="8"/>
        <w:keepNext w:val="0"/>
        <w:keepLines w:val="0"/>
        <w:pageBreakBefore w:val="0"/>
        <w:kinsoku/>
        <w:wordWrap/>
        <w:overflowPunct/>
        <w:topLinePunct w:val="0"/>
        <w:bidi w:val="0"/>
        <w:adjustRightInd/>
        <w:snapToGrid/>
        <w:spacing w:line="360" w:lineRule="auto"/>
        <w:ind w:firstLine="480" w:firstLineChars="200"/>
        <w:textAlignment w:val="auto"/>
        <w:rPr>
          <w:sz w:val="24"/>
          <w:szCs w:val="24"/>
        </w:rPr>
      </w:pPr>
      <w:r>
        <w:rPr>
          <w:rFonts w:ascii="仿宋_GB2312" w:hAnsi="仿宋_GB2312" w:eastAsia="仿宋_GB2312" w:cs="仿宋_GB2312"/>
          <w:sz w:val="24"/>
          <w:szCs w:val="24"/>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0BBC81B9">
      <w:pPr>
        <w:pStyle w:val="8"/>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CN"/>
        </w:rPr>
        <w:t>9</w:t>
      </w:r>
      <w:r>
        <w:rPr>
          <w:rFonts w:hint="eastAsia" w:ascii="仿宋_GB2312" w:hAnsi="仿宋_GB2312" w:eastAsia="仿宋_GB2312" w:cs="仿宋_GB2312"/>
          <w:sz w:val="24"/>
          <w:szCs w:val="24"/>
          <w:lang w:val="en-US" w:eastAsia="zh-Hans"/>
        </w:rPr>
        <w:t>、资质证书：</w:t>
      </w:r>
      <w:r>
        <w:rPr>
          <w:rFonts w:hint="eastAsia" w:ascii="仿宋_GB2312" w:hAnsi="仿宋_GB2312" w:eastAsia="仿宋_GB2312" w:cs="仿宋_GB2312"/>
          <w:sz w:val="24"/>
          <w:szCs w:val="24"/>
          <w:lang w:val="en-US" w:eastAsia="zh-CN"/>
        </w:rPr>
        <w:t>供应商应具有水利行政主管部门颁发的合格有效的水利工程质量检测机构乙级及以上资质证书（检测范围应包含岩土工程类、混凝土工程类、金属结构类和量测类）</w:t>
      </w:r>
    </w:p>
    <w:p w14:paraId="5E8B7669">
      <w:pPr>
        <w:pStyle w:val="8"/>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lang w:val="en-US" w:eastAsia="zh-Hans"/>
        </w:rPr>
        <w:t>、CMA计量认证证书：供应商应具有省级及以上质量技术监督部门颁发的有效期内的CMA计量认证证书</w:t>
      </w:r>
    </w:p>
    <w:p w14:paraId="518D68F9">
      <w:pPr>
        <w:pStyle w:val="8"/>
        <w:keepNext w:val="0"/>
        <w:keepLines w:val="0"/>
        <w:pageBreakBefore w:val="0"/>
        <w:kinsoku/>
        <w:wordWrap/>
        <w:overflowPunct/>
        <w:topLinePunct w:val="0"/>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Hans"/>
        </w:rPr>
        <w:sectPr>
          <w:footerReference r:id="rId3" w:type="default"/>
          <w:pgSz w:w="11906" w:h="16838"/>
          <w:pgMar w:top="1440" w:right="1080" w:bottom="1440" w:left="1080" w:header="851" w:footer="992" w:gutter="0"/>
          <w:cols w:space="720" w:num="1"/>
          <w:docGrid w:type="lines" w:linePitch="312" w:charSpace="0"/>
        </w:sectPr>
      </w:pPr>
      <w:bookmarkStart w:id="0" w:name="_GoBack"/>
      <w:bookmarkEnd w:id="0"/>
    </w:p>
    <w:p w14:paraId="32986A1D">
      <w:pPr>
        <w:keepNext w:val="0"/>
        <w:keepLines w:val="0"/>
        <w:pageBreakBefore w:val="0"/>
        <w:widowControl w:val="0"/>
        <w:shd w:val="clear"/>
        <w:kinsoku/>
        <w:wordWrap/>
        <w:overflowPunct/>
        <w:topLinePunct w:val="0"/>
        <w:bidi w:val="0"/>
        <w:spacing w:line="360" w:lineRule="auto"/>
        <w:rPr>
          <w:rFonts w:hint="eastAsia" w:cs="宋体"/>
          <w:b/>
          <w:bCs/>
          <w:color w:val="auto"/>
          <w:szCs w:val="24"/>
          <w:highlight w:val="none"/>
          <w:lang w:val="en-US" w:eastAsia="zh-CN"/>
        </w:rPr>
      </w:pPr>
      <w:r>
        <w:rPr>
          <w:rFonts w:hint="eastAsia" w:cs="宋体"/>
          <w:b/>
          <w:bCs/>
          <w:color w:val="auto"/>
          <w:szCs w:val="24"/>
          <w:highlight w:val="none"/>
          <w:lang w:val="en-US" w:eastAsia="zh-CN"/>
        </w:rPr>
        <w:t>附件1</w:t>
      </w:r>
    </w:p>
    <w:p w14:paraId="1D0D9363">
      <w:pPr>
        <w:keepNext w:val="0"/>
        <w:keepLines w:val="0"/>
        <w:pageBreakBefore w:val="0"/>
        <w:widowControl w:val="0"/>
        <w:shd w:val="clear"/>
        <w:kinsoku/>
        <w:wordWrap/>
        <w:overflowPunct/>
        <w:topLinePunct w:val="0"/>
        <w:bidi w:val="0"/>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承诺：提供具有履行合同所必需的设备和专业技术能力的承诺；</w:t>
      </w:r>
    </w:p>
    <w:p w14:paraId="656A6602">
      <w:pPr>
        <w:keepNext w:val="0"/>
        <w:keepLines w:val="0"/>
        <w:pageBreakBefore w:val="0"/>
        <w:widowControl w:val="0"/>
        <w:shd w:val="clear"/>
        <w:kinsoku/>
        <w:wordWrap/>
        <w:overflowPunct/>
        <w:topLinePunct w:val="0"/>
        <w:bidi w:val="0"/>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keepNext w:val="0"/>
        <w:keepLines w:val="0"/>
        <w:pageBreakBefore w:val="0"/>
        <w:widowControl w:val="0"/>
        <w:shd w:val="clear"/>
        <w:kinsoku/>
        <w:wordWrap/>
        <w:overflowPunct/>
        <w:topLinePunct w:val="0"/>
        <w:bidi w:val="0"/>
        <w:spacing w:line="360" w:lineRule="auto"/>
        <w:ind w:left="440" w:leftChars="200" w:firstLine="390" w:firstLineChars="186"/>
        <w:jc w:val="left"/>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陕西省水利工程质量安全中心</w:t>
      </w:r>
      <w:r>
        <w:rPr>
          <w:rFonts w:hint="eastAsia" w:ascii="宋体" w:hAnsi="宋体" w:eastAsia="宋体" w:cs="宋体"/>
          <w:color w:val="auto"/>
          <w:sz w:val="21"/>
          <w:szCs w:val="16"/>
          <w:highlight w:val="none"/>
        </w:rPr>
        <w:t>/</w:t>
      </w:r>
      <w:r>
        <w:rPr>
          <w:rFonts w:hint="eastAsia" w:cs="宋体"/>
          <w:color w:val="auto"/>
          <w:sz w:val="21"/>
          <w:szCs w:val="16"/>
          <w:highlight w:val="none"/>
          <w:lang w:eastAsia="zh-CN"/>
        </w:rPr>
        <w:t>西安市安居工程咨询有限公司</w:t>
      </w:r>
    </w:p>
    <w:p w14:paraId="3B01AD13">
      <w:pPr>
        <w:keepNext w:val="0"/>
        <w:keepLines w:val="0"/>
        <w:pageBreakBefore w:val="0"/>
        <w:widowControl w:val="0"/>
        <w:shd w:val="clear"/>
        <w:kinsoku/>
        <w:wordWrap/>
        <w:overflowPunct/>
        <w:topLinePunct w:val="0"/>
        <w:bidi w:val="0"/>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keepNext w:val="0"/>
        <w:keepLines w:val="0"/>
        <w:pageBreakBefore w:val="0"/>
        <w:widowControl w:val="0"/>
        <w:shd w:val="clear"/>
        <w:kinsoku/>
        <w:wordWrap/>
        <w:overflowPunct/>
        <w:topLinePunct w:val="0"/>
        <w:bidi w:val="0"/>
        <w:spacing w:line="360" w:lineRule="auto"/>
        <w:ind w:left="249" w:leftChars="113" w:firstLine="411" w:firstLineChars="196"/>
        <w:jc w:val="left"/>
        <w:rPr>
          <w:rFonts w:hint="eastAsia" w:ascii="宋体" w:hAnsi="宋体" w:eastAsia="宋体" w:cs="宋体"/>
          <w:color w:val="auto"/>
          <w:sz w:val="21"/>
          <w:szCs w:val="16"/>
          <w:highlight w:val="none"/>
        </w:rPr>
      </w:pPr>
    </w:p>
    <w:p w14:paraId="2AA85DD6">
      <w:pPr>
        <w:pStyle w:val="4"/>
        <w:keepNext w:val="0"/>
        <w:keepLines w:val="0"/>
        <w:pageBreakBefore w:val="0"/>
        <w:widowControl w:val="0"/>
        <w:shd w:val="clear"/>
        <w:kinsoku/>
        <w:wordWrap/>
        <w:overflowPunct/>
        <w:topLinePunct w:val="0"/>
        <w:bidi w:val="0"/>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keepNext w:val="0"/>
        <w:keepLines w:val="0"/>
        <w:pageBreakBefore w:val="0"/>
        <w:widowControl w:val="0"/>
        <w:shd w:val="clear"/>
        <w:kinsoku/>
        <w:wordWrap/>
        <w:overflowPunct/>
        <w:topLinePunct w:val="0"/>
        <w:bidi w:val="0"/>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keepNext w:val="0"/>
        <w:keepLines w:val="0"/>
        <w:pageBreakBefore w:val="0"/>
        <w:widowControl w:val="0"/>
        <w:shd w:val="clear"/>
        <w:kinsoku/>
        <w:wordWrap/>
        <w:overflowPunct/>
        <w:topLinePunct w:val="0"/>
        <w:bidi w:val="0"/>
        <w:spacing w:line="360" w:lineRule="auto"/>
        <w:jc w:val="center"/>
        <w:rPr>
          <w:rFonts w:hint="eastAsia" w:ascii="宋体" w:hAnsi="宋体" w:eastAsia="宋体" w:cs="宋体"/>
          <w:color w:val="auto"/>
          <w:sz w:val="21"/>
          <w:szCs w:val="21"/>
          <w:highlight w:val="none"/>
        </w:rPr>
      </w:pPr>
    </w:p>
    <w:p w14:paraId="75D0388E">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6D79BD57">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39A75D7E">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keepNext w:val="0"/>
        <w:keepLines w:val="0"/>
        <w:pageBreakBefore w:val="0"/>
        <w:widowControl w:val="0"/>
        <w:shd w:val="clear"/>
        <w:kinsoku/>
        <w:wordWrap/>
        <w:overflowPunct/>
        <w:topLinePunct w:val="0"/>
        <w:bidi w:val="0"/>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51DE83F1">
      <w:pPr>
        <w:keepNext w:val="0"/>
        <w:keepLines w:val="0"/>
        <w:pageBreakBefore w:val="0"/>
        <w:widowControl w:val="0"/>
        <w:shd w:val="clear"/>
        <w:kinsoku/>
        <w:wordWrap/>
        <w:overflowPunct/>
        <w:topLinePunct w:val="0"/>
        <w:bidi w:val="0"/>
        <w:spacing w:line="360" w:lineRule="auto"/>
        <w:ind w:firstLine="221" w:firstLineChars="100"/>
        <w:rPr>
          <w:rFonts w:hint="eastAsia" w:cs="宋体"/>
          <w:b/>
          <w:bCs/>
          <w:color w:val="auto"/>
          <w:szCs w:val="24"/>
          <w:highlight w:val="none"/>
          <w:lang w:val="en-US" w:eastAsia="zh-CN"/>
        </w:rPr>
      </w:pPr>
      <w:r>
        <w:rPr>
          <w:rFonts w:hint="eastAsia" w:cs="宋体"/>
          <w:b/>
          <w:bCs/>
          <w:color w:val="auto"/>
          <w:szCs w:val="24"/>
          <w:highlight w:val="none"/>
          <w:lang w:val="en-US" w:eastAsia="zh-CN"/>
        </w:rPr>
        <w:t>附件2</w:t>
      </w:r>
    </w:p>
    <w:p w14:paraId="3AD4F582">
      <w:pPr>
        <w:keepNext w:val="0"/>
        <w:keepLines w:val="0"/>
        <w:pageBreakBefore w:val="0"/>
        <w:widowControl w:val="0"/>
        <w:shd w:val="clear"/>
        <w:kinsoku/>
        <w:wordWrap/>
        <w:overflowPunct/>
        <w:topLinePunct w:val="0"/>
        <w:bidi w:val="0"/>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参加政府采购活动前3年内，在经营活动中没有重大违法记录的书面声明。</w:t>
      </w:r>
    </w:p>
    <w:p w14:paraId="5EF76F70">
      <w:pPr>
        <w:keepNext w:val="0"/>
        <w:keepLines w:val="0"/>
        <w:pageBreakBefore w:val="0"/>
        <w:widowControl w:val="0"/>
        <w:shd w:val="clear"/>
        <w:kinsoku/>
        <w:wordWrap/>
        <w:overflowPunct/>
        <w:topLinePunct w:val="0"/>
        <w:bidi w:val="0"/>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keepNext w:val="0"/>
        <w:keepLines w:val="0"/>
        <w:pageBreakBefore w:val="0"/>
        <w:widowControl w:val="0"/>
        <w:shd w:val="clear"/>
        <w:kinsoku/>
        <w:wordWrap/>
        <w:overflowPunct/>
        <w:topLinePunct w:val="0"/>
        <w:bidi w:val="0"/>
        <w:spacing w:line="360" w:lineRule="auto"/>
        <w:ind w:left="249" w:leftChars="100" w:hanging="29" w:hangingChars="14"/>
        <w:jc w:val="left"/>
        <w:rPr>
          <w:rFonts w:hint="eastAsia" w:ascii="宋体" w:hAnsi="宋体" w:eastAsia="宋体" w:cs="宋体"/>
          <w:color w:val="auto"/>
          <w:sz w:val="21"/>
          <w:szCs w:val="16"/>
          <w:highlight w:val="none"/>
          <w:lang w:eastAsia="zh-CN"/>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陕西省水利工程质量安全中心</w:t>
      </w:r>
      <w:r>
        <w:rPr>
          <w:rFonts w:hint="eastAsia" w:ascii="宋体" w:hAnsi="宋体" w:eastAsia="宋体" w:cs="宋体"/>
          <w:color w:val="auto"/>
          <w:sz w:val="21"/>
          <w:szCs w:val="16"/>
          <w:highlight w:val="none"/>
        </w:rPr>
        <w:t>/</w:t>
      </w:r>
      <w:r>
        <w:rPr>
          <w:rFonts w:hint="eastAsia" w:cs="宋体"/>
          <w:color w:val="auto"/>
          <w:sz w:val="21"/>
          <w:szCs w:val="16"/>
          <w:highlight w:val="none"/>
          <w:lang w:eastAsia="zh-CN"/>
        </w:rPr>
        <w:t>西安市安居工程咨询有限公司</w:t>
      </w:r>
    </w:p>
    <w:p w14:paraId="72589605">
      <w:pPr>
        <w:keepNext w:val="0"/>
        <w:keepLines w:val="0"/>
        <w:pageBreakBefore w:val="0"/>
        <w:widowControl w:val="0"/>
        <w:shd w:val="clear"/>
        <w:kinsoku/>
        <w:wordWrap/>
        <w:overflowPunct/>
        <w:topLinePunct w:val="0"/>
        <w:bidi w:val="0"/>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keepNext w:val="0"/>
        <w:keepLines w:val="0"/>
        <w:pageBreakBefore w:val="0"/>
        <w:widowControl w:val="0"/>
        <w:shd w:val="clear"/>
        <w:kinsoku/>
        <w:wordWrap/>
        <w:overflowPunct/>
        <w:topLinePunct w:val="0"/>
        <w:bidi w:val="0"/>
        <w:spacing w:line="360" w:lineRule="auto"/>
        <w:rPr>
          <w:rFonts w:hint="eastAsia" w:ascii="宋体" w:hAnsi="宋体" w:eastAsia="宋体" w:cs="宋体"/>
          <w:color w:val="auto"/>
          <w:sz w:val="21"/>
          <w:szCs w:val="16"/>
          <w:highlight w:val="none"/>
        </w:rPr>
      </w:pPr>
    </w:p>
    <w:p w14:paraId="379652BF">
      <w:pPr>
        <w:keepNext w:val="0"/>
        <w:keepLines w:val="0"/>
        <w:pageBreakBefore w:val="0"/>
        <w:widowControl w:val="0"/>
        <w:shd w:val="clear"/>
        <w:kinsoku/>
        <w:wordWrap/>
        <w:overflowPunct/>
        <w:topLinePunct w:val="0"/>
        <w:bidi w:val="0"/>
        <w:spacing w:line="360" w:lineRule="auto"/>
        <w:rPr>
          <w:rFonts w:hint="eastAsia" w:ascii="宋体" w:hAnsi="宋体" w:eastAsia="宋体" w:cs="宋体"/>
          <w:color w:val="auto"/>
          <w:sz w:val="21"/>
          <w:szCs w:val="16"/>
          <w:highlight w:val="none"/>
        </w:rPr>
      </w:pPr>
    </w:p>
    <w:p w14:paraId="0AC49E22">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60779CCB">
      <w:pPr>
        <w:keepNext w:val="0"/>
        <w:keepLines w:val="0"/>
        <w:pageBreakBefore w:val="0"/>
        <w:widowControl w:val="0"/>
        <w:shd w:val="clear"/>
        <w:kinsoku/>
        <w:wordWrap/>
        <w:overflowPunct/>
        <w:topLinePunct w:val="0"/>
        <w:bidi w:val="0"/>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08EE5C67">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keepNext w:val="0"/>
        <w:keepLines w:val="0"/>
        <w:pageBreakBefore w:val="0"/>
        <w:widowControl w:val="0"/>
        <w:shd w:val="clear"/>
        <w:kinsoku/>
        <w:wordWrap/>
        <w:overflowPunct/>
        <w:topLinePunct w:val="0"/>
        <w:bidi w:val="0"/>
        <w:spacing w:line="360" w:lineRule="auto"/>
        <w:ind w:firstLine="4410" w:firstLineChars="2100"/>
        <w:jc w:val="left"/>
        <w:rPr>
          <w:rFonts w:hint="eastAsia" w:ascii="宋体" w:hAnsi="宋体" w:eastAsia="宋体" w:cs="宋体"/>
          <w:color w:val="auto"/>
          <w:sz w:val="21"/>
          <w:szCs w:val="21"/>
          <w:highlight w:val="none"/>
        </w:rPr>
      </w:pPr>
    </w:p>
    <w:p w14:paraId="4B1C4826">
      <w:pPr>
        <w:keepNext w:val="0"/>
        <w:keepLines w:val="0"/>
        <w:pageBreakBefore w:val="0"/>
        <w:widowControl w:val="0"/>
        <w:shd w:val="clear"/>
        <w:kinsoku/>
        <w:wordWrap/>
        <w:overflowPunct/>
        <w:topLinePunct w:val="0"/>
        <w:bidi w:val="0"/>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keepNext w:val="0"/>
        <w:keepLines w:val="0"/>
        <w:pageBreakBefore w:val="0"/>
        <w:widowControl w:val="0"/>
        <w:shd w:val="clear"/>
        <w:kinsoku/>
        <w:wordWrap/>
        <w:overflowPunct/>
        <w:topLinePunct w:val="0"/>
        <w:bidi w:val="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526D770">
      <w:pPr>
        <w:keepNext w:val="0"/>
        <w:keepLines w:val="0"/>
        <w:pageBreakBefore w:val="0"/>
        <w:widowControl w:val="0"/>
        <w:numPr>
          <w:ilvl w:val="0"/>
          <w:numId w:val="0"/>
        </w:numPr>
        <w:shd w:val="clear"/>
        <w:kinsoku/>
        <w:wordWrap/>
        <w:overflowPunct/>
        <w:topLinePunct w:val="0"/>
        <w:bidi w:val="0"/>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cs="宋体"/>
          <w:b/>
          <w:bCs/>
          <w:color w:val="auto"/>
          <w:kern w:val="2"/>
          <w:sz w:val="24"/>
          <w:szCs w:val="24"/>
          <w:highlight w:val="none"/>
          <w:shd w:val="clear" w:color="auto" w:fill="FFFFFF"/>
          <w:lang w:val="en-US" w:eastAsia="zh-CN"/>
        </w:rPr>
        <w:t>附件3</w:t>
      </w:r>
    </w:p>
    <w:p w14:paraId="78D8B658">
      <w:pPr>
        <w:keepNext w:val="0"/>
        <w:keepLines w:val="0"/>
        <w:pageBreakBefore w:val="0"/>
        <w:widowControl w:val="0"/>
        <w:shd w:val="clear"/>
        <w:kinsoku/>
        <w:wordWrap/>
        <w:overflowPunct/>
        <w:topLinePunct w:val="0"/>
        <w:bidi w:val="0"/>
        <w:spacing w:line="360" w:lineRule="auto"/>
        <w:ind w:firstLine="22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（1）法定代表人授权书（附法定代表人、被授权人身份证复印件，法定代表人直接参加投标，须提供法定代表人身份证明）；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3847B24E">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681D3025">
            <w:pPr>
              <w:keepNext w:val="0"/>
              <w:keepLines w:val="0"/>
              <w:pageBreakBefore w:val="0"/>
              <w:widowControl w:val="0"/>
              <w:shd w:val="clear"/>
              <w:kinsoku/>
              <w:wordWrap/>
              <w:overflowPunct/>
              <w:topLinePunct w:val="0"/>
              <w:autoSpaceDE w:val="0"/>
              <w:autoSpaceDN w:val="0"/>
              <w:bidi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keepNext w:val="0"/>
              <w:keepLines w:val="0"/>
              <w:pageBreakBefore w:val="0"/>
              <w:widowControl w:val="0"/>
              <w:shd w:val="clear"/>
              <w:kinsoku/>
              <w:wordWrap/>
              <w:overflowPunct/>
              <w:topLinePunct w:val="0"/>
              <w:bidi w:val="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p w14:paraId="76B80A36">
            <w:pPr>
              <w:keepNext w:val="0"/>
              <w:keepLines w:val="0"/>
              <w:pageBreakBefore w:val="0"/>
              <w:widowControl w:val="0"/>
              <w:shd w:val="clear"/>
              <w:kinsoku/>
              <w:wordWrap/>
              <w:overflowPunct/>
              <w:topLinePunct w:val="0"/>
              <w:bidi w:val="0"/>
              <w:snapToGrid w:val="0"/>
              <w:spacing w:line="480" w:lineRule="auto"/>
              <w:jc w:val="center"/>
              <w:rPr>
                <w:rFonts w:hint="eastAsia" w:ascii="宋体" w:hAnsi="宋体" w:eastAsia="宋体" w:cs="宋体"/>
                <w:color w:val="auto"/>
                <w:sz w:val="21"/>
                <w:szCs w:val="21"/>
                <w:highlight w:val="none"/>
              </w:rPr>
            </w:pPr>
          </w:p>
        </w:tc>
      </w:tr>
    </w:tbl>
    <w:p w14:paraId="2761F235">
      <w:pPr>
        <w:keepNext w:val="0"/>
        <w:keepLines w:val="0"/>
        <w:pageBreakBefore w:val="0"/>
        <w:widowControl w:val="0"/>
        <w:shd w:val="clear"/>
        <w:kinsoku/>
        <w:wordWrap/>
        <w:overflowPunct/>
        <w:topLinePunct w:val="0"/>
        <w:bidi w:val="0"/>
        <w:snapToGrid w:val="0"/>
        <w:spacing w:line="480" w:lineRule="auto"/>
        <w:rPr>
          <w:rFonts w:hint="eastAsia" w:ascii="宋体" w:hAnsi="宋体" w:eastAsia="宋体" w:cs="宋体"/>
          <w:color w:val="auto"/>
          <w:sz w:val="21"/>
          <w:szCs w:val="21"/>
          <w:highlight w:val="none"/>
        </w:rPr>
      </w:pPr>
    </w:p>
    <w:p w14:paraId="0DB21A27">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49A2192">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BC8B444">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13E96832">
      <w:pPr>
        <w:keepNext w:val="0"/>
        <w:keepLines w:val="0"/>
        <w:pageBreakBefore w:val="0"/>
        <w:widowControl w:val="0"/>
        <w:shd w:val="clear"/>
        <w:kinsoku/>
        <w:wordWrap/>
        <w:overflowPunct/>
        <w:topLinePunct w:val="0"/>
        <w:bidi w:val="0"/>
        <w:snapToGrid w:val="0"/>
        <w:rPr>
          <w:rFonts w:hint="eastAsia" w:ascii="宋体" w:hAnsi="宋体" w:eastAsia="宋体" w:cs="宋体"/>
          <w:color w:val="auto"/>
          <w:sz w:val="21"/>
          <w:szCs w:val="21"/>
          <w:highlight w:val="none"/>
        </w:rPr>
      </w:pPr>
    </w:p>
    <w:p w14:paraId="71D41CBF">
      <w:pPr>
        <w:keepNext w:val="0"/>
        <w:keepLines w:val="0"/>
        <w:pageBreakBefore w:val="0"/>
        <w:widowControl w:val="0"/>
        <w:shd w:val="clear"/>
        <w:kinsoku/>
        <w:wordWrap/>
        <w:overflowPunct/>
        <w:topLinePunct w:val="0"/>
        <w:bidi w:val="0"/>
        <w:adjustRightInd w:val="0"/>
        <w:snapToGrid w:val="0"/>
        <w:spacing w:line="360" w:lineRule="auto"/>
        <w:rPr>
          <w:rFonts w:hint="eastAsia" w:ascii="宋体" w:hAnsi="宋体" w:eastAsia="宋体" w:cs="宋体"/>
          <w:color w:val="auto"/>
          <w:sz w:val="21"/>
          <w:szCs w:val="21"/>
          <w:highlight w:val="none"/>
        </w:rPr>
      </w:pPr>
    </w:p>
    <w:p w14:paraId="2418A159">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360BB058">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41FC8FF0">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01B454C1">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7BBCDBD">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61FA672">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p>
    <w:p w14:paraId="238510EF">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keepNext w:val="0"/>
        <w:keepLines w:val="0"/>
        <w:pageBreakBefore w:val="0"/>
        <w:widowControl w:val="0"/>
        <w:shd w:val="clear"/>
        <w:kinsoku/>
        <w:wordWrap/>
        <w:overflowPunct/>
        <w:topLinePunct w:val="0"/>
        <w:bidi w:val="0"/>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keepNext w:val="0"/>
        <w:keepLines w:val="0"/>
        <w:pageBreakBefore w:val="0"/>
        <w:widowControl w:val="0"/>
        <w:shd w:val="clear"/>
        <w:kinsoku/>
        <w:wordWrap/>
        <w:overflowPunct/>
        <w:topLinePunct w:val="0"/>
        <w:bidi w:val="0"/>
        <w:rPr>
          <w:rFonts w:hint="eastAsia" w:ascii="宋体" w:hAnsi="宋体" w:eastAsia="宋体" w:cs="宋体"/>
          <w:color w:val="auto"/>
          <w:sz w:val="21"/>
          <w:szCs w:val="21"/>
          <w:highlight w:val="none"/>
        </w:rPr>
      </w:pPr>
    </w:p>
    <w:p w14:paraId="7E98397B">
      <w:pPr>
        <w:keepNext w:val="0"/>
        <w:keepLines w:val="0"/>
        <w:pageBreakBefore w:val="0"/>
        <w:widowControl w:val="0"/>
        <w:shd w:val="clear"/>
        <w:kinsoku/>
        <w:wordWrap/>
        <w:overflowPunct/>
        <w:topLinePunct w:val="0"/>
        <w:bidi w:val="0"/>
        <w:rPr>
          <w:rFonts w:hint="eastAsia" w:ascii="宋体" w:hAnsi="宋体" w:eastAsia="宋体" w:cs="宋体"/>
          <w:color w:val="auto"/>
          <w:sz w:val="21"/>
          <w:szCs w:val="21"/>
          <w:highlight w:val="none"/>
        </w:rPr>
      </w:pPr>
    </w:p>
    <w:p w14:paraId="29B50929">
      <w:pPr>
        <w:pStyle w:val="3"/>
        <w:keepNext w:val="0"/>
        <w:keepLines w:val="0"/>
        <w:pageBreakBefore w:val="0"/>
        <w:widowControl w:val="0"/>
        <w:shd w:val="clear"/>
        <w:kinsoku/>
        <w:wordWrap/>
        <w:overflowPunct/>
        <w:topLinePunct w:val="0"/>
        <w:bidi w:val="0"/>
        <w:rPr>
          <w:rFonts w:hint="eastAsia" w:ascii="宋体" w:hAnsi="宋体" w:eastAsia="宋体" w:cs="宋体"/>
          <w:highlight w:val="none"/>
        </w:rPr>
      </w:pPr>
    </w:p>
    <w:p w14:paraId="34C80C29">
      <w:pPr>
        <w:keepNext w:val="0"/>
        <w:keepLines w:val="0"/>
        <w:pageBreakBefore w:val="0"/>
        <w:widowControl w:val="0"/>
        <w:shd w:val="clear"/>
        <w:kinsoku/>
        <w:wordWrap/>
        <w:overflowPunct/>
        <w:topLinePunct w:val="0"/>
        <w:bidi w:val="0"/>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keepNext w:val="0"/>
        <w:keepLines w:val="0"/>
        <w:pageBreakBefore w:val="0"/>
        <w:widowControl w:val="0"/>
        <w:shd w:val="clear"/>
        <w:kinsoku/>
        <w:wordWrap/>
        <w:overflowPunct/>
        <w:topLinePunct w:val="0"/>
        <w:bidi w:val="0"/>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keepNext w:val="0"/>
        <w:keepLines w:val="0"/>
        <w:pageBreakBefore w:val="0"/>
        <w:widowControl w:val="0"/>
        <w:shd w:val="clear"/>
        <w:kinsoku/>
        <w:wordWrap/>
        <w:overflowPunct/>
        <w:topLinePunct w:val="0"/>
        <w:bidi w:val="0"/>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陕西省水利工程质量安全中心</w:t>
      </w:r>
      <w:r>
        <w:rPr>
          <w:rFonts w:hint="eastAsia" w:ascii="宋体" w:hAnsi="宋体" w:eastAsia="宋体" w:cs="宋体"/>
          <w:color w:val="auto"/>
          <w:spacing w:val="4"/>
          <w:sz w:val="21"/>
          <w:szCs w:val="21"/>
          <w:highlight w:val="none"/>
          <w:u w:val="single"/>
        </w:rPr>
        <w:t>/</w:t>
      </w:r>
      <w:r>
        <w:rPr>
          <w:rFonts w:hint="eastAsia" w:cs="宋体"/>
          <w:color w:val="auto"/>
          <w:spacing w:val="4"/>
          <w:sz w:val="21"/>
          <w:szCs w:val="21"/>
          <w:highlight w:val="none"/>
          <w:u w:val="single"/>
          <w:lang w:eastAsia="zh-CN"/>
        </w:rPr>
        <w:t>西安市安居工程咨询有限公司</w:t>
      </w:r>
      <w:r>
        <w:rPr>
          <w:rFonts w:hint="eastAsia" w:ascii="宋体" w:hAnsi="宋体" w:eastAsia="宋体" w:cs="宋体"/>
          <w:color w:val="auto"/>
          <w:spacing w:val="4"/>
          <w:sz w:val="21"/>
          <w:szCs w:val="21"/>
          <w:highlight w:val="none"/>
          <w:u w:val="single"/>
        </w:rPr>
        <w:t xml:space="preserve">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包号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79E85EA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p>
    <w:tbl>
      <w:tblPr>
        <w:tblStyle w:val="5"/>
        <w:tblW w:w="0" w:type="auto"/>
        <w:jc w:val="center"/>
        <w:tblLayout w:type="fixed"/>
        <w:tblCellMar>
          <w:top w:w="0" w:type="dxa"/>
          <w:left w:w="108" w:type="dxa"/>
          <w:bottom w:w="0" w:type="dxa"/>
          <w:right w:w="108" w:type="dxa"/>
        </w:tblCellMar>
      </w:tblPr>
      <w:tblGrid>
        <w:gridCol w:w="4216"/>
        <w:gridCol w:w="4083"/>
      </w:tblGrid>
      <w:tr w14:paraId="7006B12F">
        <w:tblPrEx>
          <w:tblCellMar>
            <w:top w:w="0" w:type="dxa"/>
            <w:left w:w="108" w:type="dxa"/>
            <w:bottom w:w="0" w:type="dxa"/>
            <w:right w:w="108" w:type="dxa"/>
          </w:tblCellMar>
        </w:tblPrEx>
        <w:trPr>
          <w:trHeight w:val="1802" w:hRule="atLeast"/>
          <w:jc w:val="center"/>
        </w:trPr>
        <w:tc>
          <w:tcPr>
            <w:tcW w:w="4216"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083"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r w14:paraId="7B41EE3E">
        <w:trPr>
          <w:trHeight w:val="1813" w:hRule="atLeast"/>
          <w:jc w:val="center"/>
        </w:trPr>
        <w:tc>
          <w:tcPr>
            <w:tcW w:w="4216" w:type="dxa"/>
            <w:tcBorders>
              <w:top w:val="single" w:color="auto" w:sz="6" w:space="0"/>
              <w:left w:val="single" w:color="auto" w:sz="6" w:space="0"/>
              <w:bottom w:val="single" w:color="auto" w:sz="6" w:space="0"/>
              <w:right w:val="single" w:color="auto" w:sz="6" w:space="0"/>
            </w:tcBorders>
            <w:noWrap w:val="0"/>
            <w:vAlign w:val="center"/>
          </w:tcPr>
          <w:p w14:paraId="25C9741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p>
        </w:tc>
        <w:tc>
          <w:tcPr>
            <w:tcW w:w="4083" w:type="dxa"/>
            <w:tcBorders>
              <w:top w:val="single" w:color="auto" w:sz="6" w:space="0"/>
              <w:left w:val="single" w:color="auto" w:sz="6" w:space="0"/>
              <w:bottom w:val="single" w:color="auto" w:sz="6" w:space="0"/>
              <w:right w:val="single" w:color="auto" w:sz="6" w:space="0"/>
            </w:tcBorders>
            <w:noWrap w:val="0"/>
            <w:vAlign w:val="center"/>
          </w:tcPr>
          <w:p w14:paraId="2052387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p>
        </w:tc>
      </w:tr>
    </w:tbl>
    <w:p w14:paraId="5D601400">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3D3DD0C">
      <w:pPr>
        <w:keepNext w:val="0"/>
        <w:keepLines w:val="0"/>
        <w:pageBreakBefore w:val="0"/>
        <w:widowControl w:val="0"/>
        <w:shd w:val="clear"/>
        <w:kinsoku/>
        <w:wordWrap/>
        <w:overflowPunct/>
        <w:topLinePunct w:val="0"/>
        <w:bidi w:val="0"/>
        <w:rPr>
          <w:rFonts w:hint="eastAsia" w:ascii="宋体" w:hAnsi="宋体" w:eastAsia="宋体" w:cs="宋体"/>
          <w:b/>
          <w:bCs/>
          <w:color w:val="auto"/>
          <w:szCs w:val="24"/>
          <w:highlight w:val="none"/>
        </w:rPr>
        <w:sectPr>
          <w:pgSz w:w="11906" w:h="16838"/>
          <w:pgMar w:top="1440" w:right="1080" w:bottom="1440" w:left="1080" w:header="851" w:footer="992" w:gutter="0"/>
          <w:cols w:space="720" w:num="1"/>
          <w:docGrid w:type="lines" w:linePitch="312" w:charSpace="0"/>
        </w:sectPr>
      </w:pPr>
      <w:r>
        <w:rPr>
          <w:rFonts w:hint="eastAsia" w:ascii="宋体" w:hAnsi="宋体" w:eastAsia="宋体" w:cs="宋体"/>
          <w:b/>
          <w:bCs/>
          <w:color w:val="auto"/>
          <w:highlight w:val="none"/>
          <w:lang w:val="zh-CN"/>
        </w:rPr>
        <w:br w:type="page"/>
      </w:r>
    </w:p>
    <w:p w14:paraId="68D801DE">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cs="宋体"/>
          <w:b/>
          <w:bCs/>
          <w:color w:val="auto"/>
          <w:sz w:val="24"/>
          <w:szCs w:val="24"/>
          <w:highlight w:val="none"/>
          <w:lang w:val="en-US" w:eastAsia="zh-CN"/>
        </w:rPr>
        <w:t>附件4</w:t>
      </w: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包号</w:t>
      </w:r>
      <w:r>
        <w:rPr>
          <w:rFonts w:hint="eastAsia" w:ascii="宋体" w:hAnsi="宋体" w:eastAsia="宋体" w:cs="宋体"/>
          <w:color w:val="auto"/>
          <w:sz w:val="21"/>
          <w:szCs w:val="16"/>
          <w:highlight w:val="none"/>
          <w:u w:val="single"/>
        </w:rPr>
        <w:t xml:space="preserve">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keepNext w:val="0"/>
        <w:keepLines w:val="0"/>
        <w:pageBreakBefore w:val="0"/>
        <w:widowControl w:val="0"/>
        <w:shd w:val="clear"/>
        <w:kinsoku/>
        <w:wordWrap/>
        <w:overflowPunct/>
        <w:topLinePunct w:val="0"/>
        <w:bidi w:val="0"/>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7DB1647">
      <w:pPr>
        <w:keepNext w:val="0"/>
        <w:keepLines w:val="0"/>
        <w:pageBreakBefore w:val="0"/>
        <w:widowControl w:val="0"/>
        <w:shd w:val="clear"/>
        <w:kinsoku/>
        <w:wordWrap/>
        <w:overflowPunct/>
        <w:topLinePunct w:val="0"/>
        <w:bidi w:val="0"/>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keepNext w:val="0"/>
        <w:keepLines w:val="0"/>
        <w:pageBreakBefore w:val="0"/>
        <w:widowControl w:val="0"/>
        <w:shd w:val="clear"/>
        <w:kinsoku/>
        <w:wordWrap/>
        <w:overflowPunct/>
        <w:topLinePunct w:val="0"/>
        <w:bidi w:val="0"/>
        <w:spacing w:line="360" w:lineRule="auto"/>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56CF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4F21BA"/>
    <w:rsid w:val="23BC770E"/>
    <w:rsid w:val="28EB6522"/>
    <w:rsid w:val="2B3B360F"/>
    <w:rsid w:val="31A435D3"/>
    <w:rsid w:val="488E0DCA"/>
    <w:rsid w:val="4B4E2244"/>
    <w:rsid w:val="5BBB0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 w:type="paragraph" w:customStyle="1" w:styleId="7">
    <w:name w:val="Char1"/>
    <w:basedOn w:val="1"/>
    <w:autoRedefine/>
    <w:qFormat/>
    <w:uiPriority w:val="0"/>
    <w:pPr>
      <w:tabs>
        <w:tab w:val="left" w:pos="360"/>
      </w:tabs>
      <w:ind w:left="360" w:hanging="360" w:hangingChars="200"/>
    </w:pPr>
    <w:rPr>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1641</Words>
  <Characters>1718</Characters>
  <Lines>0</Lines>
  <Paragraphs>0</Paragraphs>
  <TotalTime>0</TotalTime>
  <ScaleCrop>false</ScaleCrop>
  <LinksUpToDate>false</LinksUpToDate>
  <CharactersWithSpaces>1940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2025-10-09T12:09:00Z</dcterms:created>
  <dc:creator>Administrator</dc:creator>
  <cp:lastModifiedBy>Dear.  Tao</cp:lastModifiedBy>
  <dcterms:modified xsi:type="dcterms:W3CDTF">2026-05-17T06:25:35Z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eyJoZGlkIjoiZjQzMmM5YjdjZGY2NzZlYWFjZmRjMjQ2OTJiNzg4ZmQiLCJ1c2VySWQiOiIxMDMxMTI0MjIxIn0=</vt:lpwstr>
  </property>
  <property fmtid="{D5CDD505-2E9C-101B-9397-08002B2CF9AE}" pid="4" name="ICV">
    <vt:lpwstr>4A6513DF591A45AF8182C175AA19FBDE_12</vt:lpwstr>
  </property>
</Properties>
</file>