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3BFB94">
      <w:pPr>
        <w:widowControl/>
        <w:jc w:val="center"/>
        <w:rPr>
          <w:rFonts w:hint="eastAsia" w:ascii="方正小标宋简体" w:hAnsi="方正小标宋简体" w:eastAsia="方正小标宋简体" w:cs="方正小标宋简体"/>
          <w:bCs/>
          <w:sz w:val="36"/>
          <w:szCs w:val="36"/>
        </w:rPr>
      </w:pPr>
      <w:r>
        <w:rPr>
          <w:rFonts w:hint="eastAsia" w:ascii="方正小标宋简体" w:hAnsi="方正小标宋简体" w:eastAsia="方正小标宋简体" w:cs="方正小标宋简体"/>
          <w:bCs/>
          <w:sz w:val="36"/>
          <w:szCs w:val="36"/>
        </w:rPr>
        <w:t>西安市阎良区西飞第一中学安保服务项目</w:t>
      </w:r>
    </w:p>
    <w:p w14:paraId="7A08D39A">
      <w:pPr>
        <w:widowControl/>
        <w:jc w:val="center"/>
        <w:rPr>
          <w:rFonts w:hint="eastAsia" w:ascii="方正小标宋简体" w:hAnsi="方正小标宋简体" w:eastAsia="方正小标宋简体" w:cs="方正小标宋简体"/>
          <w:bCs/>
          <w:sz w:val="36"/>
          <w:szCs w:val="36"/>
        </w:rPr>
      </w:pPr>
      <w:r>
        <w:rPr>
          <w:rFonts w:hint="eastAsia" w:ascii="方正小标宋简体" w:hAnsi="方正小标宋简体" w:eastAsia="方正小标宋简体" w:cs="方正小标宋简体"/>
          <w:bCs/>
          <w:sz w:val="36"/>
          <w:szCs w:val="36"/>
        </w:rPr>
        <w:t>政府采购需求书（服务类）</w:t>
      </w:r>
    </w:p>
    <w:tbl>
      <w:tblPr>
        <w:tblStyle w:val="9"/>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9"/>
        <w:gridCol w:w="1556"/>
        <w:gridCol w:w="7067"/>
      </w:tblGrid>
      <w:tr w14:paraId="0FA39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16186DC7">
            <w:pPr>
              <w:snapToGrid w:val="0"/>
              <w:jc w:val="center"/>
              <w:rPr>
                <w:rFonts w:hint="eastAsia" w:ascii="宋体" w:hAnsi="宋体"/>
                <w:b/>
                <w:sz w:val="24"/>
              </w:rPr>
            </w:pPr>
            <w:r>
              <w:rPr>
                <w:rFonts w:hint="eastAsia" w:ascii="宋体" w:hAnsi="宋体"/>
                <w:b/>
                <w:sz w:val="28"/>
                <w:szCs w:val="28"/>
                <w:lang w:val="zh-CN"/>
              </w:rPr>
              <w:t>序号</w:t>
            </w:r>
          </w:p>
        </w:tc>
        <w:tc>
          <w:tcPr>
            <w:tcW w:w="1556" w:type="dxa"/>
            <w:vAlign w:val="center"/>
          </w:tcPr>
          <w:p w14:paraId="4710627B">
            <w:pPr>
              <w:pStyle w:val="32"/>
              <w:ind w:left="38"/>
              <w:jc w:val="center"/>
              <w:rPr>
                <w:rFonts w:hint="eastAsia"/>
                <w:b/>
                <w:kern w:val="2"/>
                <w:lang w:val="zh-CN"/>
              </w:rPr>
            </w:pPr>
            <w:r>
              <w:rPr>
                <w:rFonts w:hint="eastAsia"/>
                <w:b/>
                <w:kern w:val="2"/>
                <w:sz w:val="28"/>
                <w:szCs w:val="28"/>
                <w:lang w:val="zh-CN"/>
              </w:rPr>
              <w:t>关键事项</w:t>
            </w:r>
          </w:p>
        </w:tc>
        <w:tc>
          <w:tcPr>
            <w:tcW w:w="7067" w:type="dxa"/>
            <w:vAlign w:val="center"/>
          </w:tcPr>
          <w:p w14:paraId="5FA5ECFF">
            <w:pPr>
              <w:pStyle w:val="32"/>
              <w:jc w:val="center"/>
              <w:rPr>
                <w:rFonts w:hint="eastAsia"/>
                <w:b/>
                <w:kern w:val="2"/>
                <w:lang w:val="zh-CN"/>
              </w:rPr>
            </w:pPr>
            <w:r>
              <w:rPr>
                <w:rFonts w:hint="eastAsia"/>
                <w:b/>
                <w:kern w:val="2"/>
                <w:sz w:val="28"/>
                <w:szCs w:val="28"/>
                <w:lang w:val="zh-CN"/>
              </w:rPr>
              <w:t>说明和要求</w:t>
            </w:r>
          </w:p>
        </w:tc>
      </w:tr>
      <w:tr w14:paraId="7C108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177E877F">
            <w:pPr>
              <w:snapToGrid w:val="0"/>
              <w:spacing w:after="200"/>
              <w:jc w:val="center"/>
              <w:rPr>
                <w:rFonts w:hint="eastAsia" w:ascii="宋体" w:hAnsi="宋体"/>
                <w:sz w:val="28"/>
                <w:szCs w:val="28"/>
                <w:lang w:val="zh-CN"/>
              </w:rPr>
            </w:pPr>
            <w:r>
              <w:rPr>
                <w:rFonts w:ascii="宋体" w:hAnsi="宋体"/>
                <w:sz w:val="28"/>
                <w:szCs w:val="28"/>
                <w:lang w:val="zh-CN"/>
              </w:rPr>
              <w:t>1</w:t>
            </w:r>
          </w:p>
        </w:tc>
        <w:tc>
          <w:tcPr>
            <w:tcW w:w="1556" w:type="dxa"/>
            <w:vAlign w:val="center"/>
          </w:tcPr>
          <w:p w14:paraId="1B212A68">
            <w:pPr>
              <w:pStyle w:val="32"/>
              <w:ind w:left="38"/>
              <w:jc w:val="center"/>
              <w:rPr>
                <w:rFonts w:hint="eastAsia"/>
                <w:kern w:val="2"/>
                <w:lang w:val="zh-CN"/>
              </w:rPr>
            </w:pPr>
            <w:r>
              <w:rPr>
                <w:rFonts w:hint="eastAsia"/>
                <w:kern w:val="2"/>
                <w:lang w:val="zh-CN"/>
              </w:rPr>
              <w:t>采购预算</w:t>
            </w:r>
          </w:p>
        </w:tc>
        <w:tc>
          <w:tcPr>
            <w:tcW w:w="7067" w:type="dxa"/>
            <w:vAlign w:val="center"/>
          </w:tcPr>
          <w:p w14:paraId="30B24FD0">
            <w:pPr>
              <w:pStyle w:val="32"/>
              <w:jc w:val="both"/>
              <w:rPr>
                <w:rFonts w:hint="eastAsia"/>
                <w:b/>
                <w:kern w:val="2"/>
                <w:lang w:val="zh-CN"/>
              </w:rPr>
            </w:pPr>
            <w:r>
              <w:rPr>
                <w:rFonts w:hint="eastAsia"/>
                <w:b/>
                <w:kern w:val="2"/>
                <w:lang w:val="zh-CN"/>
              </w:rPr>
              <w:t>人民币</w:t>
            </w:r>
            <w:r>
              <w:rPr>
                <w:rFonts w:hint="eastAsia"/>
                <w:b/>
                <w:kern w:val="2"/>
                <w:u w:val="single"/>
              </w:rPr>
              <w:t xml:space="preserve"> </w:t>
            </w:r>
            <w:r>
              <w:rPr>
                <w:rFonts w:hint="eastAsia"/>
                <w:b/>
                <w:kern w:val="2"/>
                <w:u w:val="single"/>
                <w:lang w:val="en-US" w:eastAsia="zh-CN"/>
              </w:rPr>
              <w:t>497352</w:t>
            </w:r>
            <w:r>
              <w:rPr>
                <w:rFonts w:hint="eastAsia"/>
                <w:b/>
                <w:kern w:val="2"/>
                <w:u w:val="single"/>
              </w:rPr>
              <w:t xml:space="preserve"> </w:t>
            </w:r>
            <w:r>
              <w:rPr>
                <w:rFonts w:hint="eastAsia"/>
                <w:b/>
                <w:kern w:val="2"/>
                <w:lang w:val="zh-CN"/>
              </w:rPr>
              <w:t>元</w:t>
            </w:r>
          </w:p>
          <w:p w14:paraId="459C91BC">
            <w:pPr>
              <w:pStyle w:val="32"/>
              <w:jc w:val="both"/>
              <w:rPr>
                <w:rFonts w:hint="eastAsia"/>
                <w:b/>
                <w:kern w:val="2"/>
                <w:lang w:val="zh-CN"/>
              </w:rPr>
            </w:pPr>
            <w:r>
              <w:rPr>
                <w:rFonts w:hint="eastAsia"/>
                <w:kern w:val="2"/>
                <w:sz w:val="21"/>
                <w:szCs w:val="21"/>
                <w:lang w:val="zh-CN"/>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11273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6C1FC261">
            <w:pPr>
              <w:snapToGrid w:val="0"/>
              <w:spacing w:after="200"/>
              <w:jc w:val="center"/>
              <w:rPr>
                <w:rFonts w:hint="eastAsia" w:ascii="宋体" w:hAnsi="宋体"/>
                <w:sz w:val="28"/>
                <w:szCs w:val="28"/>
                <w:lang w:val="zh-CN"/>
              </w:rPr>
            </w:pPr>
            <w:r>
              <w:rPr>
                <w:rFonts w:ascii="宋体" w:hAnsi="宋体"/>
                <w:sz w:val="28"/>
                <w:szCs w:val="28"/>
                <w:lang w:val="zh-CN"/>
              </w:rPr>
              <w:t>2</w:t>
            </w:r>
          </w:p>
        </w:tc>
        <w:tc>
          <w:tcPr>
            <w:tcW w:w="1556" w:type="dxa"/>
            <w:vAlign w:val="center"/>
          </w:tcPr>
          <w:p w14:paraId="1E26524E">
            <w:pPr>
              <w:pStyle w:val="32"/>
              <w:ind w:left="38"/>
              <w:jc w:val="center"/>
              <w:rPr>
                <w:rFonts w:hint="eastAsia"/>
                <w:kern w:val="2"/>
                <w:lang w:val="zh-CN"/>
              </w:rPr>
            </w:pPr>
            <w:r>
              <w:rPr>
                <w:rFonts w:hint="eastAsia"/>
                <w:kern w:val="2"/>
                <w:lang w:val="zh-CN"/>
              </w:rPr>
              <w:t>最高限价</w:t>
            </w:r>
          </w:p>
        </w:tc>
        <w:tc>
          <w:tcPr>
            <w:tcW w:w="7067" w:type="dxa"/>
            <w:vAlign w:val="center"/>
          </w:tcPr>
          <w:p w14:paraId="38D4BC19">
            <w:pPr>
              <w:pStyle w:val="32"/>
              <w:jc w:val="both"/>
              <w:rPr>
                <w:rFonts w:hint="eastAsia"/>
                <w:b/>
                <w:kern w:val="2"/>
                <w:lang w:val="zh-CN"/>
              </w:rPr>
            </w:pPr>
            <w:r>
              <w:rPr>
                <w:rFonts w:hint="eastAsia"/>
                <w:b/>
                <w:kern w:val="2"/>
                <w:lang w:val="zh-CN"/>
              </w:rPr>
              <w:t>人民币</w:t>
            </w:r>
            <w:r>
              <w:rPr>
                <w:rFonts w:hint="eastAsia"/>
                <w:b/>
                <w:kern w:val="2"/>
                <w:u w:val="single"/>
              </w:rPr>
              <w:t xml:space="preserve">  </w:t>
            </w:r>
            <w:r>
              <w:rPr>
                <w:rFonts w:hint="eastAsia"/>
                <w:b/>
                <w:kern w:val="2"/>
                <w:u w:val="single"/>
                <w:lang w:val="en-US" w:eastAsia="zh-CN"/>
              </w:rPr>
              <w:t>497352</w:t>
            </w:r>
            <w:r>
              <w:rPr>
                <w:rFonts w:hint="eastAsia"/>
                <w:b/>
                <w:kern w:val="2"/>
                <w:u w:val="single"/>
              </w:rPr>
              <w:t xml:space="preserve"> </w:t>
            </w:r>
            <w:r>
              <w:rPr>
                <w:rFonts w:hint="eastAsia"/>
                <w:b/>
                <w:kern w:val="2"/>
                <w:lang w:val="zh-CN"/>
              </w:rPr>
              <w:t>元</w:t>
            </w:r>
          </w:p>
          <w:p w14:paraId="7E74596C">
            <w:pPr>
              <w:pStyle w:val="32"/>
              <w:ind w:left="38"/>
              <w:jc w:val="both"/>
              <w:rPr>
                <w:rFonts w:hint="eastAsia"/>
                <w:b/>
                <w:kern w:val="2"/>
                <w:lang w:val="zh-CN"/>
              </w:rPr>
            </w:pPr>
            <w:r>
              <w:rPr>
                <w:rFonts w:hint="eastAsia"/>
                <w:kern w:val="2"/>
                <w:sz w:val="21"/>
                <w:szCs w:val="21"/>
                <w:lang w:val="zh-CN"/>
              </w:rPr>
              <w:t>供应商投标报价高于最高限价的则其投标文件将按无效投标文件处理。</w:t>
            </w:r>
          </w:p>
        </w:tc>
      </w:tr>
      <w:tr w14:paraId="11BC5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65EFC200">
            <w:pPr>
              <w:snapToGrid w:val="0"/>
              <w:spacing w:after="200"/>
              <w:jc w:val="center"/>
              <w:rPr>
                <w:rFonts w:hint="eastAsia" w:ascii="宋体" w:hAnsi="宋体"/>
                <w:sz w:val="28"/>
                <w:szCs w:val="28"/>
                <w:lang w:val="zh-CN"/>
              </w:rPr>
            </w:pPr>
            <w:r>
              <w:rPr>
                <w:rFonts w:ascii="宋体" w:hAnsi="宋体"/>
                <w:sz w:val="28"/>
                <w:szCs w:val="28"/>
                <w:lang w:val="zh-CN"/>
              </w:rPr>
              <w:t>3</w:t>
            </w:r>
          </w:p>
        </w:tc>
        <w:tc>
          <w:tcPr>
            <w:tcW w:w="1556" w:type="dxa"/>
            <w:vMerge w:val="restart"/>
            <w:vAlign w:val="center"/>
          </w:tcPr>
          <w:p w14:paraId="1B59B40B">
            <w:pPr>
              <w:pStyle w:val="32"/>
              <w:ind w:left="38"/>
              <w:jc w:val="center"/>
              <w:rPr>
                <w:rFonts w:hint="eastAsia"/>
                <w:kern w:val="2"/>
                <w:lang w:val="zh-CN"/>
              </w:rPr>
            </w:pPr>
            <w:r>
              <w:rPr>
                <w:rFonts w:hint="eastAsia"/>
                <w:kern w:val="2"/>
                <w:lang w:val="zh-CN"/>
              </w:rPr>
              <w:t>项目性质</w:t>
            </w:r>
          </w:p>
        </w:tc>
        <w:tc>
          <w:tcPr>
            <w:tcW w:w="7067" w:type="dxa"/>
            <w:vAlign w:val="center"/>
          </w:tcPr>
          <w:p w14:paraId="172D7D0C">
            <w:pPr>
              <w:pStyle w:val="32"/>
              <w:jc w:val="both"/>
              <w:rPr>
                <w:rFonts w:hint="eastAsia"/>
                <w:b/>
                <w:kern w:val="2"/>
                <w:lang w:val="zh-CN"/>
              </w:rPr>
            </w:pPr>
            <w:r>
              <w:rPr>
                <w:rFonts w:hint="eastAsia"/>
                <w:b/>
                <w:kern w:val="2"/>
                <w:lang w:val="zh-CN"/>
              </w:rPr>
              <w:t>●专门面向中小企业采购</w:t>
            </w:r>
          </w:p>
          <w:p w14:paraId="053C28E1">
            <w:pPr>
              <w:pStyle w:val="32"/>
              <w:ind w:left="38"/>
              <w:jc w:val="both"/>
              <w:rPr>
                <w:rFonts w:hint="eastAsia"/>
                <w:b/>
                <w:kern w:val="2"/>
                <w:lang w:val="zh-CN"/>
              </w:rPr>
            </w:pPr>
            <w:r>
              <w:rPr>
                <w:rFonts w:hint="eastAsia"/>
                <w:kern w:val="2"/>
                <w:sz w:val="21"/>
                <w:szCs w:val="21"/>
                <w:lang w:val="zh-CN"/>
              </w:rPr>
              <w:t>仅允许中小企业或小型、微型企业参与投标。</w:t>
            </w:r>
          </w:p>
        </w:tc>
      </w:tr>
      <w:tr w14:paraId="2839B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1B35CE3B">
            <w:pPr>
              <w:snapToGrid w:val="0"/>
              <w:spacing w:after="200"/>
              <w:ind w:left="142"/>
              <w:jc w:val="center"/>
              <w:rPr>
                <w:rFonts w:hint="eastAsia" w:ascii="宋体" w:hAnsi="宋体"/>
                <w:b/>
                <w:sz w:val="28"/>
                <w:szCs w:val="28"/>
                <w:lang w:val="zh-CN"/>
              </w:rPr>
            </w:pPr>
          </w:p>
        </w:tc>
        <w:tc>
          <w:tcPr>
            <w:tcW w:w="1556" w:type="dxa"/>
            <w:vMerge w:val="continue"/>
            <w:vAlign w:val="center"/>
          </w:tcPr>
          <w:p w14:paraId="6FA7EBF5">
            <w:pPr>
              <w:pStyle w:val="32"/>
              <w:ind w:left="96"/>
              <w:jc w:val="center"/>
              <w:rPr>
                <w:rFonts w:hint="eastAsia"/>
                <w:kern w:val="2"/>
                <w:lang w:val="zh-CN"/>
              </w:rPr>
            </w:pPr>
          </w:p>
        </w:tc>
        <w:tc>
          <w:tcPr>
            <w:tcW w:w="7067" w:type="dxa"/>
            <w:vAlign w:val="center"/>
          </w:tcPr>
          <w:p w14:paraId="1BC55B88">
            <w:pPr>
              <w:rPr>
                <w:rFonts w:hint="eastAsia" w:ascii="宋体" w:hAnsi="宋体" w:cs="宋体"/>
                <w:b/>
                <w:sz w:val="24"/>
                <w:szCs w:val="24"/>
                <w:lang w:val="zh-CN"/>
              </w:rPr>
            </w:pPr>
            <w:r>
              <w:rPr>
                <w:rFonts w:ascii="宋体" w:hAnsi="宋体" w:cs="宋体"/>
                <w:b/>
                <w:sz w:val="24"/>
                <w:szCs w:val="24"/>
                <w:lang w:val="zh-CN"/>
              </w:rPr>
              <w:t>○</w:t>
            </w:r>
            <w:r>
              <w:rPr>
                <w:rFonts w:hint="eastAsia" w:ascii="宋体" w:hAnsi="宋体" w:cs="宋体"/>
                <w:b/>
                <w:sz w:val="24"/>
                <w:szCs w:val="24"/>
                <w:lang w:val="zh-CN"/>
              </w:rPr>
              <w:t>非专门面向中小企业采购</w:t>
            </w:r>
          </w:p>
          <w:p w14:paraId="6D1A7D24">
            <w:pPr>
              <w:ind w:right="94" w:rightChars="45"/>
              <w:rPr>
                <w:rFonts w:hint="eastAsia" w:ascii="宋体" w:hAnsi="宋体"/>
                <w:b/>
                <w:szCs w:val="21"/>
              </w:rPr>
            </w:pPr>
            <w:r>
              <w:rPr>
                <w:rFonts w:hint="eastAsia" w:ascii="宋体" w:hAnsi="宋体" w:cs="宋体"/>
                <w:bCs/>
                <w:kern w:val="0"/>
                <w:szCs w:val="21"/>
                <w:lang w:val="zh-CN"/>
              </w:rPr>
              <w:t>对符合《财政部关于进一步加大政府采购支持中小企业力度的通知》（财库〔2022〕19号）规定的小微企业（监狱企业视同小型、微型企业）的报价</w:t>
            </w:r>
            <w:r>
              <w:rPr>
                <w:rFonts w:hint="eastAsia" w:ascii="宋体" w:hAnsi="宋体" w:cs="宋体"/>
                <w:b/>
                <w:kern w:val="0"/>
                <w:szCs w:val="21"/>
                <w:lang w:val="zh-CN"/>
              </w:rPr>
              <w:t>给予___%（10%-20</w:t>
            </w:r>
            <w:r>
              <w:rPr>
                <w:rFonts w:ascii="宋体" w:hAnsi="宋体" w:cs="宋体"/>
                <w:b/>
                <w:kern w:val="0"/>
                <w:szCs w:val="21"/>
                <w:lang w:val="zh-CN"/>
              </w:rPr>
              <w:t>%</w:t>
            </w:r>
            <w:r>
              <w:rPr>
                <w:rFonts w:hint="eastAsia" w:ascii="宋体" w:hAnsi="宋体" w:cs="宋体"/>
                <w:b/>
                <w:kern w:val="0"/>
                <w:szCs w:val="21"/>
                <w:lang w:val="zh-CN"/>
              </w:rPr>
              <w:t>）的扣除</w:t>
            </w:r>
            <w:r>
              <w:rPr>
                <w:rFonts w:hint="eastAsia" w:ascii="宋体" w:hAnsi="宋体" w:cs="宋体"/>
                <w:bCs/>
                <w:kern w:val="0"/>
                <w:szCs w:val="21"/>
                <w:lang w:val="zh-CN"/>
              </w:rPr>
              <w:t>，用扣除后的价格参加评审。</w:t>
            </w:r>
          </w:p>
        </w:tc>
      </w:tr>
      <w:tr w14:paraId="2738F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3C00EB85">
            <w:pPr>
              <w:snapToGrid w:val="0"/>
              <w:spacing w:after="200"/>
              <w:jc w:val="center"/>
              <w:rPr>
                <w:rFonts w:hint="eastAsia" w:ascii="宋体" w:hAnsi="宋体"/>
                <w:sz w:val="24"/>
              </w:rPr>
            </w:pPr>
            <w:r>
              <w:rPr>
                <w:rFonts w:ascii="宋体" w:hAnsi="宋体"/>
                <w:sz w:val="24"/>
              </w:rPr>
              <w:t>4</w:t>
            </w:r>
          </w:p>
        </w:tc>
        <w:tc>
          <w:tcPr>
            <w:tcW w:w="1556" w:type="dxa"/>
            <w:vAlign w:val="center"/>
          </w:tcPr>
          <w:p w14:paraId="22AC8641">
            <w:pPr>
              <w:pStyle w:val="32"/>
              <w:ind w:left="96"/>
              <w:jc w:val="center"/>
              <w:rPr>
                <w:rFonts w:hint="eastAsia"/>
                <w:kern w:val="2"/>
                <w:lang w:val="zh-CN"/>
              </w:rPr>
            </w:pPr>
            <w:r>
              <w:rPr>
                <w:kern w:val="2"/>
                <w:lang w:val="zh-CN"/>
              </w:rPr>
              <w:t>对供应商的</w:t>
            </w:r>
            <w:r>
              <w:rPr>
                <w:kern w:val="2"/>
                <w:lang w:val="zh-CN"/>
              </w:rPr>
              <w:br w:type="textWrapping"/>
            </w:r>
            <w:r>
              <w:rPr>
                <w:kern w:val="2"/>
                <w:lang w:val="zh-CN"/>
              </w:rPr>
              <w:t>资格要求</w:t>
            </w:r>
          </w:p>
        </w:tc>
        <w:tc>
          <w:tcPr>
            <w:tcW w:w="7067" w:type="dxa"/>
            <w:vAlign w:val="center"/>
          </w:tcPr>
          <w:p w14:paraId="2E68FAA3">
            <w:pPr>
              <w:pStyle w:val="40"/>
              <w:spacing w:line="360" w:lineRule="auto"/>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1、营业执照或其他要求：具有独立承担民事责任能力的法人、其他组织或自然人，提供合法有效年报合格的统一社会信用代码营业执照或事业单位法人证书等国家规定的相关证明，自然人参与的提供其身份证明；</w:t>
            </w:r>
          </w:p>
          <w:p w14:paraId="2F81EDF2">
            <w:pPr>
              <w:pStyle w:val="40"/>
              <w:spacing w:line="360" w:lineRule="auto"/>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2、授权委托要求：法定代表人参加投标只须提供法定代表人身份证明书（附法定代表人身份证复印件或扫描件）；被授权人参加投标只须提供法定代表人授权委托书（附法定代表人、被授权人身份证复印件或扫描件）；</w:t>
            </w:r>
          </w:p>
          <w:p w14:paraId="09362653">
            <w:pPr>
              <w:pStyle w:val="40"/>
              <w:spacing w:line="360" w:lineRule="auto"/>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3、供应商特定资格要求：提供公安机关颁发的《保安服务许可证》；陕西省外供应商还须出具承诺书（承诺书形式不限），承诺自承接本项目之日起30日内向采购人所在地区的市级人民政府公安机关备案；</w:t>
            </w:r>
          </w:p>
          <w:p w14:paraId="36BE7CC3">
            <w:pPr>
              <w:pStyle w:val="40"/>
              <w:spacing w:line="360" w:lineRule="auto"/>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4、财务状况要求：提供开标前近三个月内基本开户银行开具的资信证明或提供2025年经审计的财务报告（财务报告须符合《财政部关于注册会计师行业统一监管平台上线运行的通知》财办[2022]32号文件要求，成立时间至提交响应文件截止时间不足一年的可提供成立后任意时段的财务报表）；</w:t>
            </w:r>
          </w:p>
          <w:p w14:paraId="529CC2BA">
            <w:pPr>
              <w:pStyle w:val="40"/>
              <w:spacing w:line="360" w:lineRule="auto"/>
              <w:ind w:firstLine="420" w:firstLineChars="200"/>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5、缴纳税收的要求：提供依法缴纳税收的良好记录（提供响应文件递交截止时间前六个月内任意一个月份的缴纳凭据复印件或扫描件。依法免税或开标前一年内零申报的供应商应提供相关证明文件）；</w:t>
            </w:r>
          </w:p>
          <w:p w14:paraId="3C8D11F9">
            <w:pPr>
              <w:pStyle w:val="40"/>
              <w:spacing w:line="360" w:lineRule="auto"/>
              <w:ind w:firstLine="420" w:firstLineChars="200"/>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6、缴纳社会保障资金的要求：提供依法缴纳社会保障资金的良好记录（提供响应文件递交截止时间前六个月内任意一个月份的缴纳凭据复印件或扫描件。依法不需要缴纳社会保障资金的供应商应提供相关证明文件）；</w:t>
            </w:r>
          </w:p>
          <w:p w14:paraId="6F5AACFB">
            <w:pPr>
              <w:pStyle w:val="40"/>
              <w:spacing w:line="360" w:lineRule="auto"/>
              <w:ind w:firstLine="420" w:firstLineChars="200"/>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7、信誉要求：投标截止日前不得为“信用中国”网站（www.creditchina.gov.cn）中列入失信被执行人、重大税收违法失信主体和政府采购严重违法失信行为记录名单的供应商；不得为“中国政府采购网”（www.ccgp.gov.cn）政府采购严重违法失信行为信息记录名单中被财政部门禁止参加政府采购活动的供应商。（最终以采购代理机构开标现场查询结果为准）；</w:t>
            </w:r>
          </w:p>
          <w:p w14:paraId="5B907CD5">
            <w:pPr>
              <w:pStyle w:val="40"/>
              <w:spacing w:line="360" w:lineRule="auto"/>
              <w:ind w:firstLine="420" w:firstLineChars="200"/>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8、无重大违法记录的要求：提供近三年内在经营活动中无重大违法记录的书面声明；</w:t>
            </w:r>
          </w:p>
          <w:p w14:paraId="6F6372BC">
            <w:pPr>
              <w:pStyle w:val="40"/>
              <w:spacing w:line="360" w:lineRule="auto"/>
              <w:ind w:firstLine="420" w:firstLineChars="200"/>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9、单位负责人为同一人或者存在直接控股、管理关系的不同供应商，不得参加同一合同项下的政府采购活动的要求：提供单位负责人为同一人或者存在直接控股、管理关系的不同供应商，不得参加同一合同项下的政府采购活动的书面声明；</w:t>
            </w:r>
          </w:p>
          <w:p w14:paraId="7CE6672D">
            <w:pPr>
              <w:pStyle w:val="40"/>
              <w:spacing w:line="360" w:lineRule="auto"/>
              <w:ind w:firstLine="420" w:firstLineChars="200"/>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10、具有履行合同所必需的设备和专业技术能力的要求：提供具有履行本合同所必需的设备和专业技术能力的说明及承诺；</w:t>
            </w:r>
          </w:p>
          <w:p w14:paraId="061F1B49">
            <w:pPr>
              <w:pStyle w:val="40"/>
              <w:spacing w:line="360" w:lineRule="auto"/>
              <w:ind w:firstLine="420" w:firstLineChars="200"/>
              <w:rPr>
                <w:kern w:val="2"/>
                <w:lang w:val="zh-CN"/>
              </w:rPr>
            </w:pPr>
            <w:r>
              <w:rPr>
                <w:rFonts w:hint="eastAsia" w:ascii="宋体" w:hAnsi="宋体" w:eastAsia="宋体" w:cs="宋体"/>
                <w:kern w:val="2"/>
                <w:sz w:val="21"/>
                <w:szCs w:val="21"/>
                <w:lang w:val="zh-CN" w:eastAsia="zh-CN" w:bidi="ar-SA"/>
              </w:rPr>
              <w:t>11、面向中小企业采购政策落实情况：本项目专门面向中小企业采购，供应商须提供《中小企业声明函》。</w:t>
            </w:r>
          </w:p>
        </w:tc>
      </w:tr>
      <w:tr w14:paraId="1A151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4A2C1C02">
            <w:pPr>
              <w:snapToGrid w:val="0"/>
              <w:spacing w:after="200"/>
              <w:jc w:val="center"/>
              <w:rPr>
                <w:rFonts w:hint="eastAsia" w:ascii="宋体" w:hAnsi="宋体"/>
                <w:sz w:val="24"/>
              </w:rPr>
            </w:pPr>
            <w:r>
              <w:rPr>
                <w:rFonts w:ascii="宋体" w:hAnsi="宋体"/>
                <w:sz w:val="24"/>
              </w:rPr>
              <w:t>5</w:t>
            </w:r>
          </w:p>
        </w:tc>
        <w:tc>
          <w:tcPr>
            <w:tcW w:w="1556" w:type="dxa"/>
            <w:vMerge w:val="restart"/>
            <w:vAlign w:val="center"/>
          </w:tcPr>
          <w:p w14:paraId="03598E34">
            <w:pPr>
              <w:pStyle w:val="32"/>
              <w:ind w:left="96"/>
              <w:jc w:val="center"/>
              <w:rPr>
                <w:rFonts w:hint="eastAsia"/>
                <w:kern w:val="2"/>
                <w:lang w:val="zh-CN"/>
              </w:rPr>
            </w:pPr>
            <w:r>
              <w:rPr>
                <w:kern w:val="2"/>
                <w:lang w:val="zh-CN"/>
              </w:rPr>
              <w:t>是否</w:t>
            </w:r>
            <w:r>
              <w:rPr>
                <w:rFonts w:hint="eastAsia"/>
                <w:kern w:val="2"/>
                <w:lang w:val="zh-CN"/>
              </w:rPr>
              <w:t>接受</w:t>
            </w:r>
            <w:r>
              <w:rPr>
                <w:kern w:val="2"/>
                <w:lang w:val="zh-CN"/>
              </w:rPr>
              <w:br w:type="textWrapping"/>
            </w:r>
            <w:r>
              <w:rPr>
                <w:kern w:val="2"/>
                <w:lang w:val="zh-CN"/>
              </w:rPr>
              <w:t>联合体投标</w:t>
            </w:r>
          </w:p>
        </w:tc>
        <w:tc>
          <w:tcPr>
            <w:tcW w:w="7067" w:type="dxa"/>
            <w:vAlign w:val="center"/>
          </w:tcPr>
          <w:p w14:paraId="67BC8088">
            <w:pPr>
              <w:pStyle w:val="32"/>
              <w:jc w:val="both"/>
              <w:rPr>
                <w:rFonts w:hint="eastAsia"/>
                <w:b/>
                <w:kern w:val="2"/>
                <w:lang w:val="zh-CN"/>
              </w:rPr>
            </w:pPr>
            <w:r>
              <w:rPr>
                <w:rFonts w:hint="eastAsia"/>
                <w:b/>
                <w:kern w:val="2"/>
                <w:lang w:val="zh-CN"/>
              </w:rPr>
              <w:t>○接受</w:t>
            </w:r>
          </w:p>
          <w:p w14:paraId="28E0ED05">
            <w:pPr>
              <w:pStyle w:val="32"/>
              <w:jc w:val="both"/>
              <w:rPr>
                <w:rFonts w:hint="eastAsia"/>
                <w:b/>
                <w:kern w:val="2"/>
                <w:lang w:val="zh-CN"/>
              </w:rPr>
            </w:pPr>
            <w:r>
              <w:rPr>
                <w:rFonts w:hint="eastAsia"/>
                <w:kern w:val="2"/>
                <w:sz w:val="21"/>
                <w:szCs w:val="21"/>
                <w:lang w:val="zh-CN"/>
              </w:rPr>
              <w:t>对于联合体协议或者分包意向协议约定小微企业的合同份额占到合同总金额30%以上的，对联合体或者大中型企业的报价</w:t>
            </w:r>
            <w:r>
              <w:rPr>
                <w:rFonts w:hint="eastAsia"/>
                <w:b/>
                <w:kern w:val="2"/>
                <w:sz w:val="21"/>
                <w:szCs w:val="21"/>
                <w:lang w:val="zh-CN"/>
              </w:rPr>
              <w:t>给予___%（</w:t>
            </w:r>
            <w:r>
              <w:rPr>
                <w:b/>
                <w:kern w:val="2"/>
                <w:sz w:val="21"/>
                <w:szCs w:val="21"/>
                <w:lang w:val="zh-CN"/>
              </w:rPr>
              <w:t>4%</w:t>
            </w:r>
            <w:r>
              <w:rPr>
                <w:rFonts w:hint="eastAsia"/>
                <w:b/>
                <w:kern w:val="2"/>
                <w:sz w:val="21"/>
                <w:szCs w:val="21"/>
                <w:lang w:val="zh-CN"/>
              </w:rPr>
              <w:t>—</w:t>
            </w:r>
            <w:r>
              <w:rPr>
                <w:b/>
                <w:kern w:val="2"/>
                <w:sz w:val="21"/>
                <w:szCs w:val="21"/>
                <w:lang w:val="zh-CN"/>
              </w:rPr>
              <w:t>6%</w:t>
            </w:r>
            <w:r>
              <w:rPr>
                <w:rFonts w:hint="eastAsia"/>
                <w:b/>
                <w:kern w:val="2"/>
                <w:sz w:val="21"/>
                <w:szCs w:val="21"/>
                <w:lang w:val="zh-CN"/>
              </w:rPr>
              <w:t>）的扣除</w:t>
            </w:r>
            <w:r>
              <w:rPr>
                <w:rFonts w:hint="eastAsia"/>
                <w:kern w:val="2"/>
                <w:sz w:val="21"/>
                <w:szCs w:val="21"/>
                <w:lang w:val="zh-CN"/>
              </w:rPr>
              <w:t>，用扣除后的报价参加评审。</w:t>
            </w:r>
          </w:p>
        </w:tc>
      </w:tr>
      <w:tr w14:paraId="378E7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0C19A122">
            <w:pPr>
              <w:snapToGrid w:val="0"/>
              <w:spacing w:after="200"/>
              <w:ind w:left="142"/>
              <w:jc w:val="center"/>
              <w:rPr>
                <w:rFonts w:hint="eastAsia" w:ascii="宋体" w:hAnsi="宋体"/>
                <w:sz w:val="24"/>
              </w:rPr>
            </w:pPr>
          </w:p>
        </w:tc>
        <w:tc>
          <w:tcPr>
            <w:tcW w:w="1556" w:type="dxa"/>
            <w:vMerge w:val="continue"/>
            <w:vAlign w:val="center"/>
          </w:tcPr>
          <w:p w14:paraId="0E435748">
            <w:pPr>
              <w:pStyle w:val="32"/>
              <w:ind w:left="96"/>
              <w:jc w:val="center"/>
              <w:rPr>
                <w:rFonts w:hint="eastAsia"/>
                <w:kern w:val="2"/>
                <w:lang w:val="zh-CN"/>
              </w:rPr>
            </w:pPr>
          </w:p>
        </w:tc>
        <w:tc>
          <w:tcPr>
            <w:tcW w:w="7067" w:type="dxa"/>
            <w:vAlign w:val="center"/>
          </w:tcPr>
          <w:p w14:paraId="272DC8DA">
            <w:pPr>
              <w:pStyle w:val="32"/>
              <w:jc w:val="both"/>
              <w:rPr>
                <w:rFonts w:hint="eastAsia"/>
                <w:b/>
                <w:kern w:val="2"/>
                <w:lang w:val="zh-CN"/>
              </w:rPr>
            </w:pPr>
            <w:r>
              <w:rPr>
                <w:rFonts w:hint="eastAsia"/>
                <w:b/>
                <w:kern w:val="2"/>
                <w:lang w:val="zh-CN"/>
              </w:rPr>
              <w:t>●不接受</w:t>
            </w:r>
          </w:p>
        </w:tc>
      </w:tr>
      <w:tr w14:paraId="4CDA7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1B6ACB07">
            <w:pPr>
              <w:snapToGrid w:val="0"/>
              <w:spacing w:after="200"/>
              <w:jc w:val="center"/>
              <w:rPr>
                <w:rFonts w:hint="eastAsia" w:ascii="宋体" w:hAnsi="宋体"/>
                <w:sz w:val="24"/>
              </w:rPr>
            </w:pPr>
            <w:r>
              <w:rPr>
                <w:rFonts w:ascii="宋体" w:hAnsi="宋体"/>
                <w:sz w:val="24"/>
              </w:rPr>
              <w:t>6</w:t>
            </w:r>
          </w:p>
        </w:tc>
        <w:tc>
          <w:tcPr>
            <w:tcW w:w="1556" w:type="dxa"/>
            <w:vMerge w:val="restart"/>
            <w:vAlign w:val="center"/>
          </w:tcPr>
          <w:p w14:paraId="7ECE6DA2">
            <w:pPr>
              <w:pStyle w:val="32"/>
              <w:ind w:left="96"/>
              <w:jc w:val="center"/>
              <w:rPr>
                <w:rFonts w:hint="eastAsia"/>
                <w:kern w:val="2"/>
                <w:lang w:val="zh-CN"/>
              </w:rPr>
            </w:pPr>
            <w:r>
              <w:rPr>
                <w:kern w:val="2"/>
                <w:lang w:val="zh-CN"/>
              </w:rPr>
              <w:t>履约保证金</w:t>
            </w:r>
          </w:p>
        </w:tc>
        <w:tc>
          <w:tcPr>
            <w:tcW w:w="7067" w:type="dxa"/>
            <w:vAlign w:val="center"/>
          </w:tcPr>
          <w:p w14:paraId="199B2DD9">
            <w:pPr>
              <w:ind w:right="94" w:rightChars="45"/>
              <w:rPr>
                <w:rFonts w:hint="eastAsia" w:ascii="宋体" w:hAnsi="宋体"/>
                <w:bCs/>
                <w:sz w:val="24"/>
              </w:rPr>
            </w:pPr>
            <w:r>
              <w:rPr>
                <w:rFonts w:ascii="宋体" w:hAnsi="宋体"/>
                <w:bCs/>
                <w:sz w:val="24"/>
              </w:rPr>
              <w:t>占政府采购合同金额的</w:t>
            </w:r>
            <w:r>
              <w:rPr>
                <w:rFonts w:hint="eastAsia" w:ascii="宋体" w:hAnsi="宋体"/>
                <w:bCs/>
                <w:sz w:val="24"/>
                <w:u w:val="single"/>
              </w:rPr>
              <w:t xml:space="preserve"> / </w:t>
            </w:r>
            <w:r>
              <w:rPr>
                <w:rFonts w:hint="eastAsia" w:ascii="宋体" w:hAnsi="宋体"/>
                <w:bCs/>
                <w:sz w:val="24"/>
              </w:rPr>
              <w:t>%</w:t>
            </w:r>
          </w:p>
          <w:p w14:paraId="3B8B1129">
            <w:pPr>
              <w:ind w:right="94" w:rightChars="45"/>
              <w:rPr>
                <w:rFonts w:hint="eastAsia" w:ascii="宋体" w:hAnsi="宋体"/>
                <w:szCs w:val="21"/>
              </w:rPr>
            </w:pPr>
            <w:r>
              <w:rPr>
                <w:rFonts w:hint="eastAsia" w:ascii="宋体" w:hAnsi="宋体"/>
                <w:szCs w:val="21"/>
              </w:rPr>
              <w:t>履约保证金的数额不得超过政府采购合同金额的5%；对于单价合同，其数额不得超过采购预算的5%。</w:t>
            </w:r>
          </w:p>
        </w:tc>
      </w:tr>
      <w:tr w14:paraId="57A39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424EAA72">
            <w:pPr>
              <w:snapToGrid w:val="0"/>
              <w:spacing w:after="200"/>
              <w:ind w:left="142"/>
              <w:jc w:val="center"/>
              <w:rPr>
                <w:rFonts w:hint="eastAsia" w:ascii="宋体" w:hAnsi="宋体"/>
                <w:sz w:val="24"/>
              </w:rPr>
            </w:pPr>
          </w:p>
        </w:tc>
        <w:tc>
          <w:tcPr>
            <w:tcW w:w="1556" w:type="dxa"/>
            <w:vMerge w:val="continue"/>
            <w:vAlign w:val="center"/>
          </w:tcPr>
          <w:p w14:paraId="6162A255">
            <w:pPr>
              <w:pStyle w:val="32"/>
              <w:ind w:left="96"/>
              <w:jc w:val="center"/>
              <w:rPr>
                <w:rFonts w:hint="eastAsia"/>
                <w:kern w:val="2"/>
                <w:lang w:val="zh-CN"/>
              </w:rPr>
            </w:pPr>
          </w:p>
        </w:tc>
        <w:tc>
          <w:tcPr>
            <w:tcW w:w="7067" w:type="dxa"/>
            <w:vAlign w:val="center"/>
          </w:tcPr>
          <w:p w14:paraId="0CC8C15D">
            <w:pPr>
              <w:ind w:right="94" w:rightChars="45"/>
              <w:rPr>
                <w:rFonts w:hint="eastAsia" w:ascii="宋体" w:hAnsi="宋体"/>
                <w:bCs/>
                <w:sz w:val="24"/>
              </w:rPr>
            </w:pPr>
            <w:r>
              <w:rPr>
                <w:rFonts w:ascii="宋体" w:hAnsi="宋体"/>
                <w:bCs/>
                <w:sz w:val="24"/>
              </w:rPr>
              <w:t>○由采购单位自行收退</w:t>
            </w:r>
          </w:p>
          <w:p w14:paraId="08AF69EA">
            <w:pPr>
              <w:ind w:right="94" w:rightChars="45"/>
              <w:rPr>
                <w:rFonts w:hint="eastAsia" w:ascii="宋体" w:hAnsi="宋体"/>
                <w:b/>
                <w:sz w:val="24"/>
              </w:rPr>
            </w:pPr>
            <w:r>
              <w:rPr>
                <w:rFonts w:ascii="宋体" w:hAnsi="宋体"/>
                <w:bCs/>
                <w:sz w:val="24"/>
              </w:rPr>
              <w:t>○由代理机构负责收退</w:t>
            </w:r>
          </w:p>
        </w:tc>
      </w:tr>
      <w:tr w14:paraId="7C96A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07452C0D">
            <w:pPr>
              <w:snapToGrid w:val="0"/>
              <w:spacing w:after="200"/>
              <w:jc w:val="center"/>
              <w:rPr>
                <w:rFonts w:hint="eastAsia" w:ascii="宋体" w:hAnsi="宋体"/>
                <w:sz w:val="24"/>
              </w:rPr>
            </w:pPr>
            <w:r>
              <w:rPr>
                <w:rFonts w:ascii="宋体" w:hAnsi="宋体"/>
                <w:sz w:val="24"/>
              </w:rPr>
              <w:t>7</w:t>
            </w:r>
          </w:p>
        </w:tc>
        <w:tc>
          <w:tcPr>
            <w:tcW w:w="1556" w:type="dxa"/>
            <w:vAlign w:val="center"/>
          </w:tcPr>
          <w:p w14:paraId="5EE34B93">
            <w:pPr>
              <w:pStyle w:val="32"/>
              <w:ind w:left="96"/>
              <w:jc w:val="center"/>
              <w:rPr>
                <w:rFonts w:hint="eastAsia"/>
                <w:kern w:val="2"/>
                <w:lang w:val="zh-CN"/>
              </w:rPr>
            </w:pPr>
            <w:r>
              <w:rPr>
                <w:kern w:val="2"/>
                <w:lang w:val="zh-CN"/>
              </w:rPr>
              <w:t>集中答疑</w:t>
            </w:r>
          </w:p>
        </w:tc>
        <w:tc>
          <w:tcPr>
            <w:tcW w:w="7067" w:type="dxa"/>
            <w:vAlign w:val="center"/>
          </w:tcPr>
          <w:p w14:paraId="1E9576BB">
            <w:pPr>
              <w:ind w:right="94" w:rightChars="45"/>
              <w:rPr>
                <w:rFonts w:hint="eastAsia" w:ascii="宋体" w:hAnsi="宋体"/>
                <w:bCs/>
                <w:sz w:val="24"/>
              </w:rPr>
            </w:pPr>
            <w:r>
              <w:rPr>
                <w:rFonts w:ascii="宋体" w:hAnsi="宋体"/>
                <w:bCs/>
                <w:sz w:val="24"/>
              </w:rPr>
              <w:t>○组织，答疑地点为：</w:t>
            </w:r>
            <w:r>
              <w:rPr>
                <w:rFonts w:hint="eastAsia" w:ascii="宋体" w:hAnsi="宋体"/>
                <w:bCs/>
                <w:sz w:val="24"/>
              </w:rPr>
              <w:t>_______________________</w:t>
            </w:r>
          </w:p>
          <w:p w14:paraId="7E1869BD">
            <w:pPr>
              <w:ind w:right="94" w:rightChars="45"/>
              <w:rPr>
                <w:rFonts w:hint="eastAsia" w:ascii="宋体" w:hAnsi="宋体"/>
                <w:b/>
                <w:sz w:val="24"/>
              </w:rPr>
            </w:pPr>
            <w:r>
              <w:rPr>
                <w:rFonts w:hint="eastAsia" w:ascii="宋体" w:hAnsi="宋体" w:cs="宋体"/>
                <w:b/>
                <w:lang w:val="zh-CN"/>
              </w:rPr>
              <w:t>●</w:t>
            </w:r>
            <w:r>
              <w:rPr>
                <w:rFonts w:ascii="宋体" w:hAnsi="宋体"/>
                <w:b/>
                <w:sz w:val="24"/>
              </w:rPr>
              <w:t>不组织</w:t>
            </w:r>
          </w:p>
        </w:tc>
      </w:tr>
      <w:tr w14:paraId="048F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7028B887">
            <w:pPr>
              <w:snapToGrid w:val="0"/>
              <w:spacing w:after="200"/>
              <w:jc w:val="center"/>
              <w:rPr>
                <w:rFonts w:hint="eastAsia" w:ascii="宋体" w:hAnsi="宋体"/>
                <w:sz w:val="24"/>
              </w:rPr>
            </w:pPr>
            <w:r>
              <w:rPr>
                <w:rFonts w:ascii="宋体" w:hAnsi="宋体"/>
                <w:sz w:val="24"/>
              </w:rPr>
              <w:t>8</w:t>
            </w:r>
          </w:p>
        </w:tc>
        <w:tc>
          <w:tcPr>
            <w:tcW w:w="1556" w:type="dxa"/>
            <w:vAlign w:val="center"/>
          </w:tcPr>
          <w:p w14:paraId="317232CA">
            <w:pPr>
              <w:pStyle w:val="32"/>
              <w:ind w:left="96"/>
              <w:jc w:val="center"/>
              <w:rPr>
                <w:rFonts w:hint="eastAsia"/>
                <w:kern w:val="2"/>
                <w:lang w:val="zh-CN"/>
              </w:rPr>
            </w:pPr>
            <w:r>
              <w:rPr>
                <w:kern w:val="2"/>
                <w:lang w:val="zh-CN"/>
              </w:rPr>
              <w:t>价格分比重</w:t>
            </w:r>
          </w:p>
        </w:tc>
        <w:tc>
          <w:tcPr>
            <w:tcW w:w="7067" w:type="dxa"/>
            <w:vAlign w:val="center"/>
          </w:tcPr>
          <w:p w14:paraId="776D370E">
            <w:pPr>
              <w:widowControl/>
              <w:rPr>
                <w:rFonts w:hint="eastAsia" w:ascii="宋体" w:hAnsi="宋体" w:cs="宋体"/>
                <w:b/>
                <w:kern w:val="0"/>
                <w:sz w:val="24"/>
                <w:szCs w:val="24"/>
                <w:lang w:val="zh-CN"/>
              </w:rPr>
            </w:pPr>
            <w:r>
              <w:rPr>
                <w:rFonts w:ascii="宋体" w:hAnsi="宋体" w:cs="宋体"/>
                <w:b/>
                <w:kern w:val="0"/>
                <w:sz w:val="24"/>
                <w:szCs w:val="24"/>
                <w:lang w:val="zh-CN"/>
              </w:rPr>
              <w:t>占总分值的</w:t>
            </w:r>
            <w:r>
              <w:rPr>
                <w:rFonts w:hint="eastAsia" w:ascii="宋体" w:hAnsi="宋体" w:cs="宋体"/>
                <w:b/>
                <w:kern w:val="0"/>
                <w:sz w:val="24"/>
                <w:szCs w:val="24"/>
                <w:u w:val="single"/>
              </w:rPr>
              <w:t xml:space="preserve">  15    </w:t>
            </w:r>
            <w:r>
              <w:rPr>
                <w:rFonts w:hint="eastAsia" w:ascii="宋体" w:hAnsi="宋体" w:cs="宋体"/>
                <w:b/>
                <w:kern w:val="0"/>
                <w:sz w:val="24"/>
                <w:szCs w:val="24"/>
                <w:lang w:val="zh-CN"/>
              </w:rPr>
              <w:t>%</w:t>
            </w:r>
          </w:p>
          <w:p w14:paraId="6A52EC47">
            <w:pPr>
              <w:widowControl/>
              <w:rPr>
                <w:rFonts w:hint="eastAsia" w:ascii="宋体" w:hAnsi="宋体" w:cs="宋体"/>
                <w:kern w:val="0"/>
                <w:szCs w:val="21"/>
                <w:lang w:val="zh-CN"/>
              </w:rPr>
            </w:pPr>
            <w:r>
              <w:rPr>
                <w:rFonts w:hint="eastAsia" w:ascii="宋体" w:hAnsi="宋体" w:cs="宋体"/>
                <w:kern w:val="0"/>
                <w:szCs w:val="21"/>
                <w:lang w:val="zh-CN"/>
              </w:rPr>
              <w:t>[招标]根据《政府采购货物和服务招标投标管理办法》（财政部87号令）的规定，综合</w:t>
            </w:r>
            <w:r>
              <w:rPr>
                <w:rFonts w:ascii="宋体" w:hAnsi="宋体" w:cs="宋体"/>
                <w:kern w:val="0"/>
                <w:szCs w:val="21"/>
                <w:lang w:val="zh-CN"/>
              </w:rPr>
              <w:t>评分法服务</w:t>
            </w:r>
            <w:r>
              <w:rPr>
                <w:rFonts w:hint="eastAsia" w:ascii="宋体" w:hAnsi="宋体" w:cs="宋体"/>
                <w:kern w:val="0"/>
                <w:szCs w:val="21"/>
                <w:lang w:val="zh-CN"/>
              </w:rPr>
              <w:t>项目的价格分值占总分值的比重不得低于</w:t>
            </w:r>
            <w:r>
              <w:rPr>
                <w:rFonts w:ascii="宋体" w:hAnsi="宋体" w:cs="宋体"/>
                <w:kern w:val="0"/>
                <w:szCs w:val="21"/>
                <w:lang w:val="zh-CN"/>
              </w:rPr>
              <w:t>1</w:t>
            </w:r>
            <w:r>
              <w:rPr>
                <w:rFonts w:hint="eastAsia" w:ascii="宋体" w:hAnsi="宋体" w:cs="宋体"/>
                <w:kern w:val="0"/>
                <w:szCs w:val="21"/>
                <w:lang w:val="zh-CN"/>
              </w:rPr>
              <w:t>0%。执行国家统一定价标准和采用固定价格采购的项目，其价格不列为评审因素。</w:t>
            </w:r>
          </w:p>
          <w:p w14:paraId="1E321928">
            <w:pPr>
              <w:widowControl/>
              <w:rPr>
                <w:rFonts w:hint="eastAsia" w:ascii="宋体" w:hAnsi="宋体" w:cs="宋体"/>
                <w:kern w:val="0"/>
                <w:szCs w:val="21"/>
                <w:lang w:val="zh-CN"/>
              </w:rPr>
            </w:pPr>
            <w:r>
              <w:rPr>
                <w:rFonts w:ascii="宋体" w:hAnsi="宋体" w:cs="宋体"/>
                <w:kern w:val="0"/>
                <w:szCs w:val="21"/>
                <w:lang w:val="zh-CN"/>
              </w:rPr>
              <w:t>[磋商</w:t>
            </w:r>
            <w:r>
              <w:rPr>
                <w:rFonts w:hint="eastAsia" w:ascii="宋体" w:hAnsi="宋体" w:cs="宋体"/>
                <w:kern w:val="0"/>
                <w:szCs w:val="21"/>
                <w:lang w:val="zh-CN"/>
              </w:rPr>
              <w:t>]根据《政府采购竞争性磋商采购方式管理暂行办法》（财库〔2014〕214号）的规定，服务项目的价格分值占总分值的比重(即权值)为</w:t>
            </w:r>
            <w:r>
              <w:rPr>
                <w:rFonts w:ascii="宋体" w:hAnsi="宋体" w:cs="宋体"/>
                <w:kern w:val="0"/>
                <w:szCs w:val="21"/>
                <w:lang w:val="zh-CN"/>
              </w:rPr>
              <w:t>1</w:t>
            </w:r>
            <w:r>
              <w:rPr>
                <w:rFonts w:hint="eastAsia" w:ascii="宋体" w:hAnsi="宋体" w:cs="宋体"/>
                <w:kern w:val="0"/>
                <w:szCs w:val="21"/>
                <w:lang w:val="zh-CN"/>
              </w:rPr>
              <w:t>0%-</w:t>
            </w:r>
            <w:r>
              <w:rPr>
                <w:rFonts w:ascii="宋体" w:hAnsi="宋体" w:cs="宋体"/>
                <w:kern w:val="0"/>
                <w:szCs w:val="21"/>
                <w:lang w:val="zh-CN"/>
              </w:rPr>
              <w:t>3</w:t>
            </w:r>
            <w:r>
              <w:rPr>
                <w:rFonts w:hint="eastAsia" w:ascii="宋体" w:hAnsi="宋体" w:cs="宋体"/>
                <w:kern w:val="0"/>
                <w:szCs w:val="21"/>
                <w:lang w:val="zh-CN"/>
              </w:rPr>
              <w:t>0%。</w:t>
            </w:r>
          </w:p>
          <w:p w14:paraId="25A2EA8A">
            <w:pPr>
              <w:widowControl/>
              <w:rPr>
                <w:rFonts w:hint="eastAsia" w:ascii="宋体" w:hAnsi="宋体" w:cs="宋体"/>
                <w:kern w:val="0"/>
                <w:szCs w:val="21"/>
                <w:lang w:val="zh-CN"/>
              </w:rPr>
            </w:pPr>
            <w:r>
              <w:rPr>
                <w:rFonts w:hint="eastAsia" w:ascii="宋体" w:hAnsi="宋体" w:cs="宋体"/>
                <w:kern w:val="0"/>
                <w:szCs w:val="21"/>
                <w:lang w:val="zh-CN"/>
              </w:rPr>
              <w:t>[其他采购方式]无须设置。</w:t>
            </w:r>
          </w:p>
        </w:tc>
      </w:tr>
      <w:tr w14:paraId="7B273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0CB6E57D">
            <w:pPr>
              <w:snapToGrid w:val="0"/>
              <w:spacing w:after="200"/>
              <w:jc w:val="center"/>
              <w:rPr>
                <w:rFonts w:hint="eastAsia" w:ascii="宋体" w:hAnsi="宋体"/>
                <w:sz w:val="24"/>
              </w:rPr>
            </w:pPr>
            <w:r>
              <w:rPr>
                <w:rFonts w:ascii="宋体" w:hAnsi="宋体"/>
                <w:sz w:val="24"/>
              </w:rPr>
              <w:t>9</w:t>
            </w:r>
          </w:p>
        </w:tc>
        <w:tc>
          <w:tcPr>
            <w:tcW w:w="1556" w:type="dxa"/>
            <w:vAlign w:val="center"/>
          </w:tcPr>
          <w:p w14:paraId="39BEE36C">
            <w:pPr>
              <w:pStyle w:val="32"/>
              <w:ind w:left="96"/>
              <w:jc w:val="center"/>
              <w:rPr>
                <w:rFonts w:hint="eastAsia"/>
                <w:kern w:val="2"/>
                <w:lang w:val="zh-CN"/>
              </w:rPr>
            </w:pPr>
            <w:r>
              <w:rPr>
                <w:kern w:val="2"/>
                <w:lang w:val="zh-CN"/>
              </w:rPr>
              <w:t>合同类型</w:t>
            </w:r>
          </w:p>
        </w:tc>
        <w:tc>
          <w:tcPr>
            <w:tcW w:w="7067" w:type="dxa"/>
            <w:vAlign w:val="center"/>
          </w:tcPr>
          <w:p w14:paraId="1DD871D6">
            <w:pPr>
              <w:rPr>
                <w:rFonts w:hint="eastAsia" w:ascii="宋体" w:hAnsi="宋体"/>
                <w:b/>
                <w:sz w:val="24"/>
                <w:lang w:val="zh-CN"/>
              </w:rPr>
            </w:pPr>
            <w:r>
              <w:rPr>
                <w:rFonts w:hint="eastAsia" w:ascii="宋体" w:hAnsi="宋体" w:cs="宋体"/>
                <w:b/>
                <w:lang w:val="zh-CN"/>
              </w:rPr>
              <w:t>●</w:t>
            </w:r>
            <w:r>
              <w:rPr>
                <w:rFonts w:ascii="宋体" w:hAnsi="宋体"/>
                <w:b/>
                <w:sz w:val="24"/>
                <w:lang w:val="zh-CN"/>
              </w:rPr>
              <w:t>固定总价</w:t>
            </w:r>
          </w:p>
          <w:p w14:paraId="0E761E30">
            <w:pPr>
              <w:rPr>
                <w:rFonts w:hint="eastAsia" w:ascii="宋体" w:hAnsi="宋体"/>
                <w:bCs/>
                <w:sz w:val="24"/>
                <w:lang w:val="zh-CN"/>
              </w:rPr>
            </w:pPr>
            <w:r>
              <w:rPr>
                <w:rFonts w:ascii="宋体" w:hAnsi="宋体"/>
                <w:bCs/>
                <w:sz w:val="24"/>
                <w:lang w:val="zh-CN"/>
              </w:rPr>
              <w:t>○固定单价（适用于采购数量不定的情形）</w:t>
            </w:r>
          </w:p>
          <w:p w14:paraId="749AE510">
            <w:pPr>
              <w:rPr>
                <w:rFonts w:hint="eastAsia" w:ascii="宋体" w:hAnsi="宋体"/>
                <w:sz w:val="24"/>
                <w:lang w:val="zh-CN"/>
              </w:rPr>
            </w:pPr>
            <w:r>
              <w:rPr>
                <w:rFonts w:ascii="宋体" w:hAnsi="宋体"/>
                <w:bCs/>
                <w:sz w:val="24"/>
                <w:lang w:val="zh-CN"/>
              </w:rPr>
              <w:t>○其他</w:t>
            </w:r>
            <w:r>
              <w:rPr>
                <w:rFonts w:hint="eastAsia" w:ascii="宋体" w:hAnsi="宋体"/>
                <w:bCs/>
                <w:sz w:val="24"/>
                <w:lang w:val="zh-CN"/>
              </w:rPr>
              <w:t>：_____________________________</w:t>
            </w:r>
          </w:p>
        </w:tc>
      </w:tr>
      <w:tr w14:paraId="63E0D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73DA6669">
            <w:pPr>
              <w:snapToGrid w:val="0"/>
              <w:spacing w:after="200"/>
              <w:jc w:val="center"/>
              <w:rPr>
                <w:rFonts w:hint="eastAsia" w:ascii="宋体" w:hAnsi="宋体"/>
                <w:sz w:val="24"/>
              </w:rPr>
            </w:pPr>
            <w:r>
              <w:rPr>
                <w:rFonts w:ascii="宋体" w:hAnsi="宋体"/>
                <w:sz w:val="24"/>
              </w:rPr>
              <w:t>10</w:t>
            </w:r>
          </w:p>
        </w:tc>
        <w:tc>
          <w:tcPr>
            <w:tcW w:w="1556" w:type="dxa"/>
            <w:vAlign w:val="center"/>
          </w:tcPr>
          <w:p w14:paraId="24EE28D7">
            <w:pPr>
              <w:tabs>
                <w:tab w:val="left" w:pos="7665"/>
              </w:tabs>
              <w:snapToGrid w:val="0"/>
              <w:jc w:val="center"/>
              <w:rPr>
                <w:rFonts w:hint="eastAsia" w:ascii="宋体" w:hAnsi="宋体"/>
                <w:sz w:val="24"/>
              </w:rPr>
            </w:pPr>
            <w:r>
              <w:rPr>
                <w:rFonts w:ascii="宋体" w:hAnsi="宋体"/>
                <w:sz w:val="24"/>
              </w:rPr>
              <w:t>争议解决途径</w:t>
            </w:r>
          </w:p>
        </w:tc>
        <w:tc>
          <w:tcPr>
            <w:tcW w:w="7067" w:type="dxa"/>
            <w:vAlign w:val="center"/>
          </w:tcPr>
          <w:p w14:paraId="76CA8C93">
            <w:pPr>
              <w:tabs>
                <w:tab w:val="left" w:pos="7665"/>
              </w:tabs>
              <w:snapToGrid w:val="0"/>
              <w:rPr>
                <w:rFonts w:hint="eastAsia" w:ascii="宋体" w:hAnsi="宋体"/>
                <w:b/>
                <w:sz w:val="24"/>
              </w:rPr>
            </w:pPr>
            <w:r>
              <w:rPr>
                <w:rFonts w:hint="eastAsia" w:ascii="宋体" w:hAnsi="宋体" w:cs="宋体"/>
                <w:b/>
                <w:lang w:val="zh-CN"/>
              </w:rPr>
              <w:t>●</w:t>
            </w:r>
            <w:r>
              <w:rPr>
                <w:rFonts w:ascii="宋体" w:hAnsi="宋体"/>
                <w:b/>
                <w:sz w:val="24"/>
              </w:rPr>
              <w:t>向有管辖权的人民法院提起诉讼</w:t>
            </w:r>
          </w:p>
          <w:p w14:paraId="00D5BC7C">
            <w:pPr>
              <w:tabs>
                <w:tab w:val="left" w:pos="7665"/>
              </w:tabs>
              <w:snapToGrid w:val="0"/>
              <w:rPr>
                <w:rFonts w:hint="eastAsia" w:ascii="宋体" w:hAnsi="宋体"/>
                <w:bCs/>
                <w:sz w:val="24"/>
              </w:rPr>
            </w:pPr>
            <w:r>
              <w:rPr>
                <w:rFonts w:ascii="宋体" w:hAnsi="宋体"/>
                <w:bCs/>
                <w:sz w:val="24"/>
              </w:rPr>
              <w:t>○向西安仲裁委员会提请仲裁</w:t>
            </w:r>
          </w:p>
          <w:p w14:paraId="126E1295">
            <w:pPr>
              <w:tabs>
                <w:tab w:val="left" w:pos="7665"/>
              </w:tabs>
              <w:snapToGrid w:val="0"/>
              <w:rPr>
                <w:rFonts w:hint="eastAsia" w:ascii="宋体" w:hAnsi="宋体"/>
                <w:sz w:val="24"/>
              </w:rPr>
            </w:pPr>
            <w:r>
              <w:rPr>
                <w:rFonts w:ascii="宋体" w:hAnsi="宋体"/>
                <w:bCs/>
                <w:sz w:val="24"/>
              </w:rPr>
              <w:t>○由供应商做出选择</w:t>
            </w:r>
          </w:p>
        </w:tc>
      </w:tr>
      <w:tr w14:paraId="2EE60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3007DC05">
            <w:pPr>
              <w:snapToGrid w:val="0"/>
              <w:spacing w:after="200"/>
              <w:jc w:val="center"/>
              <w:rPr>
                <w:rFonts w:hint="eastAsia" w:ascii="宋体" w:hAnsi="宋体"/>
                <w:sz w:val="24"/>
              </w:rPr>
            </w:pPr>
            <w:r>
              <w:rPr>
                <w:rFonts w:ascii="宋体" w:hAnsi="宋体"/>
                <w:sz w:val="24"/>
              </w:rPr>
              <w:t>11</w:t>
            </w:r>
          </w:p>
        </w:tc>
        <w:tc>
          <w:tcPr>
            <w:tcW w:w="1556" w:type="dxa"/>
            <w:vAlign w:val="center"/>
          </w:tcPr>
          <w:p w14:paraId="3A81D19C">
            <w:pPr>
              <w:snapToGrid w:val="0"/>
              <w:jc w:val="center"/>
              <w:rPr>
                <w:rFonts w:hint="eastAsia" w:ascii="宋体" w:hAnsi="宋体"/>
                <w:sz w:val="24"/>
              </w:rPr>
            </w:pPr>
            <w:r>
              <w:rPr>
                <w:rFonts w:hint="eastAsia" w:ascii="宋体" w:hAnsi="宋体"/>
                <w:sz w:val="24"/>
              </w:rPr>
              <w:t>联系方式</w:t>
            </w:r>
          </w:p>
        </w:tc>
        <w:tc>
          <w:tcPr>
            <w:tcW w:w="7067" w:type="dxa"/>
            <w:vAlign w:val="center"/>
          </w:tcPr>
          <w:p w14:paraId="48F5C279">
            <w:pPr>
              <w:tabs>
                <w:tab w:val="left" w:pos="7665"/>
              </w:tabs>
              <w:snapToGrid w:val="0"/>
              <w:rPr>
                <w:rFonts w:hint="eastAsia" w:ascii="宋体" w:hAnsi="宋体"/>
                <w:b/>
                <w:bCs/>
                <w:sz w:val="24"/>
                <w:u w:val="single"/>
              </w:rPr>
            </w:pPr>
            <w:r>
              <w:rPr>
                <w:rFonts w:hint="eastAsia" w:ascii="宋体" w:hAnsi="宋体"/>
                <w:b/>
                <w:bCs/>
                <w:sz w:val="24"/>
              </w:rPr>
              <w:t>项目对接人：</w:t>
            </w:r>
            <w:r>
              <w:rPr>
                <w:rFonts w:hint="eastAsia" w:ascii="宋体" w:hAnsi="宋体"/>
                <w:b/>
                <w:bCs/>
                <w:sz w:val="24"/>
                <w:u w:val="single"/>
              </w:rPr>
              <w:t xml:space="preserve">      张向林         </w:t>
            </w:r>
          </w:p>
          <w:p w14:paraId="2CBA5BC1">
            <w:pPr>
              <w:tabs>
                <w:tab w:val="left" w:pos="7665"/>
              </w:tabs>
              <w:snapToGrid w:val="0"/>
              <w:rPr>
                <w:rFonts w:hint="eastAsia" w:ascii="宋体" w:hAnsi="宋体"/>
                <w:b/>
                <w:bCs/>
                <w:sz w:val="24"/>
              </w:rPr>
            </w:pPr>
            <w:r>
              <w:rPr>
                <w:rFonts w:ascii="宋体" w:hAnsi="宋体"/>
                <w:b/>
                <w:bCs/>
                <w:sz w:val="24"/>
              </w:rPr>
              <w:t>联系电话：</w:t>
            </w:r>
            <w:r>
              <w:rPr>
                <w:rFonts w:hint="eastAsia" w:ascii="宋体" w:hAnsi="宋体"/>
                <w:b/>
                <w:bCs/>
                <w:sz w:val="24"/>
              </w:rPr>
              <w:t>___</w:t>
            </w:r>
            <w:r>
              <w:rPr>
                <w:rFonts w:hint="eastAsia" w:ascii="宋体" w:hAnsi="宋体"/>
                <w:b/>
                <w:bCs/>
                <w:sz w:val="24"/>
                <w:u w:val="single"/>
              </w:rPr>
              <w:t>_17792698028_</w:t>
            </w:r>
            <w:r>
              <w:rPr>
                <w:rFonts w:hint="eastAsia" w:ascii="宋体" w:hAnsi="宋体"/>
                <w:b/>
                <w:bCs/>
                <w:sz w:val="24"/>
              </w:rPr>
              <w:t>_____</w:t>
            </w:r>
          </w:p>
          <w:p w14:paraId="745B3C75">
            <w:pPr>
              <w:tabs>
                <w:tab w:val="left" w:pos="7665"/>
              </w:tabs>
              <w:snapToGrid w:val="0"/>
              <w:rPr>
                <w:rFonts w:hint="eastAsia" w:ascii="宋体" w:hAnsi="宋体"/>
                <w:sz w:val="24"/>
                <w:u w:val="single"/>
              </w:rPr>
            </w:pPr>
            <w:r>
              <w:rPr>
                <w:rFonts w:ascii="宋体" w:hAnsi="宋体"/>
                <w:b/>
                <w:bCs/>
                <w:sz w:val="24"/>
              </w:rPr>
              <w:t>电子邮箱：</w:t>
            </w:r>
            <w:r>
              <w:rPr>
                <w:rFonts w:hint="eastAsia" w:ascii="宋体" w:hAnsi="宋体"/>
                <w:b/>
                <w:bCs/>
                <w:sz w:val="24"/>
                <w:u w:val="single"/>
              </w:rPr>
              <w:t xml:space="preserve">          /         </w:t>
            </w:r>
          </w:p>
        </w:tc>
      </w:tr>
    </w:tbl>
    <w:p w14:paraId="6B0BA7B3">
      <w:pPr>
        <w:jc w:val="center"/>
        <w:rPr>
          <w:rFonts w:ascii="仿宋" w:hAnsi="仿宋" w:eastAsia="仿宋"/>
          <w:b/>
          <w:sz w:val="32"/>
          <w:szCs w:val="32"/>
        </w:rPr>
      </w:pPr>
    </w:p>
    <w:p w14:paraId="1CBE83BE">
      <w:pPr>
        <w:jc w:val="center"/>
        <w:rPr>
          <w:rFonts w:ascii="仿宋" w:hAnsi="仿宋" w:eastAsia="仿宋"/>
          <w:b/>
          <w:sz w:val="32"/>
          <w:szCs w:val="32"/>
        </w:rPr>
      </w:pPr>
    </w:p>
    <w:p w14:paraId="0EFC483B">
      <w:pPr>
        <w:jc w:val="center"/>
        <w:rPr>
          <w:rFonts w:ascii="仿宋" w:hAnsi="仿宋" w:eastAsia="仿宋"/>
          <w:b/>
          <w:sz w:val="32"/>
          <w:szCs w:val="32"/>
        </w:rPr>
      </w:pPr>
    </w:p>
    <w:p w14:paraId="61B2C6B4">
      <w:pPr>
        <w:jc w:val="center"/>
        <w:rPr>
          <w:rFonts w:ascii="仿宋" w:hAnsi="仿宋" w:eastAsia="仿宋"/>
          <w:b/>
          <w:sz w:val="32"/>
          <w:szCs w:val="32"/>
        </w:rPr>
      </w:pPr>
    </w:p>
    <w:p w14:paraId="4F36B16A">
      <w:pPr>
        <w:jc w:val="center"/>
        <w:rPr>
          <w:rFonts w:ascii="仿宋" w:hAnsi="仿宋" w:eastAsia="仿宋"/>
          <w:b/>
          <w:sz w:val="32"/>
          <w:szCs w:val="32"/>
        </w:rPr>
      </w:pPr>
    </w:p>
    <w:p w14:paraId="58EB3A32">
      <w:pPr>
        <w:jc w:val="center"/>
        <w:rPr>
          <w:rFonts w:ascii="仿宋" w:hAnsi="仿宋" w:eastAsia="仿宋"/>
          <w:b/>
          <w:sz w:val="32"/>
          <w:szCs w:val="32"/>
        </w:rPr>
      </w:pPr>
    </w:p>
    <w:p w14:paraId="5360A17F">
      <w:pPr>
        <w:jc w:val="center"/>
        <w:rPr>
          <w:rFonts w:ascii="仿宋" w:hAnsi="仿宋" w:eastAsia="仿宋"/>
          <w:b/>
          <w:sz w:val="32"/>
          <w:szCs w:val="32"/>
        </w:rPr>
      </w:pPr>
    </w:p>
    <w:p w14:paraId="1D950D58">
      <w:pPr>
        <w:jc w:val="center"/>
        <w:rPr>
          <w:rFonts w:ascii="仿宋" w:hAnsi="仿宋" w:eastAsia="仿宋"/>
          <w:b/>
          <w:sz w:val="32"/>
          <w:szCs w:val="32"/>
        </w:rPr>
      </w:pPr>
    </w:p>
    <w:p w14:paraId="129930DE">
      <w:pPr>
        <w:jc w:val="center"/>
        <w:rPr>
          <w:rFonts w:ascii="仿宋" w:hAnsi="仿宋" w:eastAsia="仿宋"/>
          <w:b/>
          <w:sz w:val="32"/>
          <w:szCs w:val="32"/>
        </w:rPr>
      </w:pPr>
    </w:p>
    <w:p w14:paraId="36B30C0B">
      <w:pPr>
        <w:jc w:val="center"/>
        <w:rPr>
          <w:rFonts w:ascii="仿宋" w:hAnsi="仿宋" w:eastAsia="仿宋"/>
          <w:b/>
          <w:sz w:val="32"/>
          <w:szCs w:val="32"/>
        </w:rPr>
      </w:pPr>
    </w:p>
    <w:p w14:paraId="251928F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方正小标宋简体" w:hAnsi="仿宋" w:eastAsia="方正小标宋简体"/>
          <w:b/>
          <w:sz w:val="44"/>
          <w:szCs w:val="44"/>
        </w:rPr>
      </w:pPr>
      <w:r>
        <w:rPr>
          <w:rFonts w:hint="eastAsia" w:ascii="方正小标宋简体" w:hAnsi="仿宋" w:eastAsia="方正小标宋简体"/>
          <w:b/>
          <w:sz w:val="44"/>
          <w:szCs w:val="44"/>
        </w:rPr>
        <w:t>政府采购需求（服务类 ）</w:t>
      </w:r>
    </w:p>
    <w:p w14:paraId="6F7A3D83">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sz w:val="32"/>
          <w:szCs w:val="32"/>
          <w14:ligatures w14:val="standardContextual"/>
        </w:rPr>
      </w:pPr>
      <w:r>
        <w:rPr>
          <w:rFonts w:hint="eastAsia" w:ascii="仿宋_GB2312" w:hAnsi="楷体" w:eastAsia="仿宋_GB2312" w:cstheme="minorBidi"/>
          <w:b w:val="0"/>
          <w:bCs w:val="0"/>
          <w:kern w:val="2"/>
          <w:sz w:val="32"/>
          <w:szCs w:val="32"/>
          <w14:ligatures w14:val="standardContextual"/>
        </w:rPr>
        <w:t>一、项目名称</w:t>
      </w:r>
    </w:p>
    <w:p w14:paraId="3662E55D">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西安市阎良区西飞第一中学安保服务项目</w:t>
      </w:r>
    </w:p>
    <w:p w14:paraId="153BCAB8">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sz w:val="32"/>
          <w:szCs w:val="32"/>
          <w14:ligatures w14:val="standardContextual"/>
        </w:rPr>
      </w:pPr>
      <w:r>
        <w:rPr>
          <w:rFonts w:hint="eastAsia" w:ascii="仿宋_GB2312" w:hAnsi="楷体" w:eastAsia="仿宋_GB2312" w:cstheme="minorBidi"/>
          <w:b w:val="0"/>
          <w:bCs w:val="0"/>
          <w:kern w:val="2"/>
          <w:sz w:val="32"/>
          <w:szCs w:val="32"/>
          <w14:ligatures w14:val="standardContextual"/>
        </w:rPr>
        <w:t>二、项目地点</w:t>
      </w:r>
    </w:p>
    <w:p w14:paraId="0C8F8741">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西安市阎良区倚中路111号（西飞一中全校全域）</w:t>
      </w:r>
    </w:p>
    <w:p w14:paraId="7C5A505D">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sz w:val="32"/>
          <w:szCs w:val="32"/>
          <w14:ligatures w14:val="standardContextual"/>
        </w:rPr>
      </w:pPr>
      <w:r>
        <w:rPr>
          <w:rFonts w:hint="eastAsia" w:ascii="仿宋_GB2312" w:hAnsi="楷体" w:eastAsia="仿宋_GB2312" w:cstheme="minorBidi"/>
          <w:b w:val="0"/>
          <w:bCs w:val="0"/>
          <w:kern w:val="2"/>
          <w:sz w:val="32"/>
          <w:szCs w:val="32"/>
          <w14:ligatures w14:val="standardContextual"/>
        </w:rPr>
        <w:t>三、项目背景</w:t>
      </w:r>
    </w:p>
    <w:p w14:paraId="5F95FEC9">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为维护校园教育教学、师生生活秩序，保障全校师生人身、校园财产安全，防范处置各类校园安全突发事件，打造平安稳定校园，提供全维度校园安保服务，建立长效校园安防体系。</w:t>
      </w:r>
    </w:p>
    <w:p w14:paraId="032A4DE9">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sz w:val="32"/>
          <w:szCs w:val="32"/>
          <w:highlight w:val="none"/>
          <w:lang w:val="en-US" w:eastAsia="zh-CN"/>
          <w14:ligatures w14:val="standardContextual"/>
        </w:rPr>
      </w:pPr>
      <w:r>
        <w:rPr>
          <w:rFonts w:hint="eastAsia" w:ascii="仿宋_GB2312" w:hAnsi="楷体" w:eastAsia="仿宋_GB2312" w:cstheme="minorBidi"/>
          <w:b w:val="0"/>
          <w:bCs w:val="0"/>
          <w:kern w:val="2"/>
          <w:sz w:val="32"/>
          <w:szCs w:val="32"/>
          <w:highlight w:val="none"/>
          <w14:ligatures w14:val="standardContextual"/>
        </w:rPr>
        <w:t>四、服务期限</w:t>
      </w:r>
      <w:r>
        <w:rPr>
          <w:rFonts w:hint="eastAsia" w:ascii="仿宋_GB2312" w:hAnsi="楷体" w:eastAsia="仿宋_GB2312" w:cstheme="minorBidi"/>
          <w:b w:val="0"/>
          <w:bCs w:val="0"/>
          <w:kern w:val="2"/>
          <w:sz w:val="32"/>
          <w:szCs w:val="32"/>
          <w:highlight w:val="none"/>
          <w:lang w:eastAsia="zh-CN"/>
          <w14:ligatures w14:val="standardContextual"/>
        </w:rPr>
        <w:t>：</w:t>
      </w:r>
      <w:r>
        <w:rPr>
          <w:rFonts w:hint="eastAsia" w:ascii="仿宋_GB2312" w:hAnsi="楷体" w:eastAsia="仿宋_GB2312" w:cstheme="minorBidi"/>
          <w:b w:val="0"/>
          <w:bCs w:val="0"/>
          <w:kern w:val="2"/>
          <w:sz w:val="32"/>
          <w:szCs w:val="32"/>
          <w:highlight w:val="none"/>
          <w:lang w:val="en-US" w:eastAsia="zh-CN"/>
          <w14:ligatures w14:val="standardContextual"/>
        </w:rPr>
        <w:t>一年。</w:t>
      </w:r>
    </w:p>
    <w:p w14:paraId="2AAB4014">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sz w:val="32"/>
          <w:szCs w:val="32"/>
          <w14:ligatures w14:val="standardContextual"/>
        </w:rPr>
      </w:pPr>
      <w:r>
        <w:rPr>
          <w:rFonts w:hint="eastAsia" w:ascii="仿宋_GB2312" w:hAnsi="楷体" w:eastAsia="仿宋_GB2312" w:cstheme="minorBidi"/>
          <w:b w:val="0"/>
          <w:bCs w:val="0"/>
          <w:kern w:val="2"/>
          <w:sz w:val="32"/>
          <w:szCs w:val="32"/>
          <w14:ligatures w14:val="standardContextual"/>
        </w:rPr>
        <w:t>五、人员配置标准</w:t>
      </w:r>
    </w:p>
    <w:p w14:paraId="35585C81">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楷体" w:eastAsia="仿宋_GB2312" w:cstheme="minorBidi"/>
          <w:kern w:val="2"/>
          <w:sz w:val="32"/>
          <w:szCs w:val="32"/>
          <w:lang w:val="en-US" w:eastAsia="zh-CN" w:bidi="ar-SA"/>
          <w14:ligatures w14:val="standardContextual"/>
        </w:rPr>
      </w:pPr>
      <w:r>
        <w:rPr>
          <w:rFonts w:hint="eastAsia" w:ascii="仿宋_GB2312" w:hAnsi="楷体" w:eastAsia="仿宋_GB2312" w:cstheme="minorBidi"/>
          <w:kern w:val="2"/>
          <w:sz w:val="32"/>
          <w:szCs w:val="32"/>
          <w:lang w:val="en-US" w:eastAsia="zh-CN" w:bidi="ar-SA"/>
          <w14:ligatures w14:val="standardContextual"/>
        </w:rPr>
        <w:t>本项目配置专职安保队长1名、巡逻3名、门岗9名、监控室2名、消防中控室1名，共计16名人员。</w:t>
      </w:r>
    </w:p>
    <w:p w14:paraId="3543A0B1">
      <w:pPr>
        <w:pStyle w:val="2"/>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14:ligatures w14:val="standardContextual"/>
        </w:rPr>
      </w:pPr>
      <w:r>
        <w:rPr>
          <w:rFonts w:hint="eastAsia" w:ascii="仿宋_GB2312" w:hAnsi="楷体" w:eastAsia="仿宋_GB2312" w:cstheme="minorBidi"/>
          <w:b w:val="0"/>
          <w:bCs w:val="0"/>
          <w:kern w:val="2"/>
          <w14:ligatures w14:val="standardContextual"/>
        </w:rPr>
        <w:t>六、服务内容与标准</w:t>
      </w:r>
    </w:p>
    <w:p w14:paraId="260AF54E">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color w:val="auto"/>
          <w:kern w:val="2"/>
          <w:sz w:val="32"/>
          <w:szCs w:val="32"/>
          <w14:ligatures w14:val="standardContextual"/>
        </w:rPr>
      </w:pPr>
      <w:r>
        <w:rPr>
          <w:rFonts w:hint="eastAsia" w:ascii="仿宋_GB2312" w:hAnsi="楷体" w:eastAsia="仿宋_GB2312" w:cstheme="minorBidi"/>
          <w:b w:val="0"/>
          <w:bCs w:val="0"/>
          <w:kern w:val="2"/>
          <w:sz w:val="32"/>
          <w:szCs w:val="32"/>
          <w14:ligatures w14:val="standardContextual"/>
        </w:rPr>
        <w:t>（一）</w:t>
      </w:r>
      <w:r>
        <w:rPr>
          <w:rFonts w:hint="eastAsia" w:ascii="仿宋_GB2312" w:hAnsi="楷体" w:eastAsia="仿宋_GB2312" w:cstheme="minorBidi"/>
          <w:b w:val="0"/>
          <w:bCs w:val="0"/>
          <w:color w:val="auto"/>
          <w:kern w:val="2"/>
          <w:sz w:val="32"/>
          <w:szCs w:val="32"/>
          <w14:ligatures w14:val="standardContextual"/>
        </w:rPr>
        <w:t>门卫24小时值守服务</w:t>
      </w:r>
    </w:p>
    <w:p w14:paraId="48DCD899">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color w:val="auto"/>
          <w:kern w:val="2"/>
          <w:sz w:val="32"/>
          <w:szCs w:val="32"/>
          <w14:ligatures w14:val="standardContextual"/>
        </w:rPr>
        <w:t>1.实行封闭式门禁管理，出入口</w:t>
      </w:r>
      <w:r>
        <w:rPr>
          <w:rFonts w:hint="eastAsia" w:ascii="仿宋_GB2312" w:hAnsi="楷体" w:eastAsia="仿宋_GB2312" w:cstheme="minorBidi"/>
          <w:kern w:val="2"/>
          <w:sz w:val="32"/>
          <w:szCs w:val="32"/>
          <w14:ligatures w14:val="standardContextual"/>
        </w:rPr>
        <w:t>全天候不间断值守，对入校人员、车辆、随身物品逐项核验登记；严禁无关闲散人员、可疑人员、管制刀具、易燃易爆等违禁品入校。</w:t>
      </w:r>
    </w:p>
    <w:p w14:paraId="49529544">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2.师生、教职工凭校内通行规范进出；外来访客必须核验身份、核实校内预约信息，登记后联系对接科室确认方可入校，执勤人员文明接待。</w:t>
      </w:r>
    </w:p>
    <w:p w14:paraId="6C89AADC">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3.管控校内物资进出，严防公共财物流失；规范管理快递、外卖，设置专属存放区域，保障校门通行顺畅。</w:t>
      </w:r>
    </w:p>
    <w:p w14:paraId="7BEEABB6">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4.上下学高峰增派专人疏导人流车流，落实护学岗，优先保障学生通行安全。</w:t>
      </w:r>
    </w:p>
    <w:p w14:paraId="2E32E4E8">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color w:val="auto"/>
          <w:kern w:val="2"/>
          <w:sz w:val="32"/>
          <w:szCs w:val="32"/>
          <w14:ligatures w14:val="standardContextual"/>
        </w:rPr>
      </w:pPr>
      <w:r>
        <w:rPr>
          <w:rFonts w:hint="eastAsia" w:ascii="仿宋_GB2312" w:hAnsi="楷体" w:eastAsia="仿宋_GB2312" w:cstheme="minorBidi"/>
          <w:b w:val="0"/>
          <w:bCs w:val="0"/>
          <w:color w:val="auto"/>
          <w:kern w:val="2"/>
          <w:sz w:val="32"/>
          <w:szCs w:val="32"/>
          <w14:ligatures w14:val="standardContextual"/>
        </w:rPr>
        <w:t>（二）全域24小时巡逻服务</w:t>
      </w:r>
    </w:p>
    <w:p w14:paraId="33EA2746">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color w:val="auto"/>
          <w:kern w:val="2"/>
          <w:sz w:val="32"/>
          <w:szCs w:val="32"/>
          <w14:ligatures w14:val="standardContextual"/>
        </w:rPr>
      </w:pPr>
      <w:r>
        <w:rPr>
          <w:rFonts w:hint="eastAsia" w:ascii="仿宋_GB2312" w:hAnsi="楷体" w:eastAsia="仿宋_GB2312" w:cstheme="minorBidi"/>
          <w:color w:val="auto"/>
          <w:kern w:val="2"/>
          <w:sz w:val="32"/>
          <w:szCs w:val="32"/>
          <w14:ligatures w14:val="standardContextual"/>
        </w:rPr>
        <w:t>1.采用定点值守+徒步+机动巡逻结合模式，覆盖教学楼、办公楼、宿舍、食堂、操场、实验室、围墙、校园外围偏僻区域，无巡逻盲区。</w:t>
      </w:r>
    </w:p>
    <w:p w14:paraId="1EE22626">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color w:val="auto"/>
          <w:kern w:val="2"/>
          <w:sz w:val="32"/>
          <w:szCs w:val="32"/>
          <w14:ligatures w14:val="standardContextual"/>
        </w:rPr>
      </w:pPr>
      <w:r>
        <w:rPr>
          <w:rFonts w:hint="eastAsia" w:ascii="仿宋_GB2312" w:hAnsi="楷体" w:eastAsia="仿宋_GB2312" w:cstheme="minorBidi"/>
          <w:color w:val="auto"/>
          <w:kern w:val="2"/>
          <w:sz w:val="32"/>
          <w:szCs w:val="32"/>
          <w14:ligatures w14:val="standardContextual"/>
        </w:rPr>
        <w:t>2.加密课间、夜间、节假日、上下学高峰巡逻频次，及时劝阻打架斗殴、盗窃、损毁公物、翻越围墙等行为；排查消防、围墙、门窗等安全隐患，第一时间上报校方并临时管控。</w:t>
      </w:r>
    </w:p>
    <w:p w14:paraId="6398123A">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color w:val="auto"/>
          <w:kern w:val="2"/>
          <w:sz w:val="32"/>
          <w:szCs w:val="32"/>
          <w14:ligatures w14:val="standardContextual"/>
        </w:rPr>
      </w:pPr>
      <w:r>
        <w:rPr>
          <w:rFonts w:hint="eastAsia" w:ascii="仿宋_GB2312" w:hAnsi="楷体" w:eastAsia="仿宋_GB2312" w:cstheme="minorBidi"/>
          <w:color w:val="auto"/>
          <w:kern w:val="2"/>
          <w:sz w:val="32"/>
          <w:szCs w:val="32"/>
          <w14:ligatures w14:val="standardContextual"/>
        </w:rPr>
        <w:t>3.完整填写巡逻台账，记录时段、路线、问题、处置措施，纸质档案留存，全程可追溯核查。</w:t>
      </w:r>
    </w:p>
    <w:p w14:paraId="22276D69">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color w:val="auto"/>
          <w:kern w:val="2"/>
          <w:sz w:val="32"/>
          <w:szCs w:val="32"/>
          <w14:ligatures w14:val="standardContextual"/>
        </w:rPr>
      </w:pPr>
      <w:r>
        <w:rPr>
          <w:rFonts w:hint="eastAsia" w:ascii="仿宋_GB2312" w:hAnsi="楷体" w:eastAsia="仿宋_GB2312" w:cstheme="minorBidi"/>
          <w:b w:val="0"/>
          <w:bCs w:val="0"/>
          <w:color w:val="auto"/>
          <w:kern w:val="2"/>
          <w:sz w:val="32"/>
          <w:szCs w:val="32"/>
          <w14:ligatures w14:val="standardContextual"/>
        </w:rPr>
        <w:t>（三）校园交通秩序管理</w:t>
      </w:r>
    </w:p>
    <w:p w14:paraId="32C67E43">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color w:val="auto"/>
          <w:kern w:val="2"/>
          <w:sz w:val="32"/>
          <w:szCs w:val="32"/>
          <w14:ligatures w14:val="standardContextual"/>
        </w:rPr>
      </w:pPr>
      <w:r>
        <w:rPr>
          <w:rFonts w:hint="eastAsia" w:ascii="仿宋_GB2312" w:hAnsi="楷体" w:eastAsia="仿宋_GB2312" w:cstheme="minorBidi"/>
          <w:color w:val="auto"/>
          <w:kern w:val="2"/>
          <w:sz w:val="32"/>
          <w:szCs w:val="32"/>
          <w14:ligatures w14:val="standardContextual"/>
        </w:rPr>
        <w:t>1.引导校内车辆按路线、指定区域有序停放，及时劝阻乱停乱放，消除道路拥堵。</w:t>
      </w:r>
    </w:p>
    <w:p w14:paraId="39968160">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color w:val="auto"/>
          <w:kern w:val="2"/>
          <w:sz w:val="32"/>
          <w:szCs w:val="32"/>
          <w14:ligatures w14:val="standardContextual"/>
        </w:rPr>
      </w:pPr>
      <w:r>
        <w:rPr>
          <w:rFonts w:hint="eastAsia" w:ascii="仿宋_GB2312" w:hAnsi="楷体" w:eastAsia="仿宋_GB2312" w:cstheme="minorBidi"/>
          <w:color w:val="auto"/>
          <w:kern w:val="2"/>
          <w:sz w:val="32"/>
          <w:szCs w:val="32"/>
          <w14:ligatures w14:val="standardContextual"/>
        </w:rPr>
        <w:t>2.定期巡查减速带、隔离桩、交通标识，破损缺失立即上报；协助处置校内轻微车辆剐蹭事故。</w:t>
      </w:r>
    </w:p>
    <w:p w14:paraId="26EF060B">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color w:val="auto"/>
          <w:kern w:val="2"/>
          <w:sz w:val="32"/>
          <w:szCs w:val="32"/>
          <w14:ligatures w14:val="standardContextual"/>
        </w:rPr>
      </w:pPr>
      <w:r>
        <w:rPr>
          <w:rFonts w:hint="eastAsia" w:ascii="仿宋_GB2312" w:hAnsi="楷体" w:eastAsia="仿宋_GB2312" w:cstheme="minorBidi"/>
          <w:color w:val="auto"/>
          <w:kern w:val="2"/>
          <w:sz w:val="32"/>
          <w:szCs w:val="32"/>
          <w14:ligatures w14:val="standardContextual"/>
        </w:rPr>
        <w:t>3.早晚通勤高峰专人定点疏导，分离人车流线，杜绝校内交通安全事故。</w:t>
      </w:r>
    </w:p>
    <w:p w14:paraId="0E7C8EF1">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color w:val="auto"/>
          <w:kern w:val="2"/>
          <w:sz w:val="32"/>
          <w:szCs w:val="32"/>
          <w14:ligatures w14:val="standardContextual"/>
        </w:rPr>
      </w:pPr>
      <w:r>
        <w:rPr>
          <w:rFonts w:hint="eastAsia" w:ascii="仿宋_GB2312" w:hAnsi="楷体" w:eastAsia="仿宋_GB2312" w:cstheme="minorBidi"/>
          <w:b w:val="0"/>
          <w:bCs w:val="0"/>
          <w:color w:val="auto"/>
          <w:kern w:val="2"/>
          <w:sz w:val="32"/>
          <w:szCs w:val="32"/>
          <w14:ligatures w14:val="standardContextual"/>
        </w:rPr>
        <w:t>（四）监控及消防中控值守与安全隐患排查</w:t>
      </w:r>
    </w:p>
    <w:p w14:paraId="2FA518EA">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sz w:val="32"/>
          <w:szCs w:val="32"/>
          <w14:ligatures w14:val="standardContextual"/>
        </w:rPr>
      </w:pPr>
      <w:r>
        <w:rPr>
          <w:rFonts w:hint="eastAsia" w:ascii="仿宋_GB2312" w:hAnsi="楷体" w:eastAsia="仿宋_GB2312" w:cstheme="minorBidi"/>
          <w:b w:val="0"/>
          <w:bCs w:val="0"/>
          <w:color w:val="auto"/>
          <w:kern w:val="2"/>
          <w:sz w:val="32"/>
          <w:szCs w:val="32"/>
          <w14:ligatures w14:val="standardContextual"/>
        </w:rPr>
        <w:t>1.监控室2名人员24小时在岗值守，熟练操作监控，实时盯控全校监控画面；发现异常5分钟内</w:t>
      </w:r>
      <w:r>
        <w:rPr>
          <w:rFonts w:hint="eastAsia" w:ascii="仿宋_GB2312" w:hAnsi="楷体" w:eastAsia="仿宋_GB2312" w:cstheme="minorBidi"/>
          <w:b w:val="0"/>
          <w:bCs w:val="0"/>
          <w:kern w:val="2"/>
          <w:sz w:val="32"/>
          <w:szCs w:val="32"/>
          <w14:ligatures w14:val="standardContextual"/>
        </w:rPr>
        <w:t>调度现场安保处置，规范录像存储、调阅、保管。常态化开展设施巡检，监控设备故障第一时间上报报修，严禁私自拷贝、外传监控视频。</w:t>
      </w:r>
    </w:p>
    <w:p w14:paraId="0A19F491">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sz w:val="32"/>
          <w:szCs w:val="32"/>
          <w14:ligatures w14:val="standardContextual"/>
        </w:rPr>
      </w:pPr>
      <w:r>
        <w:rPr>
          <w:rFonts w:hint="eastAsia" w:ascii="仿宋_GB2312" w:hAnsi="楷体" w:eastAsia="仿宋_GB2312" w:cstheme="minorBidi"/>
          <w:b w:val="0"/>
          <w:bCs w:val="0"/>
          <w:color w:val="auto"/>
          <w:kern w:val="2"/>
          <w:sz w:val="32"/>
          <w:szCs w:val="32"/>
          <w14:ligatures w14:val="standardContextual"/>
        </w:rPr>
        <w:t>2.消防中控1名人员须持初级及以上消防设施操作员证书，人证合一，</w:t>
      </w:r>
      <w:r>
        <w:rPr>
          <w:rFonts w:hint="eastAsia" w:ascii="仿宋_GB2312" w:hAnsi="楷体" w:eastAsia="仿宋_GB2312" w:cstheme="minorBidi"/>
          <w:b w:val="0"/>
          <w:bCs w:val="0"/>
          <w:kern w:val="2"/>
          <w:sz w:val="32"/>
          <w:szCs w:val="32"/>
          <w14:ligatures w14:val="standardContextual"/>
        </w:rPr>
        <w:t>严禁证书挂靠转借；经背景审查无违法前科，身体健康无嗜睡、心脑血管等妨碍值守疾病；熟练操作火灾报警主机、应急广播、防火卷帘、喷淋等消防联动系统，熟知校园消防点位、疏散通道；经校方岗前培训考核合格上岗，严禁脱岗、睡岗、做无关事项，管控中控室人员出入，钥匙、密码专人保管，严格执行交接班签字制度。</w:t>
      </w:r>
    </w:p>
    <w:p w14:paraId="0DD9618B">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color w:val="auto"/>
          <w:kern w:val="2"/>
          <w:sz w:val="32"/>
          <w:szCs w:val="32"/>
          <w14:ligatures w14:val="standardContextual"/>
        </w:rPr>
      </w:pPr>
      <w:r>
        <w:rPr>
          <w:rFonts w:hint="eastAsia" w:ascii="仿宋_GB2312" w:hAnsi="楷体" w:eastAsia="仿宋_GB2312" w:cstheme="minorBidi"/>
          <w:b w:val="0"/>
          <w:bCs w:val="0"/>
          <w:color w:val="auto"/>
          <w:kern w:val="2"/>
          <w:sz w:val="32"/>
          <w:szCs w:val="32"/>
          <w14:ligatures w14:val="standardContextual"/>
        </w:rPr>
        <w:t>3.中控人员24小时监测消防主机信号，精准区分火警、故障、误报；接到警报第一时间现场核查，属实火情立即上报校安保负责人、启动应急流程，必要时拨打119；误报警及时复位并登记台账；每日巡检消防控制系统，设备故障及时报备报修，全程配合学校消防演练；停电后及时切换备用设备，保障消防系统不间断运行。</w:t>
      </w:r>
    </w:p>
    <w:p w14:paraId="2EBAB5E9">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sz w:val="32"/>
          <w:szCs w:val="32"/>
          <w14:ligatures w14:val="standardContextual"/>
        </w:rPr>
      </w:pPr>
      <w:r>
        <w:rPr>
          <w:rFonts w:hint="eastAsia" w:ascii="仿宋_GB2312" w:hAnsi="楷体" w:eastAsia="仿宋_GB2312" w:cstheme="minorBidi"/>
          <w:b w:val="0"/>
          <w:bCs w:val="0"/>
          <w:color w:val="auto"/>
          <w:kern w:val="2"/>
          <w:sz w:val="32"/>
          <w:szCs w:val="32"/>
          <w14:ligatures w14:val="standardContextual"/>
        </w:rPr>
        <w:t>4.全员常态化排查消防器材、安防器械、水电管线、护栏门窗，建立隐患台账，上报校方并全程配合整改闭环。若</w:t>
      </w:r>
      <w:r>
        <w:rPr>
          <w:rFonts w:hint="eastAsia" w:ascii="仿宋_GB2312" w:hAnsi="楷体" w:eastAsia="仿宋_GB2312" w:cstheme="minorBidi"/>
          <w:b w:val="0"/>
          <w:bCs w:val="0"/>
          <w:kern w:val="2"/>
          <w:sz w:val="32"/>
          <w:szCs w:val="32"/>
          <w14:ligatures w14:val="standardContextual"/>
        </w:rPr>
        <w:t>出现中控无证上岗、脱岗、履职疏漏，校方有权要求整改、更换人员，因失职造成安全事故及损失，由服务商全权承担。</w:t>
      </w:r>
    </w:p>
    <w:p w14:paraId="48199707">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sz w:val="32"/>
          <w:szCs w:val="32"/>
          <w14:ligatures w14:val="standardContextual"/>
        </w:rPr>
      </w:pPr>
      <w:r>
        <w:rPr>
          <w:rFonts w:hint="eastAsia" w:ascii="仿宋_GB2312" w:hAnsi="楷体" w:eastAsia="仿宋_GB2312" w:cstheme="minorBidi"/>
          <w:b w:val="0"/>
          <w:bCs w:val="0"/>
          <w:kern w:val="2"/>
          <w:sz w:val="32"/>
          <w:szCs w:val="32"/>
          <w14:ligatures w14:val="standardContextual"/>
        </w:rPr>
        <w:t>（五）突发事件应急处置</w:t>
      </w:r>
    </w:p>
    <w:p w14:paraId="2A5A6F78">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1.突发事件应急处理：对校园内及周边区域突发事件的处置、灾害预防、⽕灾扑救等，建⽴预案，随时准备提供紧急救助；积极开展安全隐患排查，及时上报；如遇⽕警，要做到快速反应，处理及时。</w:t>
      </w:r>
    </w:p>
    <w:p w14:paraId="02762F40">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2.突发情况在岗安保人员5分钟内抵达现场，开展隔离、疏散、维稳；重大事件第一时间同步上报校方、属地公安、消防、医疗部门，配合调查救援。</w:t>
      </w:r>
    </w:p>
    <w:p w14:paraId="4AFF3FE1">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3.每季度组织全员应急实战演练，熟练掌握疏散、防暴、灭火实操技能。</w:t>
      </w:r>
    </w:p>
    <w:p w14:paraId="221BB5E1">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sz w:val="32"/>
          <w:szCs w:val="32"/>
          <w14:ligatures w14:val="standardContextual"/>
        </w:rPr>
      </w:pPr>
      <w:r>
        <w:rPr>
          <w:rFonts w:hint="eastAsia" w:ascii="仿宋_GB2312" w:hAnsi="楷体" w:eastAsia="仿宋_GB2312" w:cstheme="minorBidi"/>
          <w:b w:val="0"/>
          <w:bCs w:val="0"/>
          <w:kern w:val="2"/>
          <w:sz w:val="32"/>
          <w:szCs w:val="32"/>
          <w14:ligatures w14:val="standardContextual"/>
        </w:rPr>
        <w:t>（六）配套综合安保服务</w:t>
      </w:r>
    </w:p>
    <w:p w14:paraId="0A35874C">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1.配合学校开展消防科普、应急疏散演练、学生安全主题教育。</w:t>
      </w:r>
    </w:p>
    <w:p w14:paraId="0C53C62E">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2.全权承担开学典礼、运动会、文艺汇演、中高考、家长会等大型活动现场安保、人流分流、风险防控。</w:t>
      </w:r>
    </w:p>
    <w:p w14:paraId="5EE4464A">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3.承接校方交办各类临时、突发性安保任务。</w:t>
      </w:r>
    </w:p>
    <w:p w14:paraId="78456EA4">
      <w:pPr>
        <w:pStyle w:val="2"/>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14:ligatures w14:val="standardContextual"/>
        </w:rPr>
      </w:pPr>
      <w:r>
        <w:rPr>
          <w:rFonts w:hint="eastAsia" w:ascii="仿宋_GB2312" w:hAnsi="楷体" w:eastAsia="仿宋_GB2312" w:cstheme="minorBidi"/>
          <w:b w:val="0"/>
          <w:bCs w:val="0"/>
          <w:kern w:val="2"/>
          <w14:ligatures w14:val="standardContextual"/>
        </w:rPr>
        <w:t>七、技术服务要求</w:t>
      </w:r>
    </w:p>
    <w:p w14:paraId="3BB4C247">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1.建立适配普通高中的标准化安保管理体系，包含岗位职责、24小时轮岗、交接班、培训、应急处置全套制度文件。</w:t>
      </w:r>
    </w:p>
    <w:p w14:paraId="72139C2A">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2.设立本项目专属管理架构：配置专职项目</w:t>
      </w:r>
      <w:r>
        <w:rPr>
          <w:rFonts w:hint="eastAsia" w:ascii="仿宋_GB2312" w:hAnsi="楷体" w:eastAsia="仿宋_GB2312" w:cstheme="minorBidi"/>
          <w:kern w:val="2"/>
          <w:sz w:val="32"/>
          <w:szCs w:val="32"/>
          <w:lang w:val="en-US" w:eastAsia="zh-CN"/>
          <w14:ligatures w14:val="standardContextual"/>
        </w:rPr>
        <w:t>保安队长</w:t>
      </w:r>
      <w:r>
        <w:rPr>
          <w:rFonts w:hint="eastAsia" w:ascii="仿宋_GB2312" w:hAnsi="楷体" w:eastAsia="仿宋_GB2312" w:cstheme="minorBidi"/>
          <w:kern w:val="2"/>
          <w:sz w:val="32"/>
          <w:szCs w:val="32"/>
          <w14:ligatures w14:val="standardContextual"/>
        </w:rPr>
        <w:t>1名，全职驻校统筹安保工作，每月与学校安保科室召开工作例会，及时落实校方整改要求。</w:t>
      </w:r>
    </w:p>
    <w:p w14:paraId="433575FC">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3.配备16名人员</w:t>
      </w:r>
      <w:r>
        <w:rPr>
          <w:rFonts w:hint="eastAsia" w:ascii="仿宋_GB2312" w:hAnsi="楷体" w:eastAsia="仿宋_GB2312" w:cstheme="minorBidi"/>
          <w:color w:val="auto"/>
          <w:kern w:val="2"/>
          <w:sz w:val="32"/>
          <w:szCs w:val="32"/>
          <w14:ligatures w14:val="standardContextual"/>
        </w:rPr>
        <w:t>，全部人员年龄≤50周岁，无</w:t>
      </w:r>
      <w:r>
        <w:rPr>
          <w:rFonts w:hint="eastAsia" w:ascii="仿宋_GB2312" w:hAnsi="楷体" w:eastAsia="仿宋_GB2312" w:cstheme="minorBidi"/>
          <w:kern w:val="2"/>
          <w:sz w:val="32"/>
          <w:szCs w:val="32"/>
          <w14:ligatures w14:val="standardContextual"/>
        </w:rPr>
        <w:t>违法犯罪记录；统一制式服</w:t>
      </w:r>
      <w:bookmarkStart w:id="1" w:name="_GoBack"/>
      <w:bookmarkEnd w:id="1"/>
      <w:r>
        <w:rPr>
          <w:rFonts w:hint="eastAsia" w:ascii="仿宋_GB2312" w:hAnsi="楷体" w:eastAsia="仿宋_GB2312" w:cstheme="minorBidi"/>
          <w:kern w:val="2"/>
          <w:sz w:val="32"/>
          <w:szCs w:val="32"/>
          <w14:ligatures w14:val="standardContextual"/>
        </w:rPr>
        <w:t>装，仪容礼仪规范。</w:t>
      </w:r>
    </w:p>
    <w:p w14:paraId="71A2750D">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4.培训机制：岗前集中培训+每月1次专项业务培训，内容涵盖治安法规、门禁规范、防暴器材、消防实操、文明执勤；每季度开展应急演练活动。</w:t>
      </w:r>
    </w:p>
    <w:p w14:paraId="658FACC4">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lang w:eastAsia="zh-CN"/>
          <w14:ligatures w14:val="standardContextual"/>
        </w:rPr>
      </w:pPr>
      <w:r>
        <w:rPr>
          <w:rFonts w:hint="eastAsia" w:ascii="仿宋_GB2312" w:hAnsi="楷体" w:eastAsia="仿宋_GB2312" w:cstheme="minorBidi"/>
          <w:kern w:val="2"/>
          <w:sz w:val="32"/>
          <w:szCs w:val="32"/>
          <w14:ligatures w14:val="standardContextual"/>
        </w:rPr>
        <w:t>5.全流程台账档案管理：分类归档人员资料、考勤、巡逻记录、隐患整改单、突发事件报告、培训演练材料；单年度档案留存至服务期满后1年</w:t>
      </w:r>
      <w:r>
        <w:rPr>
          <w:rFonts w:hint="eastAsia" w:ascii="仿宋_GB2312" w:hAnsi="楷体" w:eastAsia="仿宋_GB2312" w:cstheme="minorBidi"/>
          <w:kern w:val="2"/>
          <w:sz w:val="32"/>
          <w:szCs w:val="32"/>
          <w:lang w:eastAsia="zh-CN"/>
          <w14:ligatures w14:val="standardContextual"/>
        </w:rPr>
        <w:t>。</w:t>
      </w:r>
    </w:p>
    <w:p w14:paraId="5D51AA59">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6.建立校警联防机制，主动对接辖区派出所、消防救援站，实现突发事件快速联动处置。</w:t>
      </w:r>
    </w:p>
    <w:p w14:paraId="637EA6C1">
      <w:pPr>
        <w:pStyle w:val="2"/>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ascii="仿宋_GB2312" w:hAnsi="楷体" w:eastAsia="仿宋_GB2312" w:cstheme="minorBidi"/>
          <w:b w:val="0"/>
          <w:bCs w:val="0"/>
          <w:kern w:val="2"/>
          <w:highlight w:val="none"/>
          <w14:ligatures w14:val="standardContextual"/>
        </w:rPr>
      </w:pPr>
      <w:r>
        <w:rPr>
          <w:rFonts w:hint="eastAsia" w:ascii="仿宋_GB2312" w:hAnsi="楷体" w:eastAsia="仿宋_GB2312" w:cstheme="minorBidi"/>
          <w:b w:val="0"/>
          <w:bCs w:val="0"/>
          <w:kern w:val="2"/>
          <w:highlight w:val="none"/>
          <w14:ligatures w14:val="standardContextual"/>
        </w:rPr>
        <w:t>八、商务履约要求</w:t>
      </w:r>
    </w:p>
    <w:p w14:paraId="1860E3ED">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sz w:val="32"/>
          <w:szCs w:val="32"/>
          <w14:ligatures w14:val="standardContextual"/>
        </w:rPr>
      </w:pPr>
      <w:r>
        <w:rPr>
          <w:rFonts w:hint="eastAsia" w:ascii="仿宋_GB2312" w:hAnsi="楷体" w:eastAsia="仿宋_GB2312" w:cstheme="minorBidi"/>
          <w:b w:val="0"/>
          <w:bCs w:val="0"/>
          <w:kern w:val="2"/>
          <w:sz w:val="32"/>
          <w:szCs w:val="32"/>
          <w14:ligatures w14:val="standardContextual"/>
        </w:rPr>
        <w:t>（</w:t>
      </w:r>
      <w:r>
        <w:rPr>
          <w:rFonts w:hint="eastAsia" w:ascii="仿宋_GB2312" w:hAnsi="楷体" w:eastAsia="仿宋_GB2312" w:cstheme="minorBidi"/>
          <w:b w:val="0"/>
          <w:bCs w:val="0"/>
          <w:kern w:val="2"/>
          <w:sz w:val="32"/>
          <w:szCs w:val="32"/>
          <w:lang w:val="en-US" w:eastAsia="zh-CN"/>
          <w14:ligatures w14:val="standardContextual"/>
        </w:rPr>
        <w:t>一</w:t>
      </w:r>
      <w:r>
        <w:rPr>
          <w:rFonts w:hint="eastAsia" w:ascii="仿宋_GB2312" w:hAnsi="楷体" w:eastAsia="仿宋_GB2312" w:cstheme="minorBidi"/>
          <w:b w:val="0"/>
          <w:bCs w:val="0"/>
          <w:kern w:val="2"/>
          <w:sz w:val="32"/>
          <w:szCs w:val="32"/>
          <w14:ligatures w14:val="standardContextual"/>
        </w:rPr>
        <w:t>）人员进场要求</w:t>
      </w:r>
    </w:p>
    <w:p w14:paraId="6C723859">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合同签订生效3个工作日内，16名安保人员全部到岗、完成排班、正式驻校履职；进场7日内向校方完整提交管理方案、人员花名册、岗位职责、全套制度、应急处置预案。</w:t>
      </w:r>
    </w:p>
    <w:p w14:paraId="7A3A4E00">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sz w:val="32"/>
          <w:szCs w:val="32"/>
          <w14:ligatures w14:val="standardContextual"/>
        </w:rPr>
      </w:pPr>
      <w:r>
        <w:rPr>
          <w:rFonts w:hint="eastAsia" w:ascii="仿宋_GB2312" w:hAnsi="楷体" w:eastAsia="仿宋_GB2312" w:cstheme="minorBidi"/>
          <w:b w:val="0"/>
          <w:bCs w:val="0"/>
          <w:kern w:val="2"/>
          <w:sz w:val="32"/>
          <w:szCs w:val="32"/>
          <w14:ligatures w14:val="standardContextual"/>
        </w:rPr>
        <w:t>（</w:t>
      </w:r>
      <w:r>
        <w:rPr>
          <w:rFonts w:hint="eastAsia" w:ascii="仿宋_GB2312" w:hAnsi="楷体" w:eastAsia="仿宋_GB2312" w:cstheme="minorBidi"/>
          <w:b w:val="0"/>
          <w:bCs w:val="0"/>
          <w:kern w:val="2"/>
          <w:sz w:val="32"/>
          <w:szCs w:val="32"/>
          <w:lang w:val="en-US" w:eastAsia="zh-CN"/>
          <w14:ligatures w14:val="standardContextual"/>
        </w:rPr>
        <w:t>二</w:t>
      </w:r>
      <w:r>
        <w:rPr>
          <w:rFonts w:hint="eastAsia" w:ascii="仿宋_GB2312" w:hAnsi="楷体" w:eastAsia="仿宋_GB2312" w:cstheme="minorBidi"/>
          <w:b w:val="0"/>
          <w:bCs w:val="0"/>
          <w:kern w:val="2"/>
          <w:sz w:val="32"/>
          <w:szCs w:val="32"/>
          <w14:ligatures w14:val="standardContextual"/>
        </w:rPr>
        <w:t>）款项结算方式</w:t>
      </w:r>
    </w:p>
    <w:p w14:paraId="1339F372">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方正仿宋_GB2312" w:eastAsia="仿宋_GB2312" w:cs="方正仿宋_GB2312"/>
          <w:sz w:val="32"/>
          <w:szCs w:val="32"/>
        </w:rPr>
      </w:pPr>
      <w:bookmarkStart w:id="0" w:name="OLE_LINK3"/>
      <w:r>
        <w:rPr>
          <w:rFonts w:hint="eastAsia" w:ascii="仿宋_GB2312" w:hAnsi="方正仿宋_GB2312" w:eastAsia="仿宋_GB2312" w:cs="方正仿宋_GB2312"/>
          <w:sz w:val="32"/>
          <w:szCs w:val="32"/>
        </w:rPr>
        <w:t>每月5日内，甲乙双方依据甲方月度考核结果确认当月服务费用；乙方需在确认后3日内开具合法有效发票，甲方收到发票后10日内支付上月费用。</w:t>
      </w:r>
    </w:p>
    <w:bookmarkEnd w:id="0"/>
    <w:p w14:paraId="5BCC65ED">
      <w:pPr>
        <w:pStyle w:val="3"/>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sz w:val="32"/>
          <w:szCs w:val="32"/>
          <w14:ligatures w14:val="standardContextual"/>
        </w:rPr>
      </w:pPr>
      <w:r>
        <w:rPr>
          <w:rFonts w:hint="eastAsia" w:ascii="仿宋_GB2312" w:hAnsi="楷体" w:eastAsia="仿宋_GB2312" w:cstheme="minorBidi"/>
          <w:b w:val="0"/>
          <w:bCs w:val="0"/>
          <w:kern w:val="2"/>
          <w:sz w:val="32"/>
          <w:szCs w:val="32"/>
          <w14:ligatures w14:val="standardContextual"/>
        </w:rPr>
        <w:t>（</w:t>
      </w:r>
      <w:r>
        <w:rPr>
          <w:rFonts w:hint="eastAsia" w:ascii="仿宋_GB2312" w:hAnsi="楷体" w:eastAsia="仿宋_GB2312" w:cstheme="minorBidi"/>
          <w:b w:val="0"/>
          <w:bCs w:val="0"/>
          <w:kern w:val="2"/>
          <w:sz w:val="32"/>
          <w:szCs w:val="32"/>
          <w:lang w:val="en-US" w:eastAsia="zh-CN"/>
          <w14:ligatures w14:val="standardContextual"/>
        </w:rPr>
        <w:t>三</w:t>
      </w:r>
      <w:r>
        <w:rPr>
          <w:rFonts w:hint="eastAsia" w:ascii="仿宋_GB2312" w:hAnsi="楷体" w:eastAsia="仿宋_GB2312" w:cstheme="minorBidi"/>
          <w:b w:val="0"/>
          <w:bCs w:val="0"/>
          <w:kern w:val="2"/>
          <w:sz w:val="32"/>
          <w:szCs w:val="32"/>
          <w14:ligatures w14:val="standardContextual"/>
        </w:rPr>
        <w:t>）进度与资料报送</w:t>
      </w:r>
    </w:p>
    <w:p w14:paraId="2D567FCE">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1.每月向校方报送月度安保台账、工作小结、隐患整改清单；</w:t>
      </w:r>
    </w:p>
    <w:p w14:paraId="50FEBB0E">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2.每季度提交应急演练记录、人员培训资料；</w:t>
      </w:r>
    </w:p>
    <w:p w14:paraId="11F46AEE">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3.年度末提交年度服务总结、全套归档资料，配合校方年度综合考核。</w:t>
      </w:r>
    </w:p>
    <w:p w14:paraId="1C2A301E">
      <w:pPr>
        <w:pStyle w:val="2"/>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b w:val="0"/>
          <w:bCs w:val="0"/>
          <w:kern w:val="2"/>
          <w14:ligatures w14:val="standardContextual"/>
        </w:rPr>
      </w:pPr>
      <w:r>
        <w:rPr>
          <w:rFonts w:hint="eastAsia" w:ascii="仿宋_GB2312" w:hAnsi="楷体" w:eastAsia="仿宋_GB2312" w:cstheme="minorBidi"/>
          <w:b w:val="0"/>
          <w:bCs w:val="0"/>
          <w:kern w:val="2"/>
          <w14:ligatures w14:val="standardContextual"/>
        </w:rPr>
        <w:t>九、服务质量考核标准</w:t>
      </w:r>
    </w:p>
    <w:p w14:paraId="383C180D">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校方实行日常抽查+月度考核+年度综合考核三级评价，考核结果分为优秀、合格、不合格三档：</w:t>
      </w:r>
    </w:p>
    <w:p w14:paraId="65090B49">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1.在岗管理：24小时值守在岗率100%，杜绝脱岗、睡岗、擅离岗位，月度执勤违规率≤1%；</w:t>
      </w:r>
    </w:p>
    <w:p w14:paraId="35F51972">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2.安防管控：门禁、巡逻、隐患排查全部落地，无关人员私自入校，服务期内无校方责任治安、安全事故；</w:t>
      </w:r>
    </w:p>
    <w:p w14:paraId="24EA8304">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3.服务礼仪：文明执勤，师生、家长有效投诉率低于2%；投诉24小时响应、核查、整改、反馈闭环；</w:t>
      </w:r>
    </w:p>
    <w:p w14:paraId="3200E404">
      <w:pPr>
        <w:pStyle w:val="39"/>
        <w:keepNext w:val="0"/>
        <w:keepLines w:val="0"/>
        <w:pageBreakBefore w:val="0"/>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14:ligatures w14:val="standardContextual"/>
        </w:rPr>
      </w:pPr>
      <w:r>
        <w:rPr>
          <w:rFonts w:hint="eastAsia" w:ascii="仿宋_GB2312" w:hAnsi="楷体" w:eastAsia="仿宋_GB2312" w:cstheme="minorBidi"/>
          <w:kern w:val="2"/>
          <w:sz w:val="32"/>
          <w:szCs w:val="32"/>
          <w14:ligatures w14:val="standardContextual"/>
        </w:rPr>
        <w:t>4.应急处置：突发事件响应及时、流程规范，主动配合公安、消防、学校完成各类安保保障；</w:t>
      </w:r>
    </w:p>
    <w:p w14:paraId="5D329311">
      <w:pPr>
        <w:pStyle w:val="39"/>
        <w:keepNext w:val="0"/>
        <w:keepLines w:val="0"/>
        <w:pageBreakBefore w:val="0"/>
        <w:tabs>
          <w:tab w:val="left" w:pos="826"/>
        </w:tabs>
        <w:kinsoku/>
        <w:wordWrap/>
        <w:overflowPunct/>
        <w:topLinePunct w:val="0"/>
        <w:autoSpaceDE/>
        <w:autoSpaceDN/>
        <w:bidi w:val="0"/>
        <w:adjustRightInd/>
        <w:snapToGrid/>
        <w:spacing w:before="0" w:after="0" w:line="500" w:lineRule="exact"/>
        <w:ind w:firstLine="640" w:firstLineChars="200"/>
        <w:textAlignment w:val="auto"/>
        <w:rPr>
          <w:rFonts w:hint="eastAsia" w:ascii="仿宋_GB2312" w:hAnsi="楷体" w:eastAsia="仿宋_GB2312" w:cstheme="minorBidi"/>
          <w:kern w:val="2"/>
          <w:sz w:val="32"/>
          <w:szCs w:val="32"/>
          <w:lang w:eastAsia="zh-CN"/>
          <w14:ligatures w14:val="standardContextual"/>
        </w:rPr>
      </w:pPr>
      <w:r>
        <w:rPr>
          <w:rFonts w:hint="eastAsia" w:ascii="仿宋_GB2312" w:hAnsi="楷体" w:eastAsia="仿宋_GB2312" w:cstheme="minorBidi"/>
          <w:kern w:val="2"/>
          <w:sz w:val="32"/>
          <w:szCs w:val="32"/>
          <w:lang w:eastAsia="zh-CN"/>
          <w14:ligatures w14:val="standardContextual"/>
        </w:rPr>
        <w:t>5.消防中控专项考核：中控人员持证在岗、规范交接班，消防信号处置及时、台账完整，无因值守疏漏产生消防隐患。</w:t>
      </w:r>
    </w:p>
    <w:sectPr>
      <w:pgSz w:w="11906" w:h="16838"/>
      <w:pgMar w:top="1757" w:right="1587" w:bottom="158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10" w:usb3="00000000" w:csb0="0004009F" w:csb1="00000000"/>
  </w:font>
  <w:font w:name="Calibri Light">
    <w:panose1 w:val="020F03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font>
  <w:font w:name="KSOF439F63AF">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87C"/>
    <w:rsid w:val="0000159C"/>
    <w:rsid w:val="000019FA"/>
    <w:rsid w:val="00002BB3"/>
    <w:rsid w:val="0000353B"/>
    <w:rsid w:val="00003F53"/>
    <w:rsid w:val="00004F9A"/>
    <w:rsid w:val="00006A52"/>
    <w:rsid w:val="00012137"/>
    <w:rsid w:val="00012844"/>
    <w:rsid w:val="00012F9B"/>
    <w:rsid w:val="00013929"/>
    <w:rsid w:val="00014DAF"/>
    <w:rsid w:val="00015802"/>
    <w:rsid w:val="00016042"/>
    <w:rsid w:val="00022F41"/>
    <w:rsid w:val="00023261"/>
    <w:rsid w:val="000234CF"/>
    <w:rsid w:val="000235C8"/>
    <w:rsid w:val="00027E6B"/>
    <w:rsid w:val="0003251F"/>
    <w:rsid w:val="00032BB4"/>
    <w:rsid w:val="00033377"/>
    <w:rsid w:val="00033B5A"/>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51C6"/>
    <w:rsid w:val="00095A8D"/>
    <w:rsid w:val="00096428"/>
    <w:rsid w:val="00097CDB"/>
    <w:rsid w:val="000A0237"/>
    <w:rsid w:val="000A2583"/>
    <w:rsid w:val="000B42BB"/>
    <w:rsid w:val="000B5ACF"/>
    <w:rsid w:val="000B6858"/>
    <w:rsid w:val="000C048C"/>
    <w:rsid w:val="000C078B"/>
    <w:rsid w:val="000C21A4"/>
    <w:rsid w:val="000C538D"/>
    <w:rsid w:val="000C59A5"/>
    <w:rsid w:val="000D0AF3"/>
    <w:rsid w:val="000D0DE1"/>
    <w:rsid w:val="000D1277"/>
    <w:rsid w:val="000D4097"/>
    <w:rsid w:val="000E3FB5"/>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6530"/>
    <w:rsid w:val="00107B8A"/>
    <w:rsid w:val="001101BD"/>
    <w:rsid w:val="00111F0F"/>
    <w:rsid w:val="001131D6"/>
    <w:rsid w:val="00113B9B"/>
    <w:rsid w:val="00121FC0"/>
    <w:rsid w:val="00122D76"/>
    <w:rsid w:val="001257D4"/>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361E"/>
    <w:rsid w:val="00156ED5"/>
    <w:rsid w:val="001630D0"/>
    <w:rsid w:val="00164101"/>
    <w:rsid w:val="00164EE1"/>
    <w:rsid w:val="00166FD9"/>
    <w:rsid w:val="00167ECE"/>
    <w:rsid w:val="0017054A"/>
    <w:rsid w:val="00171A61"/>
    <w:rsid w:val="00173749"/>
    <w:rsid w:val="00173A35"/>
    <w:rsid w:val="0017410F"/>
    <w:rsid w:val="00174285"/>
    <w:rsid w:val="00175756"/>
    <w:rsid w:val="00176F0E"/>
    <w:rsid w:val="00180B10"/>
    <w:rsid w:val="00184F72"/>
    <w:rsid w:val="00187846"/>
    <w:rsid w:val="00191A7E"/>
    <w:rsid w:val="00193B5F"/>
    <w:rsid w:val="001947E8"/>
    <w:rsid w:val="00194890"/>
    <w:rsid w:val="00196A1C"/>
    <w:rsid w:val="001A2103"/>
    <w:rsid w:val="001A5309"/>
    <w:rsid w:val="001A5764"/>
    <w:rsid w:val="001B0699"/>
    <w:rsid w:val="001B2019"/>
    <w:rsid w:val="001B26DC"/>
    <w:rsid w:val="001B3EEA"/>
    <w:rsid w:val="001B49FD"/>
    <w:rsid w:val="001C0BA3"/>
    <w:rsid w:val="001C0BBD"/>
    <w:rsid w:val="001C25ED"/>
    <w:rsid w:val="001D1BCB"/>
    <w:rsid w:val="001D22C0"/>
    <w:rsid w:val="001D4171"/>
    <w:rsid w:val="001D576E"/>
    <w:rsid w:val="001D70BC"/>
    <w:rsid w:val="001E2BB9"/>
    <w:rsid w:val="001E6A70"/>
    <w:rsid w:val="001F2059"/>
    <w:rsid w:val="001F49A1"/>
    <w:rsid w:val="001F4ACC"/>
    <w:rsid w:val="001F7532"/>
    <w:rsid w:val="00201795"/>
    <w:rsid w:val="0020498C"/>
    <w:rsid w:val="00207790"/>
    <w:rsid w:val="00210CFC"/>
    <w:rsid w:val="00210FBE"/>
    <w:rsid w:val="002125C8"/>
    <w:rsid w:val="00213205"/>
    <w:rsid w:val="002137AF"/>
    <w:rsid w:val="002174B0"/>
    <w:rsid w:val="00220787"/>
    <w:rsid w:val="0022387C"/>
    <w:rsid w:val="00230C6A"/>
    <w:rsid w:val="00233D53"/>
    <w:rsid w:val="002345B9"/>
    <w:rsid w:val="00237A3F"/>
    <w:rsid w:val="00237C8C"/>
    <w:rsid w:val="0024210D"/>
    <w:rsid w:val="00244C29"/>
    <w:rsid w:val="00247B11"/>
    <w:rsid w:val="00250468"/>
    <w:rsid w:val="00250A0D"/>
    <w:rsid w:val="00250B6E"/>
    <w:rsid w:val="00252050"/>
    <w:rsid w:val="00253B74"/>
    <w:rsid w:val="002547E0"/>
    <w:rsid w:val="00255DBC"/>
    <w:rsid w:val="0025777A"/>
    <w:rsid w:val="00260306"/>
    <w:rsid w:val="00261898"/>
    <w:rsid w:val="00264014"/>
    <w:rsid w:val="0026501F"/>
    <w:rsid w:val="00266611"/>
    <w:rsid w:val="00267AE5"/>
    <w:rsid w:val="00267C8A"/>
    <w:rsid w:val="00271136"/>
    <w:rsid w:val="00273219"/>
    <w:rsid w:val="002742EA"/>
    <w:rsid w:val="0027449B"/>
    <w:rsid w:val="00276641"/>
    <w:rsid w:val="0028033D"/>
    <w:rsid w:val="00282837"/>
    <w:rsid w:val="00291777"/>
    <w:rsid w:val="0029384E"/>
    <w:rsid w:val="002938B0"/>
    <w:rsid w:val="002961E2"/>
    <w:rsid w:val="00296372"/>
    <w:rsid w:val="00297703"/>
    <w:rsid w:val="00297866"/>
    <w:rsid w:val="002A3B25"/>
    <w:rsid w:val="002A6815"/>
    <w:rsid w:val="002B35C4"/>
    <w:rsid w:val="002B36C2"/>
    <w:rsid w:val="002B59BE"/>
    <w:rsid w:val="002B65AB"/>
    <w:rsid w:val="002B696D"/>
    <w:rsid w:val="002C4511"/>
    <w:rsid w:val="002D2B5F"/>
    <w:rsid w:val="002D327B"/>
    <w:rsid w:val="002D41DD"/>
    <w:rsid w:val="002D7418"/>
    <w:rsid w:val="002E1660"/>
    <w:rsid w:val="002E43F6"/>
    <w:rsid w:val="002E7C3E"/>
    <w:rsid w:val="002F1C19"/>
    <w:rsid w:val="002F1C7D"/>
    <w:rsid w:val="002F1EC9"/>
    <w:rsid w:val="002F25EC"/>
    <w:rsid w:val="002F2EAB"/>
    <w:rsid w:val="002F30DD"/>
    <w:rsid w:val="002F3224"/>
    <w:rsid w:val="002F7D7D"/>
    <w:rsid w:val="00300067"/>
    <w:rsid w:val="00300B27"/>
    <w:rsid w:val="0030123B"/>
    <w:rsid w:val="00301FAE"/>
    <w:rsid w:val="003024CF"/>
    <w:rsid w:val="00305BAD"/>
    <w:rsid w:val="00306470"/>
    <w:rsid w:val="00311862"/>
    <w:rsid w:val="00316D60"/>
    <w:rsid w:val="003172BB"/>
    <w:rsid w:val="00322208"/>
    <w:rsid w:val="003245F8"/>
    <w:rsid w:val="00325D47"/>
    <w:rsid w:val="00325EF1"/>
    <w:rsid w:val="00332A7C"/>
    <w:rsid w:val="00337CFC"/>
    <w:rsid w:val="003406B1"/>
    <w:rsid w:val="00343305"/>
    <w:rsid w:val="003443D3"/>
    <w:rsid w:val="003450CD"/>
    <w:rsid w:val="00345F35"/>
    <w:rsid w:val="00351734"/>
    <w:rsid w:val="00354FCF"/>
    <w:rsid w:val="00360830"/>
    <w:rsid w:val="003635C1"/>
    <w:rsid w:val="00364896"/>
    <w:rsid w:val="00366A2C"/>
    <w:rsid w:val="00372CF8"/>
    <w:rsid w:val="00373AE9"/>
    <w:rsid w:val="00374506"/>
    <w:rsid w:val="0037495D"/>
    <w:rsid w:val="00375819"/>
    <w:rsid w:val="00375C89"/>
    <w:rsid w:val="00376DAF"/>
    <w:rsid w:val="003833FB"/>
    <w:rsid w:val="00383F8F"/>
    <w:rsid w:val="00384AC1"/>
    <w:rsid w:val="003872CB"/>
    <w:rsid w:val="00387AFC"/>
    <w:rsid w:val="00390290"/>
    <w:rsid w:val="0039216D"/>
    <w:rsid w:val="00392EBD"/>
    <w:rsid w:val="00393459"/>
    <w:rsid w:val="003943D1"/>
    <w:rsid w:val="0039449C"/>
    <w:rsid w:val="00395695"/>
    <w:rsid w:val="003A0002"/>
    <w:rsid w:val="003A0295"/>
    <w:rsid w:val="003A0D83"/>
    <w:rsid w:val="003B0D75"/>
    <w:rsid w:val="003B3207"/>
    <w:rsid w:val="003C3325"/>
    <w:rsid w:val="003D2606"/>
    <w:rsid w:val="003D39C7"/>
    <w:rsid w:val="003D45F5"/>
    <w:rsid w:val="003D6B60"/>
    <w:rsid w:val="003E010E"/>
    <w:rsid w:val="003E1D81"/>
    <w:rsid w:val="003E7874"/>
    <w:rsid w:val="003F60A3"/>
    <w:rsid w:val="004001BE"/>
    <w:rsid w:val="0040124D"/>
    <w:rsid w:val="004017C8"/>
    <w:rsid w:val="0040181A"/>
    <w:rsid w:val="004024C2"/>
    <w:rsid w:val="004068A7"/>
    <w:rsid w:val="00406C11"/>
    <w:rsid w:val="004106B2"/>
    <w:rsid w:val="00412CBC"/>
    <w:rsid w:val="004156E2"/>
    <w:rsid w:val="0042388D"/>
    <w:rsid w:val="00427ABD"/>
    <w:rsid w:val="004317AB"/>
    <w:rsid w:val="00431DBF"/>
    <w:rsid w:val="00433512"/>
    <w:rsid w:val="0043432D"/>
    <w:rsid w:val="00441D7B"/>
    <w:rsid w:val="00444250"/>
    <w:rsid w:val="00444298"/>
    <w:rsid w:val="004456C5"/>
    <w:rsid w:val="00454666"/>
    <w:rsid w:val="004574A4"/>
    <w:rsid w:val="00463236"/>
    <w:rsid w:val="004657D3"/>
    <w:rsid w:val="0046690A"/>
    <w:rsid w:val="0046782F"/>
    <w:rsid w:val="00471E1E"/>
    <w:rsid w:val="0047278F"/>
    <w:rsid w:val="0047590B"/>
    <w:rsid w:val="00490F98"/>
    <w:rsid w:val="00491349"/>
    <w:rsid w:val="00493684"/>
    <w:rsid w:val="00493E48"/>
    <w:rsid w:val="00496ACE"/>
    <w:rsid w:val="00497530"/>
    <w:rsid w:val="004A00FD"/>
    <w:rsid w:val="004A5CFF"/>
    <w:rsid w:val="004A61D7"/>
    <w:rsid w:val="004A6B5A"/>
    <w:rsid w:val="004B1026"/>
    <w:rsid w:val="004B5992"/>
    <w:rsid w:val="004C093C"/>
    <w:rsid w:val="004C0B7A"/>
    <w:rsid w:val="004C0CA0"/>
    <w:rsid w:val="004C2A01"/>
    <w:rsid w:val="004C5B48"/>
    <w:rsid w:val="004C6493"/>
    <w:rsid w:val="004D2D8E"/>
    <w:rsid w:val="004D4879"/>
    <w:rsid w:val="004D7C23"/>
    <w:rsid w:val="004D7F2C"/>
    <w:rsid w:val="004E07B6"/>
    <w:rsid w:val="004E0B6D"/>
    <w:rsid w:val="004E63AF"/>
    <w:rsid w:val="004F411F"/>
    <w:rsid w:val="004F60D3"/>
    <w:rsid w:val="004F7D8F"/>
    <w:rsid w:val="0050182A"/>
    <w:rsid w:val="00502DB5"/>
    <w:rsid w:val="005053C1"/>
    <w:rsid w:val="00506ECC"/>
    <w:rsid w:val="00510D3F"/>
    <w:rsid w:val="00511E18"/>
    <w:rsid w:val="00512B77"/>
    <w:rsid w:val="00515ADE"/>
    <w:rsid w:val="00515E63"/>
    <w:rsid w:val="005176F4"/>
    <w:rsid w:val="005203BA"/>
    <w:rsid w:val="005220F8"/>
    <w:rsid w:val="00522932"/>
    <w:rsid w:val="0052539A"/>
    <w:rsid w:val="005309DD"/>
    <w:rsid w:val="0053320F"/>
    <w:rsid w:val="005406CD"/>
    <w:rsid w:val="00542C65"/>
    <w:rsid w:val="00544037"/>
    <w:rsid w:val="0054537C"/>
    <w:rsid w:val="00547AD0"/>
    <w:rsid w:val="005509F0"/>
    <w:rsid w:val="00553778"/>
    <w:rsid w:val="00553AC5"/>
    <w:rsid w:val="00554646"/>
    <w:rsid w:val="005555A0"/>
    <w:rsid w:val="0056216F"/>
    <w:rsid w:val="005627E9"/>
    <w:rsid w:val="00572506"/>
    <w:rsid w:val="00573AC9"/>
    <w:rsid w:val="00581DBA"/>
    <w:rsid w:val="00581F60"/>
    <w:rsid w:val="005829C2"/>
    <w:rsid w:val="00582A46"/>
    <w:rsid w:val="0058322B"/>
    <w:rsid w:val="00583A5C"/>
    <w:rsid w:val="0058471F"/>
    <w:rsid w:val="0058487A"/>
    <w:rsid w:val="00592CFD"/>
    <w:rsid w:val="00593C8A"/>
    <w:rsid w:val="005960B9"/>
    <w:rsid w:val="005A3DFC"/>
    <w:rsid w:val="005A5B0F"/>
    <w:rsid w:val="005A69F8"/>
    <w:rsid w:val="005A6B45"/>
    <w:rsid w:val="005A7B9D"/>
    <w:rsid w:val="005B0579"/>
    <w:rsid w:val="005B27CD"/>
    <w:rsid w:val="005B314D"/>
    <w:rsid w:val="005B353B"/>
    <w:rsid w:val="005B547C"/>
    <w:rsid w:val="005B65A5"/>
    <w:rsid w:val="005B67BE"/>
    <w:rsid w:val="005B7116"/>
    <w:rsid w:val="005C494A"/>
    <w:rsid w:val="005C6C4F"/>
    <w:rsid w:val="005D000E"/>
    <w:rsid w:val="005D62E5"/>
    <w:rsid w:val="005D7216"/>
    <w:rsid w:val="005E12F7"/>
    <w:rsid w:val="005E339B"/>
    <w:rsid w:val="005E548A"/>
    <w:rsid w:val="005E5BCC"/>
    <w:rsid w:val="005E5CCE"/>
    <w:rsid w:val="005E6CCC"/>
    <w:rsid w:val="005F19BB"/>
    <w:rsid w:val="005F3B5B"/>
    <w:rsid w:val="006022C0"/>
    <w:rsid w:val="00602E42"/>
    <w:rsid w:val="00603657"/>
    <w:rsid w:val="0060479B"/>
    <w:rsid w:val="00606A55"/>
    <w:rsid w:val="00611AC2"/>
    <w:rsid w:val="00613BB6"/>
    <w:rsid w:val="0061777B"/>
    <w:rsid w:val="00624066"/>
    <w:rsid w:val="00624620"/>
    <w:rsid w:val="00624946"/>
    <w:rsid w:val="00625173"/>
    <w:rsid w:val="00630CCB"/>
    <w:rsid w:val="00631E71"/>
    <w:rsid w:val="0063350A"/>
    <w:rsid w:val="006340A0"/>
    <w:rsid w:val="0063581A"/>
    <w:rsid w:val="00636BF4"/>
    <w:rsid w:val="00642CB1"/>
    <w:rsid w:val="006431A9"/>
    <w:rsid w:val="006466DF"/>
    <w:rsid w:val="006518D0"/>
    <w:rsid w:val="00652393"/>
    <w:rsid w:val="00656003"/>
    <w:rsid w:val="006571DD"/>
    <w:rsid w:val="0065774D"/>
    <w:rsid w:val="0065792C"/>
    <w:rsid w:val="0066668A"/>
    <w:rsid w:val="00675065"/>
    <w:rsid w:val="00675563"/>
    <w:rsid w:val="00675632"/>
    <w:rsid w:val="00685346"/>
    <w:rsid w:val="00685B24"/>
    <w:rsid w:val="006870E8"/>
    <w:rsid w:val="00690BC5"/>
    <w:rsid w:val="00690C8E"/>
    <w:rsid w:val="006933DD"/>
    <w:rsid w:val="0069471D"/>
    <w:rsid w:val="00695670"/>
    <w:rsid w:val="00695E20"/>
    <w:rsid w:val="006A3BA0"/>
    <w:rsid w:val="006A4EC6"/>
    <w:rsid w:val="006A6DF3"/>
    <w:rsid w:val="006B20D5"/>
    <w:rsid w:val="006B34F6"/>
    <w:rsid w:val="006B4952"/>
    <w:rsid w:val="006B5EA1"/>
    <w:rsid w:val="006B7F10"/>
    <w:rsid w:val="006C042B"/>
    <w:rsid w:val="006C2543"/>
    <w:rsid w:val="006C7C59"/>
    <w:rsid w:val="006D0312"/>
    <w:rsid w:val="006D214E"/>
    <w:rsid w:val="006D2DEA"/>
    <w:rsid w:val="006D2E9C"/>
    <w:rsid w:val="006D30BC"/>
    <w:rsid w:val="006E1A0E"/>
    <w:rsid w:val="006E6E8B"/>
    <w:rsid w:val="006E7C76"/>
    <w:rsid w:val="006F04CD"/>
    <w:rsid w:val="006F07C9"/>
    <w:rsid w:val="006F0A6B"/>
    <w:rsid w:val="006F0F75"/>
    <w:rsid w:val="006F5AC8"/>
    <w:rsid w:val="006F5F50"/>
    <w:rsid w:val="006F7018"/>
    <w:rsid w:val="006F721C"/>
    <w:rsid w:val="00704218"/>
    <w:rsid w:val="00706102"/>
    <w:rsid w:val="00711356"/>
    <w:rsid w:val="00716375"/>
    <w:rsid w:val="00724763"/>
    <w:rsid w:val="007326D4"/>
    <w:rsid w:val="007331C5"/>
    <w:rsid w:val="00733D26"/>
    <w:rsid w:val="00733E96"/>
    <w:rsid w:val="00734BE2"/>
    <w:rsid w:val="00734DBA"/>
    <w:rsid w:val="007405AB"/>
    <w:rsid w:val="0074169B"/>
    <w:rsid w:val="007416A5"/>
    <w:rsid w:val="00742326"/>
    <w:rsid w:val="00743F8B"/>
    <w:rsid w:val="007552A7"/>
    <w:rsid w:val="00757FC1"/>
    <w:rsid w:val="00760265"/>
    <w:rsid w:val="00763522"/>
    <w:rsid w:val="00770D89"/>
    <w:rsid w:val="00771FBD"/>
    <w:rsid w:val="00772751"/>
    <w:rsid w:val="00772BFA"/>
    <w:rsid w:val="007732E5"/>
    <w:rsid w:val="00773A1F"/>
    <w:rsid w:val="007750D4"/>
    <w:rsid w:val="00775725"/>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3496"/>
    <w:rsid w:val="007C6103"/>
    <w:rsid w:val="007C7079"/>
    <w:rsid w:val="007C745E"/>
    <w:rsid w:val="007C7E4A"/>
    <w:rsid w:val="007D249E"/>
    <w:rsid w:val="007D2EE8"/>
    <w:rsid w:val="007D4745"/>
    <w:rsid w:val="007D596E"/>
    <w:rsid w:val="007D61F2"/>
    <w:rsid w:val="007D6288"/>
    <w:rsid w:val="007D7D00"/>
    <w:rsid w:val="007E1576"/>
    <w:rsid w:val="007E2BD2"/>
    <w:rsid w:val="007E3D61"/>
    <w:rsid w:val="007E5F41"/>
    <w:rsid w:val="007E6CF2"/>
    <w:rsid w:val="007F1EB4"/>
    <w:rsid w:val="007F5493"/>
    <w:rsid w:val="007F5B53"/>
    <w:rsid w:val="007F6DC7"/>
    <w:rsid w:val="0080075E"/>
    <w:rsid w:val="00802AAC"/>
    <w:rsid w:val="00806FED"/>
    <w:rsid w:val="00811115"/>
    <w:rsid w:val="008134C7"/>
    <w:rsid w:val="008139EB"/>
    <w:rsid w:val="008150A6"/>
    <w:rsid w:val="008151E2"/>
    <w:rsid w:val="00816091"/>
    <w:rsid w:val="00816182"/>
    <w:rsid w:val="00821BA2"/>
    <w:rsid w:val="00822824"/>
    <w:rsid w:val="008228B9"/>
    <w:rsid w:val="00824639"/>
    <w:rsid w:val="00826C95"/>
    <w:rsid w:val="00832985"/>
    <w:rsid w:val="008332CE"/>
    <w:rsid w:val="008345B9"/>
    <w:rsid w:val="008354ED"/>
    <w:rsid w:val="00835DAD"/>
    <w:rsid w:val="008376EF"/>
    <w:rsid w:val="00837760"/>
    <w:rsid w:val="00837F02"/>
    <w:rsid w:val="00840EF2"/>
    <w:rsid w:val="00843C41"/>
    <w:rsid w:val="0084500E"/>
    <w:rsid w:val="008455FB"/>
    <w:rsid w:val="0084584F"/>
    <w:rsid w:val="00850BC8"/>
    <w:rsid w:val="00850E33"/>
    <w:rsid w:val="00856715"/>
    <w:rsid w:val="00856DC0"/>
    <w:rsid w:val="00861CE7"/>
    <w:rsid w:val="008641A3"/>
    <w:rsid w:val="00864D01"/>
    <w:rsid w:val="00865BFC"/>
    <w:rsid w:val="008669F7"/>
    <w:rsid w:val="0087394A"/>
    <w:rsid w:val="00874D32"/>
    <w:rsid w:val="00881B84"/>
    <w:rsid w:val="008876A3"/>
    <w:rsid w:val="00887DFB"/>
    <w:rsid w:val="0089283A"/>
    <w:rsid w:val="00892ADC"/>
    <w:rsid w:val="00893813"/>
    <w:rsid w:val="0089658C"/>
    <w:rsid w:val="00896F74"/>
    <w:rsid w:val="00897000"/>
    <w:rsid w:val="008A2458"/>
    <w:rsid w:val="008A66B8"/>
    <w:rsid w:val="008A7EED"/>
    <w:rsid w:val="008B2B1D"/>
    <w:rsid w:val="008B5009"/>
    <w:rsid w:val="008B7E45"/>
    <w:rsid w:val="008C1237"/>
    <w:rsid w:val="008C64FB"/>
    <w:rsid w:val="008C771B"/>
    <w:rsid w:val="008C77A4"/>
    <w:rsid w:val="008D0DB7"/>
    <w:rsid w:val="008D2DAF"/>
    <w:rsid w:val="008D4EEC"/>
    <w:rsid w:val="008E1C91"/>
    <w:rsid w:val="008E2EFF"/>
    <w:rsid w:val="008E3B9E"/>
    <w:rsid w:val="008E4E0F"/>
    <w:rsid w:val="008E738E"/>
    <w:rsid w:val="008F0A84"/>
    <w:rsid w:val="008F0CC3"/>
    <w:rsid w:val="008F44C7"/>
    <w:rsid w:val="008F5035"/>
    <w:rsid w:val="008F5056"/>
    <w:rsid w:val="0090408F"/>
    <w:rsid w:val="00906F8A"/>
    <w:rsid w:val="00912F25"/>
    <w:rsid w:val="00915570"/>
    <w:rsid w:val="0091611D"/>
    <w:rsid w:val="00916267"/>
    <w:rsid w:val="00921082"/>
    <w:rsid w:val="00922EFB"/>
    <w:rsid w:val="00923A6C"/>
    <w:rsid w:val="009249C8"/>
    <w:rsid w:val="00932686"/>
    <w:rsid w:val="00933F00"/>
    <w:rsid w:val="00935401"/>
    <w:rsid w:val="0094003A"/>
    <w:rsid w:val="0094004A"/>
    <w:rsid w:val="00946A82"/>
    <w:rsid w:val="00951071"/>
    <w:rsid w:val="0095333C"/>
    <w:rsid w:val="00955186"/>
    <w:rsid w:val="00956EE8"/>
    <w:rsid w:val="009643C2"/>
    <w:rsid w:val="00966B6A"/>
    <w:rsid w:val="0097057C"/>
    <w:rsid w:val="009715C5"/>
    <w:rsid w:val="00971AF2"/>
    <w:rsid w:val="009723B8"/>
    <w:rsid w:val="00974455"/>
    <w:rsid w:val="0098281C"/>
    <w:rsid w:val="0098423D"/>
    <w:rsid w:val="009850E9"/>
    <w:rsid w:val="00985DFA"/>
    <w:rsid w:val="00986315"/>
    <w:rsid w:val="009911E3"/>
    <w:rsid w:val="00994E42"/>
    <w:rsid w:val="00995178"/>
    <w:rsid w:val="009A1C33"/>
    <w:rsid w:val="009A2439"/>
    <w:rsid w:val="009A2BFF"/>
    <w:rsid w:val="009A6D30"/>
    <w:rsid w:val="009B206F"/>
    <w:rsid w:val="009B5F6F"/>
    <w:rsid w:val="009B7A7F"/>
    <w:rsid w:val="009B7A90"/>
    <w:rsid w:val="009B7BA4"/>
    <w:rsid w:val="009C1007"/>
    <w:rsid w:val="009C1F6E"/>
    <w:rsid w:val="009C2514"/>
    <w:rsid w:val="009C3C03"/>
    <w:rsid w:val="009C3EBA"/>
    <w:rsid w:val="009C4C61"/>
    <w:rsid w:val="009C5377"/>
    <w:rsid w:val="009C7BA0"/>
    <w:rsid w:val="009D1B51"/>
    <w:rsid w:val="009D52BF"/>
    <w:rsid w:val="009D5C57"/>
    <w:rsid w:val="009D6DD3"/>
    <w:rsid w:val="009E3F57"/>
    <w:rsid w:val="009E4F8A"/>
    <w:rsid w:val="009E6771"/>
    <w:rsid w:val="009E67E4"/>
    <w:rsid w:val="009F0511"/>
    <w:rsid w:val="009F1DBD"/>
    <w:rsid w:val="009F22FE"/>
    <w:rsid w:val="009F750B"/>
    <w:rsid w:val="00A00435"/>
    <w:rsid w:val="00A03071"/>
    <w:rsid w:val="00A05B11"/>
    <w:rsid w:val="00A06B7F"/>
    <w:rsid w:val="00A07D9C"/>
    <w:rsid w:val="00A109CC"/>
    <w:rsid w:val="00A13EDB"/>
    <w:rsid w:val="00A14C4D"/>
    <w:rsid w:val="00A15845"/>
    <w:rsid w:val="00A17B52"/>
    <w:rsid w:val="00A2141C"/>
    <w:rsid w:val="00A21B16"/>
    <w:rsid w:val="00A22D76"/>
    <w:rsid w:val="00A24D47"/>
    <w:rsid w:val="00A30370"/>
    <w:rsid w:val="00A32017"/>
    <w:rsid w:val="00A3527C"/>
    <w:rsid w:val="00A37E7E"/>
    <w:rsid w:val="00A4098F"/>
    <w:rsid w:val="00A4193A"/>
    <w:rsid w:val="00A45C6F"/>
    <w:rsid w:val="00A46DCC"/>
    <w:rsid w:val="00A5014E"/>
    <w:rsid w:val="00A562E3"/>
    <w:rsid w:val="00A569D3"/>
    <w:rsid w:val="00A6062B"/>
    <w:rsid w:val="00A62089"/>
    <w:rsid w:val="00A654EF"/>
    <w:rsid w:val="00A658F2"/>
    <w:rsid w:val="00A65AFD"/>
    <w:rsid w:val="00A66B78"/>
    <w:rsid w:val="00A6769B"/>
    <w:rsid w:val="00A677C6"/>
    <w:rsid w:val="00A67E25"/>
    <w:rsid w:val="00A72C38"/>
    <w:rsid w:val="00A72FD2"/>
    <w:rsid w:val="00A7420A"/>
    <w:rsid w:val="00A74D3C"/>
    <w:rsid w:val="00A75DB1"/>
    <w:rsid w:val="00A761C2"/>
    <w:rsid w:val="00A76D29"/>
    <w:rsid w:val="00A86960"/>
    <w:rsid w:val="00A91A54"/>
    <w:rsid w:val="00A91B7E"/>
    <w:rsid w:val="00A96F13"/>
    <w:rsid w:val="00AA1080"/>
    <w:rsid w:val="00AA16D3"/>
    <w:rsid w:val="00AA18CA"/>
    <w:rsid w:val="00AA3BFA"/>
    <w:rsid w:val="00AA5A0A"/>
    <w:rsid w:val="00AA5E84"/>
    <w:rsid w:val="00AA725C"/>
    <w:rsid w:val="00AB3274"/>
    <w:rsid w:val="00AB7A0E"/>
    <w:rsid w:val="00AC0409"/>
    <w:rsid w:val="00AC0C60"/>
    <w:rsid w:val="00AC2E63"/>
    <w:rsid w:val="00AC2EA5"/>
    <w:rsid w:val="00AC3A70"/>
    <w:rsid w:val="00AC63F8"/>
    <w:rsid w:val="00AC7144"/>
    <w:rsid w:val="00AC75AF"/>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2758"/>
    <w:rsid w:val="00B02B5A"/>
    <w:rsid w:val="00B036CF"/>
    <w:rsid w:val="00B04B8A"/>
    <w:rsid w:val="00B04BFB"/>
    <w:rsid w:val="00B104AA"/>
    <w:rsid w:val="00B11872"/>
    <w:rsid w:val="00B13979"/>
    <w:rsid w:val="00B15E4F"/>
    <w:rsid w:val="00B2012B"/>
    <w:rsid w:val="00B20B29"/>
    <w:rsid w:val="00B20CB9"/>
    <w:rsid w:val="00B20D52"/>
    <w:rsid w:val="00B2167C"/>
    <w:rsid w:val="00B246D3"/>
    <w:rsid w:val="00B262C9"/>
    <w:rsid w:val="00B26A2C"/>
    <w:rsid w:val="00B30526"/>
    <w:rsid w:val="00B32FCD"/>
    <w:rsid w:val="00B34577"/>
    <w:rsid w:val="00B34E07"/>
    <w:rsid w:val="00B42D00"/>
    <w:rsid w:val="00B43464"/>
    <w:rsid w:val="00B45223"/>
    <w:rsid w:val="00B45C7D"/>
    <w:rsid w:val="00B461F3"/>
    <w:rsid w:val="00B50C36"/>
    <w:rsid w:val="00B51C5E"/>
    <w:rsid w:val="00B52083"/>
    <w:rsid w:val="00B52525"/>
    <w:rsid w:val="00B52B44"/>
    <w:rsid w:val="00B52D72"/>
    <w:rsid w:val="00B56BAC"/>
    <w:rsid w:val="00B571F4"/>
    <w:rsid w:val="00B64780"/>
    <w:rsid w:val="00B6494B"/>
    <w:rsid w:val="00B65E8E"/>
    <w:rsid w:val="00B67926"/>
    <w:rsid w:val="00B679FA"/>
    <w:rsid w:val="00B72B4C"/>
    <w:rsid w:val="00B75DE1"/>
    <w:rsid w:val="00B76EAC"/>
    <w:rsid w:val="00B81ECA"/>
    <w:rsid w:val="00B838D7"/>
    <w:rsid w:val="00B86A3E"/>
    <w:rsid w:val="00B9113C"/>
    <w:rsid w:val="00B91DE8"/>
    <w:rsid w:val="00B96111"/>
    <w:rsid w:val="00B975ED"/>
    <w:rsid w:val="00B979E2"/>
    <w:rsid w:val="00B97D1F"/>
    <w:rsid w:val="00B97E9D"/>
    <w:rsid w:val="00BA38E0"/>
    <w:rsid w:val="00BA619F"/>
    <w:rsid w:val="00BA7D43"/>
    <w:rsid w:val="00BB02EB"/>
    <w:rsid w:val="00BB0A6C"/>
    <w:rsid w:val="00BB2DBC"/>
    <w:rsid w:val="00BB4AC7"/>
    <w:rsid w:val="00BB4CD0"/>
    <w:rsid w:val="00BB61C1"/>
    <w:rsid w:val="00BB6B4A"/>
    <w:rsid w:val="00BB7E90"/>
    <w:rsid w:val="00BC03CC"/>
    <w:rsid w:val="00BC11D7"/>
    <w:rsid w:val="00BC1B9C"/>
    <w:rsid w:val="00BC2C14"/>
    <w:rsid w:val="00BC31EE"/>
    <w:rsid w:val="00BC3C19"/>
    <w:rsid w:val="00BC4B27"/>
    <w:rsid w:val="00BC5C23"/>
    <w:rsid w:val="00BD15BE"/>
    <w:rsid w:val="00BD3BF3"/>
    <w:rsid w:val="00BD5316"/>
    <w:rsid w:val="00BD6613"/>
    <w:rsid w:val="00BD7E81"/>
    <w:rsid w:val="00BE41BE"/>
    <w:rsid w:val="00BE6F8C"/>
    <w:rsid w:val="00BE735F"/>
    <w:rsid w:val="00BF0B0F"/>
    <w:rsid w:val="00BF150A"/>
    <w:rsid w:val="00BF30A5"/>
    <w:rsid w:val="00BF3210"/>
    <w:rsid w:val="00BF3B09"/>
    <w:rsid w:val="00C03270"/>
    <w:rsid w:val="00C048FB"/>
    <w:rsid w:val="00C04CFA"/>
    <w:rsid w:val="00C076EF"/>
    <w:rsid w:val="00C16C84"/>
    <w:rsid w:val="00C21DB4"/>
    <w:rsid w:val="00C224CD"/>
    <w:rsid w:val="00C25539"/>
    <w:rsid w:val="00C25C2B"/>
    <w:rsid w:val="00C34D95"/>
    <w:rsid w:val="00C357EB"/>
    <w:rsid w:val="00C37015"/>
    <w:rsid w:val="00C40072"/>
    <w:rsid w:val="00C4213E"/>
    <w:rsid w:val="00C438D5"/>
    <w:rsid w:val="00C45741"/>
    <w:rsid w:val="00C46563"/>
    <w:rsid w:val="00C472A3"/>
    <w:rsid w:val="00C50C4A"/>
    <w:rsid w:val="00C524B1"/>
    <w:rsid w:val="00C56B9D"/>
    <w:rsid w:val="00C60706"/>
    <w:rsid w:val="00C6464D"/>
    <w:rsid w:val="00C64FE6"/>
    <w:rsid w:val="00C72DBC"/>
    <w:rsid w:val="00C76B39"/>
    <w:rsid w:val="00C8194B"/>
    <w:rsid w:val="00C8510F"/>
    <w:rsid w:val="00C856C4"/>
    <w:rsid w:val="00C8634C"/>
    <w:rsid w:val="00C86F92"/>
    <w:rsid w:val="00C90072"/>
    <w:rsid w:val="00C9533B"/>
    <w:rsid w:val="00CB0748"/>
    <w:rsid w:val="00CB18BD"/>
    <w:rsid w:val="00CB232C"/>
    <w:rsid w:val="00CB2D79"/>
    <w:rsid w:val="00CB2E90"/>
    <w:rsid w:val="00CB4405"/>
    <w:rsid w:val="00CB4EF4"/>
    <w:rsid w:val="00CB5BD0"/>
    <w:rsid w:val="00CB63F6"/>
    <w:rsid w:val="00CC042F"/>
    <w:rsid w:val="00CC11D6"/>
    <w:rsid w:val="00CD2668"/>
    <w:rsid w:val="00CD2FAC"/>
    <w:rsid w:val="00CD495B"/>
    <w:rsid w:val="00CD7C0B"/>
    <w:rsid w:val="00CD7C6C"/>
    <w:rsid w:val="00CE3BDB"/>
    <w:rsid w:val="00CE4305"/>
    <w:rsid w:val="00CE44AB"/>
    <w:rsid w:val="00CE4BC6"/>
    <w:rsid w:val="00CE52BF"/>
    <w:rsid w:val="00CE67CF"/>
    <w:rsid w:val="00CE70DB"/>
    <w:rsid w:val="00CF001E"/>
    <w:rsid w:val="00CF50D5"/>
    <w:rsid w:val="00CF5C9B"/>
    <w:rsid w:val="00CF6662"/>
    <w:rsid w:val="00D01058"/>
    <w:rsid w:val="00D01136"/>
    <w:rsid w:val="00D03474"/>
    <w:rsid w:val="00D03476"/>
    <w:rsid w:val="00D03C0F"/>
    <w:rsid w:val="00D06B71"/>
    <w:rsid w:val="00D105D9"/>
    <w:rsid w:val="00D11FB0"/>
    <w:rsid w:val="00D129B0"/>
    <w:rsid w:val="00D1756F"/>
    <w:rsid w:val="00D21893"/>
    <w:rsid w:val="00D23DB6"/>
    <w:rsid w:val="00D242FC"/>
    <w:rsid w:val="00D26400"/>
    <w:rsid w:val="00D264F9"/>
    <w:rsid w:val="00D35E6A"/>
    <w:rsid w:val="00D361F7"/>
    <w:rsid w:val="00D37A4D"/>
    <w:rsid w:val="00D37BDA"/>
    <w:rsid w:val="00D409F8"/>
    <w:rsid w:val="00D41D8D"/>
    <w:rsid w:val="00D51C08"/>
    <w:rsid w:val="00D51F3E"/>
    <w:rsid w:val="00D55D74"/>
    <w:rsid w:val="00D568D6"/>
    <w:rsid w:val="00D613B2"/>
    <w:rsid w:val="00D61D4F"/>
    <w:rsid w:val="00D62526"/>
    <w:rsid w:val="00D65B3B"/>
    <w:rsid w:val="00D6655A"/>
    <w:rsid w:val="00D7158D"/>
    <w:rsid w:val="00D73BEF"/>
    <w:rsid w:val="00D75DD7"/>
    <w:rsid w:val="00D8461E"/>
    <w:rsid w:val="00D848AF"/>
    <w:rsid w:val="00D84D41"/>
    <w:rsid w:val="00D85867"/>
    <w:rsid w:val="00D90438"/>
    <w:rsid w:val="00D90F7C"/>
    <w:rsid w:val="00D93BBB"/>
    <w:rsid w:val="00D9483F"/>
    <w:rsid w:val="00D9612C"/>
    <w:rsid w:val="00DA0DFD"/>
    <w:rsid w:val="00DA26D1"/>
    <w:rsid w:val="00DB18FC"/>
    <w:rsid w:val="00DB2769"/>
    <w:rsid w:val="00DB4762"/>
    <w:rsid w:val="00DB630A"/>
    <w:rsid w:val="00DB6473"/>
    <w:rsid w:val="00DC4AE1"/>
    <w:rsid w:val="00DC6B38"/>
    <w:rsid w:val="00DC767D"/>
    <w:rsid w:val="00DC7A15"/>
    <w:rsid w:val="00DD0CDD"/>
    <w:rsid w:val="00DD26EA"/>
    <w:rsid w:val="00DD35BB"/>
    <w:rsid w:val="00DD7198"/>
    <w:rsid w:val="00DE3B48"/>
    <w:rsid w:val="00DF0FF1"/>
    <w:rsid w:val="00DF1557"/>
    <w:rsid w:val="00DF7223"/>
    <w:rsid w:val="00DF749E"/>
    <w:rsid w:val="00DF7988"/>
    <w:rsid w:val="00E0112E"/>
    <w:rsid w:val="00E02056"/>
    <w:rsid w:val="00E037D5"/>
    <w:rsid w:val="00E07EB9"/>
    <w:rsid w:val="00E10A87"/>
    <w:rsid w:val="00E114BC"/>
    <w:rsid w:val="00E11D50"/>
    <w:rsid w:val="00E13609"/>
    <w:rsid w:val="00E14B3C"/>
    <w:rsid w:val="00E16067"/>
    <w:rsid w:val="00E212E3"/>
    <w:rsid w:val="00E227F4"/>
    <w:rsid w:val="00E23903"/>
    <w:rsid w:val="00E2575E"/>
    <w:rsid w:val="00E27DAA"/>
    <w:rsid w:val="00E27FDC"/>
    <w:rsid w:val="00E30E7D"/>
    <w:rsid w:val="00E31BA9"/>
    <w:rsid w:val="00E40872"/>
    <w:rsid w:val="00E41594"/>
    <w:rsid w:val="00E46A08"/>
    <w:rsid w:val="00E56FE8"/>
    <w:rsid w:val="00E57C5E"/>
    <w:rsid w:val="00E6057C"/>
    <w:rsid w:val="00E607A7"/>
    <w:rsid w:val="00E63BD1"/>
    <w:rsid w:val="00E6467D"/>
    <w:rsid w:val="00E66BCF"/>
    <w:rsid w:val="00E71342"/>
    <w:rsid w:val="00E728E4"/>
    <w:rsid w:val="00E75741"/>
    <w:rsid w:val="00E83DB2"/>
    <w:rsid w:val="00E85DAF"/>
    <w:rsid w:val="00E87864"/>
    <w:rsid w:val="00E9170D"/>
    <w:rsid w:val="00E9198A"/>
    <w:rsid w:val="00E931C1"/>
    <w:rsid w:val="00E93D73"/>
    <w:rsid w:val="00E94BFD"/>
    <w:rsid w:val="00E94E0E"/>
    <w:rsid w:val="00E97186"/>
    <w:rsid w:val="00E97F6C"/>
    <w:rsid w:val="00EA04D2"/>
    <w:rsid w:val="00EA68DB"/>
    <w:rsid w:val="00EB1A62"/>
    <w:rsid w:val="00EB7A4C"/>
    <w:rsid w:val="00EC2A66"/>
    <w:rsid w:val="00EC3672"/>
    <w:rsid w:val="00ED0960"/>
    <w:rsid w:val="00ED3782"/>
    <w:rsid w:val="00ED56C1"/>
    <w:rsid w:val="00EE1F49"/>
    <w:rsid w:val="00EE1F87"/>
    <w:rsid w:val="00EE3720"/>
    <w:rsid w:val="00EE3F92"/>
    <w:rsid w:val="00EE7634"/>
    <w:rsid w:val="00EF1FCF"/>
    <w:rsid w:val="00EF271D"/>
    <w:rsid w:val="00EF4228"/>
    <w:rsid w:val="00EF4DC8"/>
    <w:rsid w:val="00EF659E"/>
    <w:rsid w:val="00EF6A13"/>
    <w:rsid w:val="00F01751"/>
    <w:rsid w:val="00F02CF2"/>
    <w:rsid w:val="00F0385A"/>
    <w:rsid w:val="00F1070F"/>
    <w:rsid w:val="00F14992"/>
    <w:rsid w:val="00F14DE0"/>
    <w:rsid w:val="00F21D20"/>
    <w:rsid w:val="00F22674"/>
    <w:rsid w:val="00F22B78"/>
    <w:rsid w:val="00F244F9"/>
    <w:rsid w:val="00F25220"/>
    <w:rsid w:val="00F25320"/>
    <w:rsid w:val="00F26FA6"/>
    <w:rsid w:val="00F306D7"/>
    <w:rsid w:val="00F308B7"/>
    <w:rsid w:val="00F31CAB"/>
    <w:rsid w:val="00F32A46"/>
    <w:rsid w:val="00F350FE"/>
    <w:rsid w:val="00F37170"/>
    <w:rsid w:val="00F43040"/>
    <w:rsid w:val="00F44E00"/>
    <w:rsid w:val="00F44EC3"/>
    <w:rsid w:val="00F459DC"/>
    <w:rsid w:val="00F46B72"/>
    <w:rsid w:val="00F474AB"/>
    <w:rsid w:val="00F476F6"/>
    <w:rsid w:val="00F47A28"/>
    <w:rsid w:val="00F5050C"/>
    <w:rsid w:val="00F5134E"/>
    <w:rsid w:val="00F528DD"/>
    <w:rsid w:val="00F52A18"/>
    <w:rsid w:val="00F52C68"/>
    <w:rsid w:val="00F53CC6"/>
    <w:rsid w:val="00F564CD"/>
    <w:rsid w:val="00F61702"/>
    <w:rsid w:val="00F62E71"/>
    <w:rsid w:val="00F630C8"/>
    <w:rsid w:val="00F64C12"/>
    <w:rsid w:val="00F6552D"/>
    <w:rsid w:val="00F67278"/>
    <w:rsid w:val="00F710E9"/>
    <w:rsid w:val="00F733F0"/>
    <w:rsid w:val="00F76A72"/>
    <w:rsid w:val="00F77340"/>
    <w:rsid w:val="00F8042D"/>
    <w:rsid w:val="00F85256"/>
    <w:rsid w:val="00F87572"/>
    <w:rsid w:val="00F87CA2"/>
    <w:rsid w:val="00F91976"/>
    <w:rsid w:val="00F92C8D"/>
    <w:rsid w:val="00F931AD"/>
    <w:rsid w:val="00F9741A"/>
    <w:rsid w:val="00FA1F53"/>
    <w:rsid w:val="00FA2095"/>
    <w:rsid w:val="00FA244D"/>
    <w:rsid w:val="00FB1215"/>
    <w:rsid w:val="00FB4CB0"/>
    <w:rsid w:val="00FB6392"/>
    <w:rsid w:val="00FC39BA"/>
    <w:rsid w:val="00FC3DAC"/>
    <w:rsid w:val="00FD09F7"/>
    <w:rsid w:val="00FD1428"/>
    <w:rsid w:val="00FD20C5"/>
    <w:rsid w:val="00FD2761"/>
    <w:rsid w:val="00FD37B5"/>
    <w:rsid w:val="00FD4568"/>
    <w:rsid w:val="00FD5B5E"/>
    <w:rsid w:val="00FD613E"/>
    <w:rsid w:val="00FD6F4D"/>
    <w:rsid w:val="00FE05A0"/>
    <w:rsid w:val="00FE3FCF"/>
    <w:rsid w:val="00FF2E19"/>
    <w:rsid w:val="00FF756F"/>
    <w:rsid w:val="065D5DB6"/>
    <w:rsid w:val="09A23EB8"/>
    <w:rsid w:val="09B96D4E"/>
    <w:rsid w:val="0AF66146"/>
    <w:rsid w:val="0CDE3B75"/>
    <w:rsid w:val="0D333DBB"/>
    <w:rsid w:val="0DB25EA8"/>
    <w:rsid w:val="0DC161D1"/>
    <w:rsid w:val="0E2844A2"/>
    <w:rsid w:val="0F6A52EC"/>
    <w:rsid w:val="114204E8"/>
    <w:rsid w:val="11D230A2"/>
    <w:rsid w:val="11DA5AB3"/>
    <w:rsid w:val="19202945"/>
    <w:rsid w:val="1A240616"/>
    <w:rsid w:val="1A6940BC"/>
    <w:rsid w:val="1AC47300"/>
    <w:rsid w:val="1CE31284"/>
    <w:rsid w:val="1CEC0D90"/>
    <w:rsid w:val="25553977"/>
    <w:rsid w:val="283A0615"/>
    <w:rsid w:val="285A12A4"/>
    <w:rsid w:val="2CB371D5"/>
    <w:rsid w:val="32650F71"/>
    <w:rsid w:val="32F14029"/>
    <w:rsid w:val="32FC7992"/>
    <w:rsid w:val="35C83CF1"/>
    <w:rsid w:val="37133D87"/>
    <w:rsid w:val="38453DDE"/>
    <w:rsid w:val="3848736B"/>
    <w:rsid w:val="3B581673"/>
    <w:rsid w:val="3D5C1616"/>
    <w:rsid w:val="40A23390"/>
    <w:rsid w:val="41076015"/>
    <w:rsid w:val="414F33A1"/>
    <w:rsid w:val="424E557E"/>
    <w:rsid w:val="436471BE"/>
    <w:rsid w:val="471F573B"/>
    <w:rsid w:val="49C20ECF"/>
    <w:rsid w:val="4A293100"/>
    <w:rsid w:val="4C392DFB"/>
    <w:rsid w:val="4F6E3703"/>
    <w:rsid w:val="50067BBF"/>
    <w:rsid w:val="50C03AEB"/>
    <w:rsid w:val="50E02149"/>
    <w:rsid w:val="543D5452"/>
    <w:rsid w:val="546207A8"/>
    <w:rsid w:val="572752A3"/>
    <w:rsid w:val="57E71A91"/>
    <w:rsid w:val="5B437CBF"/>
    <w:rsid w:val="5B5916A1"/>
    <w:rsid w:val="5EB804F7"/>
    <w:rsid w:val="65F56152"/>
    <w:rsid w:val="6CE93F71"/>
    <w:rsid w:val="6F1572A0"/>
    <w:rsid w:val="74065409"/>
    <w:rsid w:val="798B6ADC"/>
    <w:rsid w:val="7AF83485"/>
    <w:rsid w:val="7B4A2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next w:val="1"/>
    <w:qFormat/>
    <w:uiPriority w:val="0"/>
    <w:pPr>
      <w:spacing w:before="320" w:after="120" w:line="288" w:lineRule="auto"/>
      <w:outlineLvl w:val="1"/>
    </w:pPr>
    <w:rPr>
      <w:rFonts w:ascii="Arial" w:hAnsi="Arial" w:eastAsia="等线" w:cs="Arial"/>
      <w:b/>
      <w:bCs/>
      <w:sz w:val="32"/>
      <w:szCs w:val="32"/>
      <w:lang w:val="en-US" w:eastAsia="zh-CN" w:bidi="ar-SA"/>
    </w:rPr>
  </w:style>
  <w:style w:type="paragraph" w:styleId="3">
    <w:name w:val="heading 3"/>
    <w:next w:val="1"/>
    <w:qFormat/>
    <w:uiPriority w:val="0"/>
    <w:pPr>
      <w:spacing w:before="300" w:after="120" w:line="288" w:lineRule="auto"/>
      <w:outlineLvl w:val="2"/>
    </w:pPr>
    <w:rPr>
      <w:rFonts w:ascii="Arial" w:hAnsi="Arial" w:eastAsia="等线" w:cs="Arial"/>
      <w:b/>
      <w:bCs/>
      <w:sz w:val="30"/>
      <w:szCs w:val="30"/>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6"/>
    <w:semiHidden/>
    <w:unhideWhenUsed/>
    <w:qFormat/>
    <w:uiPriority w:val="99"/>
    <w:pPr>
      <w:jc w:val="left"/>
    </w:pPr>
  </w:style>
  <w:style w:type="paragraph" w:styleId="5">
    <w:name w:val="Balloon Text"/>
    <w:basedOn w:val="1"/>
    <w:link w:val="38"/>
    <w:semiHidden/>
    <w:unhideWhenUsed/>
    <w:qFormat/>
    <w:uiPriority w:val="99"/>
    <w:rPr>
      <w:sz w:val="18"/>
      <w:szCs w:val="18"/>
    </w:rPr>
  </w:style>
  <w:style w:type="paragraph" w:styleId="6">
    <w:name w:val="footer"/>
    <w:basedOn w:val="1"/>
    <w:link w:val="35"/>
    <w:unhideWhenUsed/>
    <w:qFormat/>
    <w:uiPriority w:val="99"/>
    <w:pPr>
      <w:tabs>
        <w:tab w:val="center" w:pos="4153"/>
        <w:tab w:val="right" w:pos="8306"/>
      </w:tabs>
      <w:snapToGrid w:val="0"/>
      <w:jc w:val="left"/>
    </w:pPr>
    <w:rPr>
      <w:sz w:val="18"/>
      <w:szCs w:val="18"/>
    </w:rPr>
  </w:style>
  <w:style w:type="paragraph" w:styleId="7">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37"/>
    <w:semiHidden/>
    <w:unhideWhenUsed/>
    <w:qFormat/>
    <w:uiPriority w:val="99"/>
    <w:rPr>
      <w:b/>
      <w:bCs/>
    </w:rPr>
  </w:style>
  <w:style w:type="character" w:styleId="11">
    <w:name w:val="annotation reference"/>
    <w:basedOn w:val="10"/>
    <w:semiHidden/>
    <w:unhideWhenUsed/>
    <w:qFormat/>
    <w:uiPriority w:val="99"/>
    <w:rPr>
      <w:sz w:val="21"/>
      <w:szCs w:val="21"/>
    </w:rPr>
  </w:style>
  <w:style w:type="paragraph" w:customStyle="1" w:styleId="12">
    <w:name w:val="※封面大标题"/>
    <w:basedOn w:val="1"/>
    <w:next w:val="1"/>
    <w:qFormat/>
    <w:uiPriority w:val="0"/>
    <w:pPr>
      <w:widowControl/>
      <w:jc w:val="center"/>
    </w:pPr>
    <w:rPr>
      <w:rFonts w:ascii="华文中宋" w:hAnsi="华文中宋" w:eastAsia="华文中宋"/>
      <w:sz w:val="96"/>
      <w:szCs w:val="96"/>
    </w:rPr>
  </w:style>
  <w:style w:type="paragraph" w:customStyle="1" w:styleId="13">
    <w:name w:val="※封面题颌"/>
    <w:basedOn w:val="1"/>
    <w:next w:val="1"/>
    <w:qFormat/>
    <w:uiPriority w:val="0"/>
    <w:pPr>
      <w:widowControl/>
      <w:jc w:val="center"/>
    </w:pPr>
    <w:rPr>
      <w:rFonts w:ascii="Calibri Light" w:hAnsi="Calibri Light" w:eastAsia="华文仿宋"/>
      <w:sz w:val="36"/>
      <w:szCs w:val="36"/>
    </w:rPr>
  </w:style>
  <w:style w:type="paragraph" w:customStyle="1" w:styleId="14">
    <w:name w:val="※封面题眉"/>
    <w:basedOn w:val="1"/>
    <w:next w:val="12"/>
    <w:qFormat/>
    <w:uiPriority w:val="0"/>
    <w:pPr>
      <w:widowControl/>
      <w:jc w:val="center"/>
    </w:pPr>
    <w:rPr>
      <w:rFonts w:ascii="华文仿宋" w:hAnsi="华文仿宋" w:eastAsia="华文仿宋"/>
      <w:sz w:val="52"/>
      <w:szCs w:val="28"/>
    </w:rPr>
  </w:style>
  <w:style w:type="paragraph" w:customStyle="1" w:styleId="15">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16">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17">
    <w:name w:val="※目录（主）"/>
    <w:basedOn w:val="1"/>
    <w:qFormat/>
    <w:uiPriority w:val="0"/>
    <w:pPr>
      <w:widowControl/>
      <w:tabs>
        <w:tab w:val="right" w:leader="hyphen" w:pos="8400"/>
      </w:tabs>
      <w:spacing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18">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19">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20">
    <w:name w:val="※小标题 一"/>
    <w:basedOn w:val="19"/>
    <w:next w:val="19"/>
    <w:qFormat/>
    <w:uiPriority w:val="0"/>
    <w:pPr>
      <w:spacing w:before="120" w:line="240" w:lineRule="auto"/>
      <w:outlineLvl w:val="2"/>
    </w:pPr>
    <w:rPr>
      <w:b/>
      <w:color w:val="203864" w:themeColor="accent5" w:themeShade="80"/>
      <w:sz w:val="32"/>
    </w:rPr>
  </w:style>
  <w:style w:type="paragraph" w:customStyle="1" w:styleId="21">
    <w:name w:val="※小标题（1）"/>
    <w:basedOn w:val="1"/>
    <w:next w:val="19"/>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22">
    <w:name w:val="※小标题（一）"/>
    <w:basedOn w:val="1"/>
    <w:next w:val="19"/>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23">
    <w:name w:val="※页脚（横屏）"/>
    <w:basedOn w:val="1"/>
    <w:qFormat/>
    <w:uiPriority w:val="0"/>
    <w:pPr>
      <w:widowControl/>
      <w:tabs>
        <w:tab w:val="center" w:pos="7000"/>
      </w:tabs>
      <w:wordWrap w:val="0"/>
      <w:spacing w:line="240" w:lineRule="atLeast"/>
      <w:jc w:val="left"/>
    </w:pPr>
    <w:rPr>
      <w:rFonts w:ascii="宋体" w:hAnsi="宋体"/>
      <w:sz w:val="18"/>
      <w:szCs w:val="18"/>
    </w:rPr>
  </w:style>
  <w:style w:type="paragraph" w:customStyle="1" w:styleId="24">
    <w:name w:val="※页脚（竖屏）"/>
    <w:basedOn w:val="1"/>
    <w:qFormat/>
    <w:uiPriority w:val="0"/>
    <w:pPr>
      <w:widowControl/>
      <w:tabs>
        <w:tab w:val="center" w:pos="4536"/>
      </w:tabs>
      <w:wordWrap w:val="0"/>
      <w:spacing w:line="240" w:lineRule="atLeast"/>
      <w:jc w:val="left"/>
    </w:pPr>
    <w:rPr>
      <w:rFonts w:ascii="宋体" w:hAnsi="宋体"/>
      <w:sz w:val="18"/>
      <w:szCs w:val="18"/>
    </w:rPr>
  </w:style>
  <w:style w:type="paragraph" w:customStyle="1" w:styleId="25">
    <w:name w:val="※页眉"/>
    <w:basedOn w:val="19"/>
    <w:qFormat/>
    <w:uiPriority w:val="0"/>
    <w:pPr>
      <w:pBdr>
        <w:bottom w:val="single" w:color="auto" w:sz="4" w:space="1"/>
      </w:pBdr>
      <w:spacing w:line="240" w:lineRule="atLeast"/>
      <w:jc w:val="right"/>
    </w:pPr>
    <w:rPr>
      <w:rFonts w:ascii="宋体" w:hAnsi="宋体" w:eastAsia="宋体"/>
      <w:sz w:val="18"/>
    </w:rPr>
  </w:style>
  <w:style w:type="paragraph" w:customStyle="1" w:styleId="26">
    <w:name w:val="※章节标题（第X章）"/>
    <w:basedOn w:val="1"/>
    <w:qFormat/>
    <w:uiPriority w:val="0"/>
    <w:pPr>
      <w:widowControl/>
      <w:jc w:val="center"/>
      <w:outlineLvl w:val="0"/>
    </w:pPr>
    <w:rPr>
      <w:rFonts w:ascii="Calibri Light" w:hAnsi="Calibri Light" w:eastAsia="黑体"/>
      <w:sz w:val="36"/>
      <w:szCs w:val="28"/>
    </w:rPr>
  </w:style>
  <w:style w:type="paragraph" w:customStyle="1" w:styleId="27">
    <w:name w:val="※章节标题（第Y部分）"/>
    <w:basedOn w:val="1"/>
    <w:next w:val="1"/>
    <w:qFormat/>
    <w:uiPriority w:val="0"/>
    <w:pPr>
      <w:widowControl/>
      <w:jc w:val="center"/>
      <w:outlineLvl w:val="1"/>
    </w:pPr>
    <w:rPr>
      <w:rFonts w:ascii="Calibri Light" w:hAnsi="Calibri Light" w:eastAsia="黑体"/>
      <w:color w:val="1F4E79" w:themeColor="accent1" w:themeShade="80"/>
      <w:sz w:val="32"/>
      <w:szCs w:val="36"/>
    </w:rPr>
  </w:style>
  <w:style w:type="paragraph" w:customStyle="1" w:styleId="28">
    <w:name w:val="※章节标题（第Z部分分项）"/>
    <w:basedOn w:val="27"/>
    <w:qFormat/>
    <w:uiPriority w:val="0"/>
    <w:pPr>
      <w:outlineLvl w:val="2"/>
    </w:pPr>
  </w:style>
  <w:style w:type="paragraph" w:customStyle="1" w:styleId="29">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30">
    <w:name w:val="※正文（缩进2）"/>
    <w:basedOn w:val="19"/>
    <w:qFormat/>
    <w:uiPriority w:val="0"/>
    <w:pPr>
      <w:ind w:firstLine="200" w:firstLineChars="200"/>
    </w:pPr>
  </w:style>
  <w:style w:type="paragraph" w:customStyle="1" w:styleId="31">
    <w:name w:val="※正文（缩进4）"/>
    <w:basedOn w:val="19"/>
    <w:qFormat/>
    <w:uiPriority w:val="0"/>
    <w:pPr>
      <w:ind w:firstLine="400" w:firstLineChars="400"/>
    </w:pPr>
  </w:style>
  <w:style w:type="paragraph" w:customStyle="1" w:styleId="32">
    <w:name w:val="样式"/>
    <w:link w:val="33"/>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3">
    <w:name w:val="样式 Char Char"/>
    <w:link w:val="32"/>
    <w:qFormat/>
    <w:locked/>
    <w:uiPriority w:val="0"/>
    <w:rPr>
      <w:rFonts w:ascii="宋体" w:hAnsi="宋体" w:eastAsia="宋体" w:cs="宋体"/>
      <w:kern w:val="0"/>
      <w:sz w:val="24"/>
      <w:szCs w:val="24"/>
    </w:rPr>
  </w:style>
  <w:style w:type="character" w:customStyle="1" w:styleId="34">
    <w:name w:val="页眉 字符"/>
    <w:basedOn w:val="10"/>
    <w:link w:val="7"/>
    <w:qFormat/>
    <w:uiPriority w:val="99"/>
    <w:rPr>
      <w:rFonts w:ascii="Calibri" w:hAnsi="Calibri" w:eastAsia="宋体" w:cs="Times New Roman"/>
      <w:sz w:val="18"/>
      <w:szCs w:val="18"/>
    </w:rPr>
  </w:style>
  <w:style w:type="character" w:customStyle="1" w:styleId="35">
    <w:name w:val="页脚 字符"/>
    <w:basedOn w:val="10"/>
    <w:link w:val="6"/>
    <w:qFormat/>
    <w:uiPriority w:val="99"/>
    <w:rPr>
      <w:rFonts w:ascii="Calibri" w:hAnsi="Calibri" w:eastAsia="宋体" w:cs="Times New Roman"/>
      <w:sz w:val="18"/>
      <w:szCs w:val="18"/>
    </w:rPr>
  </w:style>
  <w:style w:type="character" w:customStyle="1" w:styleId="36">
    <w:name w:val="批注文字 字符"/>
    <w:basedOn w:val="10"/>
    <w:link w:val="4"/>
    <w:semiHidden/>
    <w:qFormat/>
    <w:uiPriority w:val="99"/>
    <w:rPr>
      <w:rFonts w:ascii="Calibri" w:hAnsi="Calibri" w:eastAsia="宋体" w:cs="Times New Roman"/>
    </w:rPr>
  </w:style>
  <w:style w:type="character" w:customStyle="1" w:styleId="37">
    <w:name w:val="批注主题 字符"/>
    <w:basedOn w:val="36"/>
    <w:link w:val="8"/>
    <w:semiHidden/>
    <w:qFormat/>
    <w:uiPriority w:val="99"/>
    <w:rPr>
      <w:rFonts w:ascii="Calibri" w:hAnsi="Calibri" w:eastAsia="宋体" w:cs="Times New Roman"/>
      <w:b/>
      <w:bCs/>
    </w:rPr>
  </w:style>
  <w:style w:type="character" w:customStyle="1" w:styleId="38">
    <w:name w:val="批注框文本 字符"/>
    <w:basedOn w:val="10"/>
    <w:link w:val="5"/>
    <w:semiHidden/>
    <w:qFormat/>
    <w:uiPriority w:val="99"/>
    <w:rPr>
      <w:rFonts w:ascii="Calibri" w:hAnsi="Calibri" w:eastAsia="宋体" w:cs="Times New Roman"/>
      <w:sz w:val="18"/>
      <w:szCs w:val="18"/>
    </w:rPr>
  </w:style>
  <w:style w:type="paragraph" w:customStyle="1" w:styleId="39">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40">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8</Pages>
  <Words>4271</Words>
  <Characters>4493</Characters>
  <Lines>121</Lines>
  <Paragraphs>67</Paragraphs>
  <TotalTime>44</TotalTime>
  <ScaleCrop>false</ScaleCrop>
  <LinksUpToDate>false</LinksUpToDate>
  <CharactersWithSpaces>4541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2026-08-17T01:52:00Z</dcterms:created>
  <dc:creator>lenovo</dc:creator>
  <cp:lastModifiedBy>玛卡巴卡</cp:lastModifiedBy>
  <cp:lastPrinted>2026-09-22T08:10:00Z</cp:lastPrinted>
  <dcterms:modified xsi:type="dcterms:W3CDTF">2026-09-29T04:48:36Z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eyJoZGlkIjoiYjcwMDJjNWI0NTQ4ZTIxNGM0OTliZTE3YTA5ZjQxZmMiLCJ1c2VySWQiOiIzMDcyNTE1MDIifQ==</vt:lpwstr>
  </property>
  <property fmtid="{D5CDD505-2E9C-101B-9397-08002B2CF9AE}" pid="4" name="ICV">
    <vt:lpwstr>2029C1CB93FF42B5ACEA8B1DD6D5DE00_13</vt:lpwstr>
  </property>
</Properties>
</file>