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42281">
      <w:pPr>
        <w:keepLines w:val="0"/>
        <w:pageBreakBefore w:val="0"/>
        <w:kinsoku/>
        <w:bidi w:val="0"/>
        <w:spacing w:line="360" w:lineRule="auto"/>
        <w:rPr>
          <w:rFonts w:hint="eastAsia" w:ascii="宋体" w:hAnsi="宋体" w:eastAsia="宋体" w:cs="宋体"/>
          <w:b/>
          <w:bCs/>
          <w:color w:val="auto"/>
          <w:sz w:val="28"/>
          <w:szCs w:val="28"/>
          <w:highlight w:val="none"/>
        </w:rPr>
      </w:pPr>
    </w:p>
    <w:p w14:paraId="369F47EE">
      <w:pPr>
        <w:pStyle w:val="5"/>
        <w:keepLines w:val="0"/>
        <w:pageBreakBefore w:val="0"/>
        <w:kinsoku/>
        <w:bidi w:val="0"/>
        <w:spacing w:line="360" w:lineRule="auto"/>
        <w:jc w:val="both"/>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ZFCG-</w:t>
      </w:r>
      <w:r>
        <w:rPr>
          <w:rFonts w:hint="eastAsia" w:ascii="宋体" w:hAnsi="宋体" w:eastAsia="宋体" w:cs="宋体"/>
          <w:b/>
          <w:bCs/>
          <w:color w:val="auto"/>
          <w:sz w:val="28"/>
          <w:szCs w:val="28"/>
          <w:highlight w:val="none"/>
          <w:lang w:eastAsia="zh-CN"/>
        </w:rPr>
        <w:t>泾阳县</w:t>
      </w:r>
      <w:r>
        <w:rPr>
          <w:rFonts w:hint="eastAsia" w:ascii="宋体" w:hAnsi="宋体" w:cs="宋体"/>
          <w:b/>
          <w:bCs/>
          <w:color w:val="auto"/>
          <w:sz w:val="28"/>
          <w:szCs w:val="28"/>
          <w:highlight w:val="none"/>
          <w:lang w:eastAsia="zh-CN"/>
        </w:rPr>
        <w:t>-2026-0000</w:t>
      </w:r>
      <w:r>
        <w:rPr>
          <w:rFonts w:hint="eastAsia" w:ascii="宋体" w:hAnsi="宋体" w:cs="宋体"/>
          <w:b/>
          <w:bCs/>
          <w:color w:val="auto"/>
          <w:sz w:val="28"/>
          <w:szCs w:val="28"/>
          <w:highlight w:val="none"/>
          <w:lang w:val="en-US" w:eastAsia="zh-CN"/>
        </w:rPr>
        <w:t>5</w:t>
      </w:r>
    </w:p>
    <w:p w14:paraId="0A6B0135">
      <w:pPr>
        <w:keepLines w:val="0"/>
        <w:pageBreakBefore w:val="0"/>
        <w:kinsoku/>
        <w:bidi w:val="0"/>
        <w:spacing w:line="360" w:lineRule="auto"/>
        <w:rPr>
          <w:rFonts w:hint="eastAsia" w:ascii="宋体" w:hAnsi="宋体" w:eastAsia="宋体" w:cs="宋体"/>
          <w:color w:val="auto"/>
          <w:highlight w:val="none"/>
        </w:rPr>
      </w:pPr>
    </w:p>
    <w:p w14:paraId="4D6605C1">
      <w:pPr>
        <w:pStyle w:val="48"/>
        <w:keepLines w:val="0"/>
        <w:pageBreakBefore w:val="0"/>
        <w:kinsoku/>
        <w:bidi w:val="0"/>
        <w:spacing w:line="360" w:lineRule="auto"/>
        <w:rPr>
          <w:rFonts w:hint="eastAsia" w:ascii="宋体" w:hAnsi="宋体" w:eastAsia="宋体" w:cs="宋体"/>
          <w:color w:val="auto"/>
          <w:highlight w:val="none"/>
          <w:u w:val="none"/>
        </w:rPr>
      </w:pPr>
    </w:p>
    <w:p w14:paraId="4944A2CB">
      <w:pPr>
        <w:pStyle w:val="48"/>
        <w:keepLines w:val="0"/>
        <w:pageBreakBefore w:val="0"/>
        <w:kinsoku/>
        <w:bidi w:val="0"/>
        <w:spacing w:line="360" w:lineRule="auto"/>
        <w:rPr>
          <w:rFonts w:hint="eastAsia" w:ascii="宋体" w:hAnsi="宋体" w:eastAsia="宋体" w:cs="宋体"/>
          <w:color w:val="auto"/>
          <w:highlight w:val="none"/>
          <w:u w:val="none"/>
        </w:rPr>
      </w:pPr>
    </w:p>
    <w:p w14:paraId="1D081C98">
      <w:pPr>
        <w:pStyle w:val="48"/>
        <w:keepLines w:val="0"/>
        <w:pageBreakBefore w:val="0"/>
        <w:kinsoku/>
        <w:bidi w:val="0"/>
        <w:spacing w:line="360" w:lineRule="auto"/>
        <w:rPr>
          <w:rFonts w:hint="eastAsia" w:ascii="宋体" w:hAnsi="宋体" w:eastAsia="宋体" w:cs="宋体"/>
          <w:color w:val="auto"/>
          <w:highlight w:val="none"/>
          <w:u w:val="none"/>
        </w:rPr>
      </w:pPr>
    </w:p>
    <w:p w14:paraId="5388DEAE">
      <w:pPr>
        <w:pStyle w:val="48"/>
        <w:keepLines w:val="0"/>
        <w:pageBreakBefore w:val="0"/>
        <w:kinsoku/>
        <w:bidi w:val="0"/>
        <w:spacing w:line="360" w:lineRule="auto"/>
        <w:rPr>
          <w:rFonts w:hint="eastAsia" w:ascii="宋体" w:hAnsi="宋体" w:eastAsia="宋体" w:cs="宋体"/>
          <w:color w:val="auto"/>
          <w:highlight w:val="none"/>
          <w:u w:val="none"/>
        </w:rPr>
      </w:pPr>
    </w:p>
    <w:p w14:paraId="4FA8AAE9">
      <w:pPr>
        <w:pStyle w:val="35"/>
        <w:ind w:left="0" w:leftChars="0" w:firstLine="0" w:firstLineChars="0"/>
        <w:jc w:val="center"/>
        <w:rPr>
          <w:rFonts w:hint="eastAsia" w:ascii="方正小标宋简体" w:hAnsi="方正小标宋简体" w:eastAsia="方正小标宋简体" w:cs="方正小标宋简体"/>
          <w:b w:val="0"/>
          <w:bCs w:val="0"/>
          <w:spacing w:val="20"/>
          <w:sz w:val="48"/>
          <w:szCs w:val="44"/>
          <w:u w:val="none"/>
          <w:lang w:val="en-US" w:eastAsia="zh-CN"/>
        </w:rPr>
      </w:pPr>
      <w:r>
        <w:rPr>
          <w:rFonts w:hint="eastAsia" w:ascii="方正小标宋简体" w:hAnsi="方正小标宋简体" w:eastAsia="方正小标宋简体" w:cs="方正小标宋简体"/>
          <w:b w:val="0"/>
          <w:bCs w:val="0"/>
          <w:spacing w:val="20"/>
          <w:sz w:val="48"/>
          <w:szCs w:val="44"/>
          <w:u w:val="none"/>
          <w:lang w:val="en-US" w:eastAsia="zh-CN"/>
        </w:rPr>
        <w:t>泾阳县老年人服务中心(泾阳县中心</w:t>
      </w:r>
    </w:p>
    <w:p w14:paraId="5E904587">
      <w:pPr>
        <w:pStyle w:val="35"/>
        <w:ind w:left="0" w:leftChars="0" w:firstLine="0" w:firstLineChars="0"/>
        <w:jc w:val="center"/>
        <w:rPr>
          <w:rFonts w:hint="default" w:ascii="宋体" w:hAnsi="宋体" w:eastAsia="宋体" w:cs="宋体"/>
          <w:color w:val="auto"/>
          <w:spacing w:val="20"/>
          <w:highlight w:val="none"/>
          <w:lang w:val="en-US" w:eastAsia="zh-CN"/>
        </w:rPr>
      </w:pPr>
      <w:r>
        <w:rPr>
          <w:rFonts w:hint="eastAsia" w:ascii="方正小标宋简体" w:hAnsi="方正小标宋简体" w:eastAsia="方正小标宋简体" w:cs="方正小标宋简体"/>
          <w:b w:val="0"/>
          <w:bCs w:val="0"/>
          <w:spacing w:val="20"/>
          <w:sz w:val="48"/>
          <w:szCs w:val="44"/>
          <w:u w:val="none"/>
          <w:lang w:val="en-US" w:eastAsia="zh-CN"/>
        </w:rPr>
        <w:t>敬老院)提升改造</w:t>
      </w:r>
      <w:r>
        <w:rPr>
          <w:rFonts w:hint="eastAsia" w:ascii="方正小标宋简体" w:hAnsi="方正小标宋简体" w:eastAsia="方正小标宋简体" w:cs="方正小标宋简体"/>
          <w:b/>
          <w:bCs/>
          <w:spacing w:val="20"/>
          <w:sz w:val="48"/>
          <w:szCs w:val="44"/>
          <w:u w:val="none"/>
          <w:lang w:val="en-US" w:eastAsia="zh-CN"/>
        </w:rPr>
        <w:t>项目</w:t>
      </w:r>
    </w:p>
    <w:p w14:paraId="2A69D4F7">
      <w:pPr>
        <w:rPr>
          <w:rFonts w:hint="eastAsia" w:ascii="宋体" w:hAnsi="宋体" w:eastAsia="宋体" w:cs="宋体"/>
          <w:color w:val="auto"/>
          <w:highlight w:val="none"/>
          <w:lang w:eastAsia="zh-CN"/>
        </w:rPr>
      </w:pPr>
    </w:p>
    <w:p w14:paraId="71EDA76E">
      <w:pPr>
        <w:rPr>
          <w:rFonts w:hint="eastAsia" w:ascii="宋体" w:hAnsi="宋体" w:eastAsia="宋体" w:cs="宋体"/>
          <w:color w:val="auto"/>
          <w:highlight w:val="none"/>
          <w:lang w:eastAsia="zh-CN"/>
        </w:rPr>
      </w:pPr>
    </w:p>
    <w:p w14:paraId="0EC148C8">
      <w:pPr>
        <w:rPr>
          <w:rFonts w:hint="eastAsia" w:ascii="宋体" w:hAnsi="宋体" w:eastAsia="宋体" w:cs="宋体"/>
          <w:color w:val="auto"/>
          <w:highlight w:val="none"/>
          <w:lang w:eastAsia="zh-CN"/>
        </w:rPr>
      </w:pPr>
    </w:p>
    <w:p w14:paraId="64119982">
      <w:pPr>
        <w:rPr>
          <w:rFonts w:hint="eastAsia" w:ascii="宋体" w:hAnsi="宋体" w:eastAsia="宋体" w:cs="宋体"/>
          <w:color w:val="auto"/>
          <w:highlight w:val="none"/>
          <w:lang w:eastAsia="zh-CN"/>
        </w:rPr>
      </w:pPr>
    </w:p>
    <w:p w14:paraId="2E903E77">
      <w:pPr>
        <w:rPr>
          <w:rFonts w:hint="eastAsia" w:ascii="宋体" w:hAnsi="宋体" w:eastAsia="宋体" w:cs="宋体"/>
          <w:color w:val="auto"/>
          <w:highlight w:val="none"/>
          <w:lang w:eastAsia="zh-CN"/>
        </w:rPr>
      </w:pPr>
    </w:p>
    <w:p w14:paraId="49977722">
      <w:pPr>
        <w:rPr>
          <w:rFonts w:hint="eastAsia" w:ascii="宋体" w:hAnsi="宋体" w:eastAsia="宋体" w:cs="宋体"/>
          <w:color w:val="auto"/>
          <w:highlight w:val="none"/>
        </w:rPr>
      </w:pPr>
    </w:p>
    <w:p w14:paraId="37CCE62E">
      <w:pPr>
        <w:rPr>
          <w:rFonts w:hint="eastAsia" w:ascii="宋体" w:hAnsi="宋体" w:eastAsia="宋体" w:cs="宋体"/>
          <w:color w:val="auto"/>
          <w:highlight w:val="none"/>
        </w:rPr>
      </w:pPr>
    </w:p>
    <w:p w14:paraId="0E98B81F">
      <w:pPr>
        <w:rPr>
          <w:rFonts w:hint="eastAsia" w:ascii="宋体" w:hAnsi="宋体" w:eastAsia="宋体" w:cs="宋体"/>
          <w:color w:val="auto"/>
          <w:highlight w:val="none"/>
        </w:rPr>
      </w:pPr>
    </w:p>
    <w:p w14:paraId="62DB1CA5">
      <w:pPr>
        <w:keepLines w:val="0"/>
        <w:pageBreakBefore w:val="0"/>
        <w:kinsoku/>
        <w:bidi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竞争性磋商文件</w:t>
      </w:r>
    </w:p>
    <w:p w14:paraId="2930F9B9">
      <w:pPr>
        <w:keepLines w:val="0"/>
        <w:pageBreakBefore w:val="0"/>
        <w:tabs>
          <w:tab w:val="left" w:pos="5670"/>
        </w:tabs>
        <w:kinsoku/>
        <w:autoSpaceDE w:val="0"/>
        <w:autoSpaceDN w:val="0"/>
        <w:bidi w:val="0"/>
        <w:adjustRightInd w:val="0"/>
        <w:snapToGrid w:val="0"/>
        <w:spacing w:line="360" w:lineRule="auto"/>
        <w:jc w:val="center"/>
        <w:rPr>
          <w:rFonts w:hint="eastAsia" w:ascii="宋体" w:hAnsi="宋体" w:eastAsia="宋体" w:cs="宋体"/>
          <w:color w:val="auto"/>
          <w:sz w:val="28"/>
          <w:szCs w:val="28"/>
          <w:highlight w:val="none"/>
        </w:rPr>
      </w:pPr>
    </w:p>
    <w:p w14:paraId="597691F0">
      <w:pPr>
        <w:pStyle w:val="16"/>
        <w:keepLines w:val="0"/>
        <w:pageBreakBefore w:val="0"/>
        <w:kinsoku/>
        <w:bidi w:val="0"/>
        <w:spacing w:line="360" w:lineRule="auto"/>
        <w:rPr>
          <w:rFonts w:hint="eastAsia" w:ascii="宋体" w:hAnsi="宋体" w:eastAsia="宋体" w:cs="宋体"/>
          <w:color w:val="auto"/>
          <w:sz w:val="28"/>
          <w:szCs w:val="28"/>
          <w:highlight w:val="none"/>
        </w:rPr>
      </w:pPr>
    </w:p>
    <w:p w14:paraId="308C8FDE">
      <w:pPr>
        <w:rPr>
          <w:rFonts w:hint="eastAsia" w:ascii="宋体" w:hAnsi="宋体" w:eastAsia="宋体" w:cs="宋体"/>
          <w:color w:val="auto"/>
          <w:sz w:val="28"/>
          <w:szCs w:val="28"/>
          <w:highlight w:val="none"/>
        </w:rPr>
      </w:pPr>
    </w:p>
    <w:p w14:paraId="0086228B">
      <w:pPr>
        <w:rPr>
          <w:rFonts w:hint="eastAsia" w:ascii="宋体" w:hAnsi="宋体" w:eastAsia="宋体" w:cs="宋体"/>
          <w:color w:val="auto"/>
          <w:sz w:val="28"/>
          <w:szCs w:val="28"/>
          <w:highlight w:val="none"/>
        </w:rPr>
      </w:pPr>
    </w:p>
    <w:p w14:paraId="1FFF0E3F">
      <w:pPr>
        <w:keepLines w:val="0"/>
        <w:pageBreakBefore w:val="0"/>
        <w:kinsoku/>
        <w:bidi w:val="0"/>
        <w:spacing w:line="360" w:lineRule="auto"/>
        <w:rPr>
          <w:rFonts w:hint="eastAsia" w:ascii="宋体" w:hAnsi="宋体" w:eastAsia="宋体" w:cs="宋体"/>
          <w:b/>
          <w:color w:val="auto"/>
          <w:sz w:val="36"/>
          <w:szCs w:val="36"/>
          <w:highlight w:val="none"/>
        </w:rPr>
      </w:pPr>
    </w:p>
    <w:p w14:paraId="6632F755">
      <w:pPr>
        <w:keepNext w:val="0"/>
        <w:keepLines w:val="0"/>
        <w:pageBreakBefore w:val="0"/>
        <w:widowControl w:val="0"/>
        <w:kinsoku/>
        <w:wordWrap/>
        <w:overflowPunct/>
        <w:topLinePunct w:val="0"/>
        <w:bidi w:val="0"/>
        <w:spacing w:line="360" w:lineRule="auto"/>
        <w:ind w:firstLine="361" w:firstLineChars="100"/>
        <w:textAlignment w:val="auto"/>
        <w:rPr>
          <w:rFonts w:hint="eastAsia" w:ascii="宋体" w:hAnsi="宋体" w:cs="宋体"/>
          <w:b/>
          <w:color w:val="auto"/>
          <w:sz w:val="36"/>
          <w:szCs w:val="36"/>
          <w:highlight w:val="none"/>
          <w:lang w:eastAsia="zh-CN"/>
        </w:rPr>
      </w:pPr>
      <w:r>
        <w:rPr>
          <w:rFonts w:hint="eastAsia" w:ascii="宋体" w:hAnsi="宋体" w:eastAsia="宋体" w:cs="宋体"/>
          <w:b/>
          <w:color w:val="auto"/>
          <w:sz w:val="36"/>
          <w:szCs w:val="36"/>
          <w:highlight w:val="none"/>
        </w:rPr>
        <w:t>采购人：</w:t>
      </w:r>
      <w:r>
        <w:rPr>
          <w:rFonts w:hint="eastAsia" w:ascii="宋体" w:hAnsi="宋体" w:cs="宋体"/>
          <w:b/>
          <w:color w:val="auto"/>
          <w:sz w:val="36"/>
          <w:szCs w:val="36"/>
          <w:highlight w:val="none"/>
          <w:lang w:val="en-US" w:eastAsia="zh-CN"/>
        </w:rPr>
        <w:t>泾阳县老年人服务中心(泾阳县中心敬老院)</w:t>
      </w:r>
    </w:p>
    <w:p w14:paraId="3A97C649">
      <w:pPr>
        <w:keepNext w:val="0"/>
        <w:keepLines w:val="0"/>
        <w:pageBreakBefore w:val="0"/>
        <w:widowControl w:val="0"/>
        <w:kinsoku/>
        <w:wordWrap/>
        <w:overflowPunct/>
        <w:topLinePunct w:val="0"/>
        <w:bidi w:val="0"/>
        <w:spacing w:line="360" w:lineRule="auto"/>
        <w:ind w:firstLine="1807" w:firstLineChars="500"/>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采购代理机构：</w:t>
      </w:r>
      <w:r>
        <w:rPr>
          <w:rFonts w:hint="eastAsia" w:ascii="宋体" w:hAnsi="宋体" w:cs="宋体"/>
          <w:b/>
          <w:color w:val="auto"/>
          <w:sz w:val="36"/>
          <w:szCs w:val="36"/>
          <w:highlight w:val="none"/>
          <w:lang w:eastAsia="zh-CN"/>
        </w:rPr>
        <w:t>泾阳县政府采购中心</w:t>
      </w:r>
    </w:p>
    <w:p w14:paraId="3851B19F">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36"/>
          <w:szCs w:val="36"/>
          <w:highlight w:val="none"/>
          <w:lang w:val="zh-CN"/>
        </w:rPr>
      </w:pPr>
      <w:r>
        <w:rPr>
          <w:rFonts w:hint="eastAsia" w:ascii="宋体" w:hAnsi="宋体" w:eastAsia="宋体" w:cs="宋体"/>
          <w:b/>
          <w:color w:val="auto"/>
          <w:sz w:val="36"/>
          <w:szCs w:val="36"/>
          <w:highlight w:val="none"/>
        </w:rPr>
        <w:t>二〇二</w:t>
      </w:r>
      <w:r>
        <w:rPr>
          <w:rFonts w:hint="eastAsia" w:ascii="宋体" w:hAnsi="宋体" w:cs="宋体"/>
          <w:b/>
          <w:color w:val="auto"/>
          <w:sz w:val="36"/>
          <w:szCs w:val="36"/>
          <w:highlight w:val="none"/>
          <w:lang w:val="en-US" w:eastAsia="zh-CN"/>
        </w:rPr>
        <w:t>六</w:t>
      </w:r>
      <w:r>
        <w:rPr>
          <w:rFonts w:hint="eastAsia" w:ascii="宋体" w:hAnsi="宋体" w:eastAsia="宋体" w:cs="宋体"/>
          <w:b/>
          <w:color w:val="auto"/>
          <w:sz w:val="36"/>
          <w:szCs w:val="36"/>
          <w:highlight w:val="none"/>
        </w:rPr>
        <w:t>年</w:t>
      </w:r>
      <w:r>
        <w:rPr>
          <w:rFonts w:hint="eastAsia" w:ascii="宋体" w:hAnsi="宋体" w:cs="宋体"/>
          <w:b/>
          <w:color w:val="auto"/>
          <w:sz w:val="36"/>
          <w:szCs w:val="36"/>
          <w:highlight w:val="none"/>
          <w:lang w:val="en-US" w:eastAsia="zh-CN"/>
        </w:rPr>
        <w:t>八</w:t>
      </w:r>
      <w:r>
        <w:rPr>
          <w:rFonts w:hint="eastAsia" w:ascii="宋体" w:hAnsi="宋体" w:eastAsia="宋体" w:cs="宋体"/>
          <w:b/>
          <w:color w:val="auto"/>
          <w:sz w:val="36"/>
          <w:szCs w:val="36"/>
          <w:highlight w:val="none"/>
        </w:rPr>
        <w:t>月</w:t>
      </w:r>
    </w:p>
    <w:p w14:paraId="3A10FBA6">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28"/>
          <w:szCs w:val="28"/>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Borders>
            <w:top w:val="none" w:sz="0" w:space="0"/>
            <w:left w:val="none" w:sz="0" w:space="0"/>
            <w:bottom w:val="none" w:sz="0" w:space="0"/>
            <w:right w:val="none" w:sz="0" w:space="0"/>
          </w:pgBorders>
          <w:pgNumType w:start="0"/>
          <w:cols w:space="425" w:num="1"/>
          <w:titlePg/>
          <w:docGrid w:linePitch="312" w:charSpace="0"/>
        </w:sectPr>
      </w:pPr>
    </w:p>
    <w:p w14:paraId="37F36B1D">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r>
        <w:rPr>
          <w:rFonts w:hint="eastAsia" w:ascii="宋体" w:hAnsi="宋体"/>
          <w:b/>
          <w:bCs/>
          <w:sz w:val="30"/>
          <w:szCs w:val="30"/>
          <w:highlight w:val="none"/>
        </w:rPr>
        <w:t>特别提示</w:t>
      </w:r>
    </w:p>
    <w:p w14:paraId="298523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各供应商，在此我们特别提醒您注意以下事项：</w:t>
      </w:r>
    </w:p>
    <w:p w14:paraId="01CD3B51">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1、本项目采用电子化投标及远程不见面开启方式。供应商须使用数字认证证书（CA 锁）对电子响应文件进行签章、加密、递交及开启时解密等相关招投标事宜。开标前，供应商需登录网络开标大厅。开启时，按照工作人员要求进行远程解密，如因供应商自身原因造成无法在规定时间内解密响应文件的，按无效响应对待。</w:t>
      </w:r>
    </w:p>
    <w:p w14:paraId="636DF0AA">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制作电子响应文件。供应商须在“全国公共资源交易中心平台（陕西省）（http://www.sxggzyjy.cn/）”的“服务指南”栏目“下载专区”中，免费下载“陕西省公共资源交易平台政府采购电子标书制作工具”，并升级至最新版本，使用该客户端制作电子响应文件，制作扩展名为“.SXSTF”的电子响应文件。”</w:t>
      </w:r>
    </w:p>
    <w:p w14:paraId="6064EC8B">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3、递交电子响应文件。登录全国公共资源交易平台（陕西省˙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选择“电子交易平台—陕西政府采购交易系统—企业端”进行登录，登录后选择“交易乙方”身份进入，进入菜单“采购业务—我的项目——项目流程——上传响应文件”，上传加密的电子响应文件。上传成功后，电子化平台将予以记录。</w:t>
      </w:r>
    </w:p>
    <w:p w14:paraId="26887DC2">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4、供应商需在开启前最少一个小时登录全国公共资源交易平台（陕西省˙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）-电子交易平台-</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公共资源交易平台不见面开标系统自行调试，并按照工作人员要求进行响应文件解密，远程观看开启直播。</w:t>
      </w:r>
    </w:p>
    <w:p w14:paraId="6F81E63E">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5、评审过程中，磋商小组要求供应商提交多轮（最后）磋商报价时，供应商须登录全国公共资源交易平台（陕西省˙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）在交易系统中提交多轮（最后）报价，并用数字认证证书（CA 锁）签章。</w:t>
      </w:r>
    </w:p>
    <w:p w14:paraId="1F9F95FE">
      <w:pPr>
        <w:spacing w:line="360" w:lineRule="auto"/>
        <w:ind w:firstLine="470" w:firstLineChars="196"/>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6、</w:t>
      </w:r>
      <w:r>
        <w:rPr>
          <w:rFonts w:hint="eastAsia" w:ascii="宋体" w:hAnsi="宋体" w:eastAsia="宋体" w:cs="宋体"/>
          <w:sz w:val="24"/>
          <w:szCs w:val="24"/>
          <w:highlight w:val="none"/>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请各供应商仔细阅读上述提示。如需帮助，请您与我们的工作人员联系，我们将非常高兴地为您服务。</w:t>
      </w:r>
    </w:p>
    <w:p w14:paraId="616F2D90">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关于线上操作流程：</w:t>
      </w:r>
    </w:p>
    <w:p w14:paraId="5B748320">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 xml:space="preserve">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62B658F">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2、网上报名。在陕西省</w:t>
      </w:r>
      <w:r>
        <w:rPr>
          <w:rFonts w:hint="eastAsia" w:ascii="宋体" w:hAnsi="宋体" w:eastAsia="宋体" w:cs="宋体"/>
          <w:sz w:val="24"/>
          <w:szCs w:val="24"/>
          <w:highlight w:val="none"/>
          <w:lang w:val="en-US" w:eastAsia="zh-CN"/>
        </w:rPr>
        <w:t>咸阳市</w:t>
      </w:r>
      <w:r>
        <w:rPr>
          <w:rFonts w:hint="eastAsia" w:ascii="宋体" w:hAnsi="宋体" w:eastAsia="宋体" w:cs="宋体"/>
          <w:sz w:val="24"/>
          <w:szCs w:val="24"/>
          <w:highlight w:val="none"/>
        </w:rPr>
        <w:t>公共资源交易中心平台（http://</w:t>
      </w:r>
      <w:r>
        <w:rPr>
          <w:rFonts w:hint="eastAsia" w:ascii="宋体" w:hAnsi="宋体" w:eastAsia="宋体" w:cs="宋体"/>
          <w:sz w:val="24"/>
          <w:szCs w:val="24"/>
          <w:highlight w:val="none"/>
          <w:lang w:val="en-US" w:eastAsia="zh-CN"/>
        </w:rPr>
        <w:t>xy</w:t>
      </w:r>
      <w:r>
        <w:rPr>
          <w:rFonts w:hint="eastAsia" w:ascii="宋体" w:hAnsi="宋体" w:eastAsia="宋体" w:cs="宋体"/>
          <w:sz w:val="24"/>
          <w:szCs w:val="24"/>
          <w:highlight w:val="none"/>
        </w:rPr>
        <w:t>.sxggzyjy.cn/）报名；</w:t>
      </w:r>
    </w:p>
    <w:p w14:paraId="0C9DABF8">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3、下载竞争性磋商文件。供应商在报名确认后</w:t>
      </w:r>
      <w:r>
        <w:rPr>
          <w:rFonts w:hint="eastAsia" w:ascii="宋体" w:hAnsi="宋体" w:cs="宋体"/>
          <w:sz w:val="24"/>
          <w:szCs w:val="24"/>
          <w:highlight w:val="none"/>
          <w:lang w:eastAsia="zh-CN"/>
        </w:rPr>
        <w:t>登录</w:t>
      </w:r>
      <w:r>
        <w:rPr>
          <w:rFonts w:hint="eastAsia" w:ascii="宋体" w:hAnsi="宋体" w:eastAsia="宋体" w:cs="宋体"/>
          <w:sz w:val="24"/>
          <w:szCs w:val="24"/>
          <w:highlight w:val="none"/>
        </w:rPr>
        <w:t>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公共资源交易中心平台（http://</w:t>
      </w:r>
      <w:r>
        <w:rPr>
          <w:rFonts w:hint="eastAsia" w:ascii="宋体" w:hAnsi="宋体" w:cs="宋体"/>
          <w:sz w:val="24"/>
          <w:szCs w:val="24"/>
          <w:highlight w:val="none"/>
          <w:lang w:val="en-US" w:eastAsia="zh-CN"/>
        </w:rPr>
        <w:t>xy</w:t>
      </w:r>
      <w:r>
        <w:rPr>
          <w:rFonts w:hint="eastAsia" w:ascii="宋体" w:hAnsi="宋体" w:eastAsia="宋体" w:cs="宋体"/>
          <w:sz w:val="24"/>
          <w:szCs w:val="24"/>
          <w:highlight w:val="none"/>
        </w:rPr>
        <w:t>.sxggzyjy.cn/）下载竞争性磋商文件；</w:t>
      </w:r>
    </w:p>
    <w:p w14:paraId="0C611D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4、下载编标工具，编辑竞争性磋商响应文件，并在规定时限之前上传竞争性磋商响应文件。</w:t>
      </w:r>
    </w:p>
    <w:p w14:paraId="20D74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请各供应商仔细阅读上述提示。如需帮助，请您与我们的工作人员联系，我们将非常高兴为您服务。</w:t>
      </w:r>
    </w:p>
    <w:p w14:paraId="256B011D">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7E9D444B">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0A7160D4">
      <w:pPr>
        <w:pStyle w:val="35"/>
        <w:rPr>
          <w:rFonts w:hint="eastAsia" w:ascii="宋体" w:hAnsi="宋体" w:eastAsia="宋体" w:cs="宋体"/>
          <w:b/>
          <w:bCs/>
          <w:color w:val="auto"/>
          <w:sz w:val="32"/>
          <w:szCs w:val="32"/>
          <w:highlight w:val="none"/>
          <w:lang w:val="zh-CN"/>
        </w:rPr>
      </w:pPr>
    </w:p>
    <w:p w14:paraId="6693CE10">
      <w:pPr>
        <w:rPr>
          <w:rFonts w:hint="eastAsia" w:ascii="宋体" w:hAnsi="宋体" w:eastAsia="宋体" w:cs="宋体"/>
          <w:b/>
          <w:bCs/>
          <w:color w:val="auto"/>
          <w:sz w:val="32"/>
          <w:szCs w:val="32"/>
          <w:highlight w:val="none"/>
          <w:lang w:val="zh-CN"/>
        </w:rPr>
      </w:pPr>
    </w:p>
    <w:p w14:paraId="4BFF6CA7">
      <w:pPr>
        <w:pStyle w:val="35"/>
        <w:rPr>
          <w:rFonts w:hint="eastAsia" w:ascii="宋体" w:hAnsi="宋体" w:eastAsia="宋体" w:cs="宋体"/>
          <w:b/>
          <w:bCs/>
          <w:color w:val="auto"/>
          <w:sz w:val="32"/>
          <w:szCs w:val="32"/>
          <w:highlight w:val="none"/>
          <w:lang w:val="zh-CN"/>
        </w:rPr>
      </w:pPr>
    </w:p>
    <w:p w14:paraId="700D6DBC">
      <w:pPr>
        <w:rPr>
          <w:rFonts w:hint="eastAsia" w:ascii="宋体" w:hAnsi="宋体" w:eastAsia="宋体" w:cs="宋体"/>
          <w:b/>
          <w:bCs/>
          <w:color w:val="auto"/>
          <w:sz w:val="32"/>
          <w:szCs w:val="32"/>
          <w:highlight w:val="none"/>
          <w:lang w:val="zh-CN"/>
        </w:rPr>
      </w:pPr>
    </w:p>
    <w:p w14:paraId="788B1750">
      <w:pPr>
        <w:rPr>
          <w:rFonts w:hint="eastAsia" w:ascii="宋体" w:hAnsi="宋体" w:eastAsia="宋体" w:cs="宋体"/>
          <w:b/>
          <w:bCs/>
          <w:color w:val="auto"/>
          <w:sz w:val="32"/>
          <w:szCs w:val="32"/>
          <w:highlight w:val="none"/>
          <w:lang w:val="zh-CN"/>
        </w:rPr>
      </w:pPr>
    </w:p>
    <w:p w14:paraId="198146C8">
      <w:pPr>
        <w:pStyle w:val="35"/>
        <w:rPr>
          <w:rFonts w:hint="eastAsia" w:ascii="宋体" w:hAnsi="宋体" w:eastAsia="宋体" w:cs="宋体"/>
          <w:b/>
          <w:bCs/>
          <w:color w:val="auto"/>
          <w:sz w:val="32"/>
          <w:szCs w:val="32"/>
          <w:highlight w:val="none"/>
          <w:lang w:val="zh-CN"/>
        </w:rPr>
      </w:pPr>
    </w:p>
    <w:p w14:paraId="37074FFA">
      <w:pPr>
        <w:rPr>
          <w:rFonts w:hint="eastAsia" w:ascii="宋体" w:hAnsi="宋体" w:eastAsia="宋体" w:cs="宋体"/>
          <w:b/>
          <w:bCs/>
          <w:color w:val="auto"/>
          <w:sz w:val="32"/>
          <w:szCs w:val="32"/>
          <w:highlight w:val="none"/>
          <w:lang w:val="zh-CN"/>
        </w:rPr>
      </w:pPr>
    </w:p>
    <w:p w14:paraId="19C9E021">
      <w:pPr>
        <w:pStyle w:val="35"/>
        <w:rPr>
          <w:rFonts w:hint="eastAsia" w:ascii="宋体" w:hAnsi="宋体" w:eastAsia="宋体" w:cs="宋体"/>
          <w:b/>
          <w:bCs/>
          <w:color w:val="auto"/>
          <w:sz w:val="32"/>
          <w:szCs w:val="32"/>
          <w:highlight w:val="none"/>
          <w:lang w:val="zh-CN"/>
        </w:rPr>
      </w:pPr>
    </w:p>
    <w:p w14:paraId="0DF936D6">
      <w:pPr>
        <w:rPr>
          <w:rFonts w:hint="eastAsia" w:ascii="宋体" w:hAnsi="宋体" w:eastAsia="宋体" w:cs="宋体"/>
          <w:b/>
          <w:bCs/>
          <w:color w:val="auto"/>
          <w:sz w:val="32"/>
          <w:szCs w:val="32"/>
          <w:highlight w:val="none"/>
          <w:lang w:val="zh-CN"/>
        </w:rPr>
      </w:pPr>
    </w:p>
    <w:p w14:paraId="136A64DC">
      <w:pPr>
        <w:pStyle w:val="35"/>
        <w:rPr>
          <w:rFonts w:hint="eastAsia" w:ascii="宋体" w:hAnsi="宋体" w:eastAsia="宋体" w:cs="宋体"/>
          <w:b/>
          <w:bCs/>
          <w:color w:val="auto"/>
          <w:sz w:val="32"/>
          <w:szCs w:val="32"/>
          <w:highlight w:val="none"/>
          <w:lang w:val="zh-CN"/>
        </w:rPr>
      </w:pPr>
    </w:p>
    <w:p w14:paraId="09096397">
      <w:pPr>
        <w:rPr>
          <w:rFonts w:hint="eastAsia" w:ascii="宋体" w:hAnsi="宋体" w:eastAsia="宋体" w:cs="宋体"/>
          <w:b/>
          <w:bCs/>
          <w:color w:val="auto"/>
          <w:sz w:val="32"/>
          <w:szCs w:val="32"/>
          <w:highlight w:val="none"/>
          <w:lang w:val="zh-CN"/>
        </w:rPr>
      </w:pPr>
    </w:p>
    <w:p w14:paraId="18F5482A">
      <w:pPr>
        <w:pStyle w:val="35"/>
        <w:rPr>
          <w:rFonts w:hint="eastAsia" w:ascii="宋体" w:hAnsi="宋体" w:eastAsia="宋体" w:cs="宋体"/>
          <w:b/>
          <w:bCs/>
          <w:color w:val="auto"/>
          <w:sz w:val="32"/>
          <w:szCs w:val="32"/>
          <w:highlight w:val="none"/>
          <w:lang w:val="zh-CN"/>
        </w:rPr>
      </w:pPr>
    </w:p>
    <w:p w14:paraId="3460EF0C">
      <w:pPr>
        <w:rPr>
          <w:rFonts w:hint="eastAsia" w:ascii="宋体" w:hAnsi="宋体" w:eastAsia="宋体" w:cs="宋体"/>
          <w:b/>
          <w:bCs/>
          <w:color w:val="auto"/>
          <w:sz w:val="32"/>
          <w:szCs w:val="32"/>
          <w:highlight w:val="none"/>
          <w:lang w:val="zh-CN"/>
        </w:rPr>
      </w:pPr>
    </w:p>
    <w:p w14:paraId="01DBDA05">
      <w:pPr>
        <w:pStyle w:val="35"/>
        <w:rPr>
          <w:rFonts w:hint="eastAsia" w:ascii="宋体" w:hAnsi="宋体" w:eastAsia="宋体" w:cs="宋体"/>
          <w:b/>
          <w:bCs/>
          <w:color w:val="auto"/>
          <w:sz w:val="32"/>
          <w:szCs w:val="32"/>
          <w:highlight w:val="none"/>
          <w:lang w:val="zh-CN"/>
        </w:rPr>
      </w:pPr>
    </w:p>
    <w:p w14:paraId="2E8CB835">
      <w:pPr>
        <w:rPr>
          <w:rFonts w:hint="eastAsia" w:ascii="宋体" w:hAnsi="宋体" w:eastAsia="宋体" w:cs="宋体"/>
          <w:b/>
          <w:bCs/>
          <w:color w:val="auto"/>
          <w:sz w:val="32"/>
          <w:szCs w:val="32"/>
          <w:highlight w:val="none"/>
          <w:lang w:val="zh-CN"/>
        </w:rPr>
      </w:pPr>
    </w:p>
    <w:p w14:paraId="0B1FCBC1">
      <w:pPr>
        <w:pStyle w:val="35"/>
        <w:rPr>
          <w:rFonts w:hint="eastAsia" w:ascii="宋体" w:hAnsi="宋体" w:eastAsia="宋体" w:cs="宋体"/>
          <w:b/>
          <w:bCs/>
          <w:color w:val="auto"/>
          <w:sz w:val="32"/>
          <w:szCs w:val="32"/>
          <w:highlight w:val="none"/>
          <w:lang w:val="zh-CN"/>
        </w:rPr>
      </w:pPr>
    </w:p>
    <w:p w14:paraId="4BA49F14">
      <w:pPr>
        <w:rPr>
          <w:rFonts w:hint="eastAsia" w:ascii="宋体" w:hAnsi="宋体" w:eastAsia="宋体" w:cs="宋体"/>
          <w:b/>
          <w:bCs/>
          <w:color w:val="auto"/>
          <w:sz w:val="32"/>
          <w:szCs w:val="32"/>
          <w:highlight w:val="none"/>
          <w:lang w:val="zh-CN"/>
        </w:rPr>
      </w:pPr>
    </w:p>
    <w:p w14:paraId="34313872">
      <w:pPr>
        <w:pStyle w:val="35"/>
        <w:rPr>
          <w:rFonts w:hint="eastAsia" w:ascii="宋体" w:hAnsi="宋体" w:eastAsia="宋体" w:cs="宋体"/>
          <w:b/>
          <w:bCs/>
          <w:color w:val="auto"/>
          <w:sz w:val="32"/>
          <w:szCs w:val="32"/>
          <w:highlight w:val="none"/>
          <w:lang w:val="zh-CN"/>
        </w:rPr>
      </w:pPr>
    </w:p>
    <w:p w14:paraId="5D8D53FB">
      <w:pPr>
        <w:rPr>
          <w:rFonts w:hint="eastAsia" w:ascii="宋体" w:hAnsi="宋体" w:eastAsia="宋体" w:cs="宋体"/>
          <w:b/>
          <w:bCs/>
          <w:color w:val="auto"/>
          <w:sz w:val="32"/>
          <w:szCs w:val="32"/>
          <w:highlight w:val="none"/>
          <w:lang w:val="zh-CN"/>
        </w:rPr>
      </w:pPr>
    </w:p>
    <w:p w14:paraId="69BFAA5E">
      <w:pPr>
        <w:pStyle w:val="35"/>
        <w:rPr>
          <w:rFonts w:hint="eastAsia"/>
          <w:lang w:val="zh-CN"/>
        </w:rPr>
      </w:pPr>
    </w:p>
    <w:p w14:paraId="350AC1DA">
      <w:pPr>
        <w:pStyle w:val="35"/>
        <w:rPr>
          <w:rFonts w:hint="eastAsia"/>
          <w:lang w:val="zh-CN"/>
        </w:rPr>
      </w:pPr>
    </w:p>
    <w:p w14:paraId="68E8915E">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1DDDED84">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目</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录</w:t>
      </w:r>
    </w:p>
    <w:p w14:paraId="6AAE57BF">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eastAsia="宋体" w:cs="宋体"/>
          <w:b/>
          <w:bCs/>
          <w:color w:val="auto"/>
          <w:sz w:val="28"/>
          <w:szCs w:val="28"/>
          <w:highlight w:val="none"/>
          <w:lang w:val="zh-CN"/>
        </w:rPr>
      </w:pPr>
    </w:p>
    <w:p w14:paraId="6BABD011">
      <w:pPr>
        <w:pStyle w:val="26"/>
        <w:tabs>
          <w:tab w:val="right" w:leader="dot" w:pos="9184"/>
          <w:tab w:val="clear" w:pos="9060"/>
        </w:tabs>
        <w:rPr>
          <w:sz w:val="24"/>
          <w:szCs w:val="32"/>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"1-1" \h \z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_Toc7155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第一章</w:t>
      </w:r>
      <w:r>
        <w:rPr>
          <w:rFonts w:hint="eastAsia" w:ascii="宋体" w:hAnsi="宋体" w:eastAsia="宋体" w:cs="宋体"/>
          <w:bCs/>
          <w:sz w:val="24"/>
          <w:szCs w:val="44"/>
          <w:highlight w:val="none"/>
          <w:lang w:val="en-US" w:eastAsia="zh-CN"/>
        </w:rPr>
        <w:t xml:space="preserve"> </w:t>
      </w:r>
      <w:r>
        <w:rPr>
          <w:rFonts w:hint="eastAsia" w:ascii="宋体" w:hAnsi="宋体" w:eastAsia="宋体" w:cs="宋体"/>
          <w:bCs/>
          <w:sz w:val="24"/>
          <w:szCs w:val="44"/>
          <w:highlight w:val="none"/>
          <w:lang w:val="zh-CN"/>
        </w:rPr>
        <w:t>竞争性磋商公告</w:t>
      </w:r>
      <w:r>
        <w:rPr>
          <w:sz w:val="24"/>
          <w:szCs w:val="32"/>
        </w:rPr>
        <w:tab/>
      </w:r>
      <w:r>
        <w:rPr>
          <w:sz w:val="24"/>
          <w:szCs w:val="32"/>
        </w:rPr>
        <w:fldChar w:fldCharType="begin"/>
      </w:r>
      <w:r>
        <w:rPr>
          <w:sz w:val="24"/>
          <w:szCs w:val="32"/>
        </w:rPr>
        <w:instrText xml:space="preserve"> PAGEREF _Toc7155 \h </w:instrText>
      </w:r>
      <w:r>
        <w:rPr>
          <w:sz w:val="24"/>
          <w:szCs w:val="32"/>
        </w:rPr>
        <w:fldChar w:fldCharType="separate"/>
      </w:r>
      <w:r>
        <w:rPr>
          <w:sz w:val="24"/>
          <w:szCs w:val="32"/>
        </w:rPr>
        <w:t>1</w:t>
      </w:r>
      <w:r>
        <w:rPr>
          <w:sz w:val="24"/>
          <w:szCs w:val="32"/>
        </w:rPr>
        <w:fldChar w:fldCharType="end"/>
      </w:r>
      <w:r>
        <w:rPr>
          <w:rFonts w:hint="eastAsia" w:ascii="宋体" w:hAnsi="宋体" w:eastAsia="宋体" w:cs="宋体"/>
          <w:bCs/>
          <w:color w:val="auto"/>
          <w:sz w:val="24"/>
          <w:szCs w:val="32"/>
          <w:highlight w:val="none"/>
        </w:rPr>
        <w:fldChar w:fldCharType="end"/>
      </w:r>
    </w:p>
    <w:p w14:paraId="42C9E844">
      <w:pPr>
        <w:pStyle w:val="26"/>
        <w:tabs>
          <w:tab w:val="right" w:leader="dot" w:pos="9184"/>
          <w:tab w:val="clear" w:pos="9060"/>
        </w:tabs>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_Toc20649 </w:instrText>
      </w:r>
      <w:r>
        <w:rPr>
          <w:rFonts w:hint="eastAsia" w:ascii="宋体" w:hAnsi="宋体" w:eastAsia="宋体" w:cs="宋体"/>
          <w:bCs/>
          <w:sz w:val="24"/>
          <w:szCs w:val="32"/>
          <w:highlight w:val="none"/>
        </w:rPr>
        <w:fldChar w:fldCharType="separate"/>
      </w:r>
      <w:r>
        <w:rPr>
          <w:rFonts w:hint="eastAsia" w:ascii="宋体" w:hAnsi="宋体" w:eastAsia="宋体" w:cs="宋体"/>
          <w:sz w:val="24"/>
          <w:szCs w:val="44"/>
          <w:highlight w:val="none"/>
          <w:lang w:val="en-US" w:eastAsia="zh-CN"/>
        </w:rPr>
        <w:t xml:space="preserve">第二章 </w:t>
      </w:r>
      <w:r>
        <w:rPr>
          <w:rFonts w:hint="eastAsia" w:ascii="宋体" w:hAnsi="宋体" w:eastAsia="宋体" w:cs="宋体"/>
          <w:sz w:val="24"/>
          <w:szCs w:val="44"/>
          <w:highlight w:val="none"/>
        </w:rPr>
        <w:t>竞争性磋商须知</w:t>
      </w:r>
      <w:r>
        <w:rPr>
          <w:sz w:val="24"/>
          <w:szCs w:val="32"/>
        </w:rPr>
        <w:tab/>
      </w:r>
      <w:r>
        <w:rPr>
          <w:sz w:val="24"/>
          <w:szCs w:val="32"/>
        </w:rPr>
        <w:fldChar w:fldCharType="begin"/>
      </w:r>
      <w:r>
        <w:rPr>
          <w:sz w:val="24"/>
          <w:szCs w:val="32"/>
        </w:rPr>
        <w:instrText xml:space="preserve"> PAGEREF _Toc20649 \h </w:instrText>
      </w:r>
      <w:r>
        <w:rPr>
          <w:sz w:val="24"/>
          <w:szCs w:val="32"/>
        </w:rPr>
        <w:fldChar w:fldCharType="separate"/>
      </w:r>
      <w:r>
        <w:rPr>
          <w:sz w:val="24"/>
          <w:szCs w:val="32"/>
        </w:rPr>
        <w:t>5</w:t>
      </w:r>
      <w:r>
        <w:rPr>
          <w:sz w:val="24"/>
          <w:szCs w:val="32"/>
        </w:rPr>
        <w:fldChar w:fldCharType="end"/>
      </w:r>
      <w:r>
        <w:rPr>
          <w:rFonts w:hint="eastAsia" w:ascii="宋体" w:hAnsi="宋体" w:eastAsia="宋体" w:cs="宋体"/>
          <w:bCs/>
          <w:color w:val="auto"/>
          <w:sz w:val="24"/>
          <w:szCs w:val="32"/>
          <w:highlight w:val="none"/>
        </w:rPr>
        <w:fldChar w:fldCharType="end"/>
      </w:r>
    </w:p>
    <w:p w14:paraId="24C61973">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_Toc22326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en-US" w:eastAsia="zh-CN"/>
        </w:rPr>
        <w:t>第三章 供应商须知</w:t>
      </w:r>
      <w:r>
        <w:rPr>
          <w:sz w:val="24"/>
          <w:szCs w:val="32"/>
        </w:rPr>
        <w:tab/>
      </w:r>
      <w:r>
        <w:rPr>
          <w:rFonts w:hint="eastAsia"/>
          <w:sz w:val="24"/>
          <w:szCs w:val="32"/>
          <w:lang w:val="en-US" w:eastAsia="zh-CN"/>
        </w:rPr>
        <w:t>9</w:t>
      </w:r>
      <w:r>
        <w:rPr>
          <w:rFonts w:hint="eastAsia" w:ascii="宋体" w:hAnsi="宋体" w:eastAsia="宋体" w:cs="宋体"/>
          <w:bCs/>
          <w:color w:val="auto"/>
          <w:sz w:val="24"/>
          <w:szCs w:val="32"/>
          <w:highlight w:val="none"/>
        </w:rPr>
        <w:fldChar w:fldCharType="end"/>
      </w:r>
    </w:p>
    <w:p w14:paraId="5083BF57"/>
    <w:p w14:paraId="26D27DB1">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_Toc22326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en-US" w:eastAsia="zh-CN"/>
        </w:rPr>
        <w:t>第四章 评审办法</w:t>
      </w:r>
      <w:r>
        <w:rPr>
          <w:sz w:val="24"/>
          <w:szCs w:val="32"/>
        </w:rPr>
        <w:tab/>
      </w:r>
      <w:r>
        <w:rPr>
          <w:sz w:val="24"/>
          <w:szCs w:val="32"/>
        </w:rPr>
        <w:fldChar w:fldCharType="begin"/>
      </w:r>
      <w:r>
        <w:rPr>
          <w:sz w:val="24"/>
          <w:szCs w:val="32"/>
        </w:rPr>
        <w:instrText xml:space="preserve"> PAGEREF _Toc22326 \h </w:instrText>
      </w:r>
      <w:r>
        <w:rPr>
          <w:sz w:val="24"/>
          <w:szCs w:val="32"/>
        </w:rPr>
        <w:fldChar w:fldCharType="separate"/>
      </w:r>
      <w:r>
        <w:rPr>
          <w:sz w:val="24"/>
          <w:szCs w:val="32"/>
        </w:rPr>
        <w:t>23</w:t>
      </w:r>
      <w:r>
        <w:rPr>
          <w:sz w:val="24"/>
          <w:szCs w:val="32"/>
        </w:rPr>
        <w:fldChar w:fldCharType="end"/>
      </w:r>
      <w:r>
        <w:rPr>
          <w:rFonts w:hint="eastAsia" w:ascii="宋体" w:hAnsi="宋体" w:eastAsia="宋体" w:cs="宋体"/>
          <w:bCs/>
          <w:color w:val="auto"/>
          <w:sz w:val="24"/>
          <w:szCs w:val="32"/>
          <w:highlight w:val="none"/>
        </w:rPr>
        <w:fldChar w:fldCharType="end"/>
      </w:r>
    </w:p>
    <w:p w14:paraId="324F37B6">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_Toc30173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en-US" w:eastAsia="zh-CN"/>
        </w:rPr>
        <w:t xml:space="preserve">第五章 </w:t>
      </w:r>
      <w:r>
        <w:rPr>
          <w:rFonts w:hint="eastAsia" w:ascii="宋体" w:hAnsi="宋体" w:eastAsia="宋体" w:cs="宋体"/>
          <w:bCs/>
          <w:sz w:val="24"/>
          <w:szCs w:val="44"/>
          <w:highlight w:val="none"/>
          <w:lang w:val="zh-CN" w:eastAsia="zh-CN"/>
        </w:rPr>
        <w:t>施工内容及技术要求</w:t>
      </w:r>
      <w:r>
        <w:rPr>
          <w:sz w:val="24"/>
          <w:szCs w:val="32"/>
        </w:rPr>
        <w:tab/>
      </w:r>
      <w:r>
        <w:rPr>
          <w:sz w:val="24"/>
          <w:szCs w:val="32"/>
        </w:rPr>
        <w:fldChar w:fldCharType="begin"/>
      </w:r>
      <w:r>
        <w:rPr>
          <w:sz w:val="24"/>
          <w:szCs w:val="32"/>
        </w:rPr>
        <w:instrText xml:space="preserve"> PAGEREF _Toc30173 \h </w:instrText>
      </w:r>
      <w:r>
        <w:rPr>
          <w:sz w:val="24"/>
          <w:szCs w:val="32"/>
        </w:rPr>
        <w:fldChar w:fldCharType="separate"/>
      </w:r>
      <w:r>
        <w:rPr>
          <w:sz w:val="24"/>
          <w:szCs w:val="32"/>
        </w:rPr>
        <w:t>30</w:t>
      </w:r>
      <w:r>
        <w:rPr>
          <w:sz w:val="24"/>
          <w:szCs w:val="32"/>
        </w:rPr>
        <w:fldChar w:fldCharType="end"/>
      </w:r>
      <w:r>
        <w:rPr>
          <w:rFonts w:hint="eastAsia" w:ascii="宋体" w:hAnsi="宋体" w:eastAsia="宋体" w:cs="宋体"/>
          <w:bCs/>
          <w:color w:val="auto"/>
          <w:sz w:val="24"/>
          <w:szCs w:val="32"/>
          <w:highlight w:val="none"/>
        </w:rPr>
        <w:fldChar w:fldCharType="end"/>
      </w:r>
    </w:p>
    <w:p w14:paraId="17264C7F">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_Toc13717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w:t>
      </w:r>
      <w:r>
        <w:rPr>
          <w:rFonts w:hint="eastAsia" w:ascii="宋体" w:hAnsi="宋体" w:eastAsia="宋体" w:cs="宋体"/>
          <w:bCs/>
          <w:sz w:val="24"/>
          <w:szCs w:val="44"/>
          <w:highlight w:val="none"/>
          <w:lang w:val="en-US" w:eastAsia="zh-CN"/>
        </w:rPr>
        <w:t>六</w:t>
      </w:r>
      <w:r>
        <w:rPr>
          <w:rFonts w:hint="eastAsia" w:ascii="宋体" w:hAnsi="宋体" w:eastAsia="宋体" w:cs="宋体"/>
          <w:bCs/>
          <w:sz w:val="24"/>
          <w:szCs w:val="44"/>
          <w:highlight w:val="none"/>
          <w:lang w:val="zh-CN"/>
        </w:rPr>
        <w:t>章</w:t>
      </w:r>
      <w:r>
        <w:rPr>
          <w:rFonts w:hint="eastAsia" w:ascii="宋体" w:hAnsi="宋体" w:eastAsia="宋体" w:cs="宋体"/>
          <w:bCs/>
          <w:sz w:val="24"/>
          <w:szCs w:val="44"/>
          <w:highlight w:val="none"/>
          <w:lang w:val="en-US" w:eastAsia="zh-CN"/>
        </w:rPr>
        <w:t xml:space="preserve"> 工程量清单</w:t>
      </w:r>
      <w:r>
        <w:rPr>
          <w:sz w:val="24"/>
          <w:szCs w:val="32"/>
        </w:rPr>
        <w:tab/>
      </w:r>
      <w:r>
        <w:rPr>
          <w:sz w:val="24"/>
          <w:szCs w:val="32"/>
        </w:rPr>
        <w:fldChar w:fldCharType="begin"/>
      </w:r>
      <w:r>
        <w:rPr>
          <w:sz w:val="24"/>
          <w:szCs w:val="32"/>
        </w:rPr>
        <w:instrText xml:space="preserve"> PAGEREF _Toc13717 \h </w:instrText>
      </w:r>
      <w:r>
        <w:rPr>
          <w:sz w:val="24"/>
          <w:szCs w:val="32"/>
        </w:rPr>
        <w:fldChar w:fldCharType="separate"/>
      </w:r>
      <w:r>
        <w:rPr>
          <w:sz w:val="24"/>
          <w:szCs w:val="32"/>
        </w:rPr>
        <w:t>32</w:t>
      </w:r>
      <w:r>
        <w:rPr>
          <w:sz w:val="24"/>
          <w:szCs w:val="32"/>
        </w:rPr>
        <w:fldChar w:fldCharType="end"/>
      </w:r>
      <w:r>
        <w:rPr>
          <w:rFonts w:hint="eastAsia" w:ascii="宋体" w:hAnsi="宋体" w:eastAsia="宋体" w:cs="宋体"/>
          <w:bCs/>
          <w:color w:val="auto"/>
          <w:sz w:val="24"/>
          <w:szCs w:val="32"/>
          <w:highlight w:val="none"/>
        </w:rPr>
        <w:fldChar w:fldCharType="end"/>
      </w:r>
    </w:p>
    <w:p w14:paraId="212F174F">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_Toc25369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w:t>
      </w:r>
      <w:r>
        <w:rPr>
          <w:rFonts w:hint="eastAsia" w:ascii="宋体" w:hAnsi="宋体" w:eastAsia="宋体" w:cs="宋体"/>
          <w:bCs/>
          <w:sz w:val="24"/>
          <w:szCs w:val="44"/>
          <w:highlight w:val="none"/>
          <w:lang w:val="en-US" w:eastAsia="zh-CN"/>
        </w:rPr>
        <w:t>七</w:t>
      </w:r>
      <w:r>
        <w:rPr>
          <w:rFonts w:hint="eastAsia" w:ascii="宋体" w:hAnsi="宋体" w:eastAsia="宋体" w:cs="宋体"/>
          <w:bCs/>
          <w:sz w:val="24"/>
          <w:szCs w:val="44"/>
          <w:highlight w:val="none"/>
          <w:lang w:val="zh-CN"/>
        </w:rPr>
        <w:t>章</w:t>
      </w:r>
      <w:r>
        <w:rPr>
          <w:rFonts w:hint="eastAsia" w:ascii="宋体" w:hAnsi="宋体" w:eastAsia="宋体" w:cs="宋体"/>
          <w:bCs/>
          <w:sz w:val="24"/>
          <w:szCs w:val="44"/>
          <w:highlight w:val="none"/>
          <w:lang w:val="en-US" w:eastAsia="zh-CN"/>
        </w:rPr>
        <w:t xml:space="preserve"> </w:t>
      </w:r>
      <w:r>
        <w:rPr>
          <w:rFonts w:hint="eastAsia" w:ascii="宋体" w:hAnsi="宋体" w:eastAsia="宋体" w:cs="宋体"/>
          <w:bCs/>
          <w:sz w:val="24"/>
          <w:szCs w:val="44"/>
          <w:highlight w:val="none"/>
          <w:lang w:val="zh-CN"/>
        </w:rPr>
        <w:t>合同协议书</w:t>
      </w:r>
      <w:r>
        <w:rPr>
          <w:sz w:val="24"/>
          <w:szCs w:val="32"/>
        </w:rPr>
        <w:tab/>
      </w:r>
      <w:r>
        <w:rPr>
          <w:sz w:val="24"/>
          <w:szCs w:val="32"/>
        </w:rPr>
        <w:fldChar w:fldCharType="begin"/>
      </w:r>
      <w:r>
        <w:rPr>
          <w:sz w:val="24"/>
          <w:szCs w:val="32"/>
        </w:rPr>
        <w:instrText xml:space="preserve"> PAGEREF _Toc25369 \h </w:instrText>
      </w:r>
      <w:r>
        <w:rPr>
          <w:sz w:val="24"/>
          <w:szCs w:val="32"/>
        </w:rPr>
        <w:fldChar w:fldCharType="separate"/>
      </w:r>
      <w:r>
        <w:rPr>
          <w:sz w:val="24"/>
          <w:szCs w:val="32"/>
        </w:rPr>
        <w:t>33</w:t>
      </w:r>
      <w:r>
        <w:rPr>
          <w:sz w:val="24"/>
          <w:szCs w:val="32"/>
        </w:rPr>
        <w:fldChar w:fldCharType="end"/>
      </w:r>
      <w:r>
        <w:rPr>
          <w:rFonts w:hint="eastAsia" w:ascii="宋体" w:hAnsi="宋体" w:eastAsia="宋体" w:cs="宋体"/>
          <w:bCs/>
          <w:color w:val="auto"/>
          <w:sz w:val="24"/>
          <w:szCs w:val="32"/>
          <w:highlight w:val="none"/>
        </w:rPr>
        <w:fldChar w:fldCharType="end"/>
      </w:r>
    </w:p>
    <w:p w14:paraId="6D855CE2">
      <w:pPr>
        <w:pStyle w:val="26"/>
        <w:tabs>
          <w:tab w:val="right" w:leader="dot" w:pos="9184"/>
          <w:tab w:val="clear" w:pos="9060"/>
        </w:tabs>
        <w:rPr>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_Toc5498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w:t>
      </w:r>
      <w:r>
        <w:rPr>
          <w:rFonts w:hint="eastAsia" w:ascii="宋体" w:hAnsi="宋体" w:eastAsia="宋体" w:cs="宋体"/>
          <w:bCs/>
          <w:sz w:val="24"/>
          <w:szCs w:val="44"/>
          <w:highlight w:val="none"/>
          <w:lang w:val="en-US" w:eastAsia="zh-CN"/>
        </w:rPr>
        <w:t>八</w:t>
      </w:r>
      <w:r>
        <w:rPr>
          <w:rFonts w:hint="eastAsia" w:ascii="宋体" w:hAnsi="宋体" w:eastAsia="宋体" w:cs="宋体"/>
          <w:bCs/>
          <w:sz w:val="24"/>
          <w:szCs w:val="44"/>
          <w:highlight w:val="none"/>
          <w:lang w:val="zh-CN"/>
        </w:rPr>
        <w:t>章</w:t>
      </w:r>
      <w:r>
        <w:rPr>
          <w:rFonts w:hint="eastAsia" w:ascii="宋体" w:hAnsi="宋体" w:eastAsia="宋体" w:cs="宋体"/>
          <w:bCs/>
          <w:sz w:val="24"/>
          <w:szCs w:val="44"/>
          <w:highlight w:val="none"/>
          <w:lang w:val="en-US" w:eastAsia="zh-CN"/>
        </w:rPr>
        <w:t xml:space="preserve"> </w:t>
      </w:r>
      <w:r>
        <w:rPr>
          <w:rFonts w:hint="eastAsia" w:ascii="宋体" w:hAnsi="宋体" w:eastAsia="宋体" w:cs="宋体"/>
          <w:bCs/>
          <w:sz w:val="24"/>
          <w:szCs w:val="44"/>
          <w:highlight w:val="none"/>
          <w:lang w:val="zh-CN"/>
        </w:rPr>
        <w:t>响应文件格式</w:t>
      </w:r>
      <w:r>
        <w:rPr>
          <w:sz w:val="24"/>
          <w:szCs w:val="32"/>
        </w:rPr>
        <w:tab/>
      </w:r>
      <w:r>
        <w:rPr>
          <w:sz w:val="24"/>
          <w:szCs w:val="32"/>
        </w:rPr>
        <w:fldChar w:fldCharType="begin"/>
      </w:r>
      <w:r>
        <w:rPr>
          <w:sz w:val="24"/>
          <w:szCs w:val="32"/>
        </w:rPr>
        <w:instrText xml:space="preserve"> PAGEREF _Toc5498 \h </w:instrText>
      </w:r>
      <w:r>
        <w:rPr>
          <w:sz w:val="24"/>
          <w:szCs w:val="32"/>
        </w:rPr>
        <w:fldChar w:fldCharType="separate"/>
      </w:r>
      <w:r>
        <w:rPr>
          <w:sz w:val="24"/>
          <w:szCs w:val="32"/>
        </w:rPr>
        <w:t>54</w:t>
      </w:r>
      <w:r>
        <w:rPr>
          <w:sz w:val="24"/>
          <w:szCs w:val="32"/>
        </w:rPr>
        <w:fldChar w:fldCharType="end"/>
      </w:r>
      <w:r>
        <w:rPr>
          <w:rFonts w:hint="eastAsia" w:ascii="宋体" w:hAnsi="宋体" w:eastAsia="宋体" w:cs="宋体"/>
          <w:bCs/>
          <w:color w:val="auto"/>
          <w:sz w:val="24"/>
          <w:szCs w:val="32"/>
          <w:highlight w:val="none"/>
        </w:rPr>
        <w:fldChar w:fldCharType="end"/>
      </w:r>
    </w:p>
    <w:p w14:paraId="21F4A246">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宋体" w:hAnsi="宋体" w:eastAsia="宋体" w:cs="宋体"/>
          <w:b/>
          <w:bCs/>
          <w:color w:val="auto"/>
          <w:sz w:val="28"/>
          <w:szCs w:val="28"/>
          <w:highlight w:val="none"/>
        </w:rPr>
      </w:pPr>
      <w:r>
        <w:rPr>
          <w:rFonts w:hint="eastAsia" w:ascii="宋体" w:hAnsi="宋体" w:eastAsia="宋体" w:cs="宋体"/>
          <w:bCs/>
          <w:color w:val="auto"/>
          <w:sz w:val="24"/>
          <w:szCs w:val="32"/>
          <w:highlight w:val="none"/>
        </w:rPr>
        <w:fldChar w:fldCharType="end"/>
      </w:r>
    </w:p>
    <w:p w14:paraId="125C1BCA">
      <w:pPr>
        <w:keepLines w:val="0"/>
        <w:pageBreakBefore w:val="0"/>
        <w:tabs>
          <w:tab w:val="left" w:pos="3651"/>
        </w:tabs>
        <w:kinsoku/>
        <w:autoSpaceDE w:val="0"/>
        <w:autoSpaceDN w:val="0"/>
        <w:bidi w:val="0"/>
        <w:adjustRightInd w:val="0"/>
        <w:snapToGrid w:val="0"/>
        <w:spacing w:line="360" w:lineRule="auto"/>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ab/>
      </w:r>
    </w:p>
    <w:p w14:paraId="0927EAE0">
      <w:pPr>
        <w:keepLines w:val="0"/>
        <w:pageBreakBefore w:val="0"/>
        <w:kinsoku/>
        <w:autoSpaceDE w:val="0"/>
        <w:autoSpaceDN w:val="0"/>
        <w:bidi w:val="0"/>
        <w:adjustRightInd w:val="0"/>
        <w:spacing w:line="360" w:lineRule="auto"/>
        <w:rPr>
          <w:rFonts w:hint="eastAsia" w:ascii="宋体" w:hAnsi="宋体" w:eastAsia="宋体" w:cs="宋体"/>
          <w:b/>
          <w:bCs/>
          <w:color w:val="auto"/>
          <w:sz w:val="28"/>
          <w:szCs w:val="28"/>
          <w:highlight w:val="none"/>
        </w:rPr>
      </w:pPr>
    </w:p>
    <w:p w14:paraId="79D46621">
      <w:pPr>
        <w:keepLines w:val="0"/>
        <w:pageBreakBefore w:val="0"/>
        <w:kinsoku/>
        <w:autoSpaceDE w:val="0"/>
        <w:autoSpaceDN w:val="0"/>
        <w:bidi w:val="0"/>
        <w:adjustRightInd w:val="0"/>
        <w:spacing w:line="360" w:lineRule="auto"/>
        <w:jc w:val="left"/>
        <w:rPr>
          <w:rFonts w:hint="eastAsia" w:ascii="宋体" w:hAnsi="宋体" w:eastAsia="宋体" w:cs="宋体"/>
          <w:b/>
          <w:bCs/>
          <w:color w:val="auto"/>
          <w:sz w:val="28"/>
          <w:szCs w:val="28"/>
          <w:highlight w:val="none"/>
          <w:lang w:val="zh-CN"/>
        </w:rPr>
      </w:pPr>
    </w:p>
    <w:p w14:paraId="52F1DE16">
      <w:pPr>
        <w:keepLines w:val="0"/>
        <w:pageBreakBefore w:val="0"/>
        <w:kinsoku/>
        <w:autoSpaceDE w:val="0"/>
        <w:autoSpaceDN w:val="0"/>
        <w:bidi w:val="0"/>
        <w:adjustRightInd w:val="0"/>
        <w:spacing w:line="360" w:lineRule="auto"/>
        <w:jc w:val="left"/>
        <w:rPr>
          <w:rFonts w:hint="eastAsia" w:ascii="宋体" w:hAnsi="宋体" w:eastAsia="宋体" w:cs="宋体"/>
          <w:b/>
          <w:bCs/>
          <w:color w:val="auto"/>
          <w:sz w:val="28"/>
          <w:szCs w:val="28"/>
          <w:highlight w:val="none"/>
          <w:lang w:val="zh-CN"/>
        </w:rPr>
      </w:pPr>
    </w:p>
    <w:p w14:paraId="1DDC6D35">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6"/>
          <w:szCs w:val="36"/>
          <w:highlight w:val="none"/>
          <w:lang w:val="zh-CN"/>
        </w:rPr>
        <w:sectPr>
          <w:headerReference r:id="rId9" w:type="first"/>
          <w:footerReference r:id="rId11" w:type="first"/>
          <w:footerReference r:id="rId10" w:type="default"/>
          <w:pgSz w:w="11906" w:h="16838"/>
          <w:pgMar w:top="1361" w:right="1361" w:bottom="1361" w:left="1361" w:header="850" w:footer="1134" w:gutter="0"/>
          <w:pgBorders>
            <w:top w:val="none" w:sz="0" w:space="0"/>
            <w:left w:val="none" w:sz="0" w:space="0"/>
            <w:bottom w:val="none" w:sz="0" w:space="0"/>
            <w:right w:val="none" w:sz="0" w:space="0"/>
          </w:pgBorders>
          <w:pgNumType w:fmt="decimal" w:start="1"/>
          <w:cols w:space="425" w:num="1"/>
          <w:titlePg/>
          <w:docGrid w:linePitch="312" w:charSpace="0"/>
        </w:sectPr>
      </w:pPr>
    </w:p>
    <w:p w14:paraId="3C4EA1C5">
      <w:pPr>
        <w:pStyle w:val="2"/>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36"/>
          <w:szCs w:val="22"/>
          <w:highlight w:val="none"/>
          <w:lang w:val="zh-CN"/>
        </w:rPr>
      </w:pPr>
      <w:bookmarkStart w:id="0" w:name="_Toc7155"/>
      <w:r>
        <w:rPr>
          <w:rFonts w:hint="eastAsia" w:ascii="宋体" w:hAnsi="宋体" w:eastAsia="宋体" w:cs="宋体"/>
          <w:b/>
          <w:bCs/>
          <w:color w:val="auto"/>
          <w:sz w:val="36"/>
          <w:szCs w:val="36"/>
          <w:highlight w:val="none"/>
          <w:lang w:val="zh-CN"/>
        </w:rPr>
        <w:t>第一章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竞争性磋商公告</w:t>
      </w:r>
      <w:bookmarkEnd w:id="0"/>
    </w:p>
    <w:p w14:paraId="61497A77">
      <w:pPr>
        <w:pStyle w:val="7"/>
        <w:keepNext w:val="0"/>
        <w:keepLines w:val="0"/>
        <w:pageBreakBefore w:val="0"/>
        <w:widowControl/>
        <w:kinsoku/>
        <w:wordWrap/>
        <w:overflowPunct/>
        <w:topLinePunct w:val="0"/>
        <w:autoSpaceDE/>
        <w:autoSpaceDN/>
        <w:bidi w:val="0"/>
        <w:adjustRightInd/>
        <w:snapToGrid/>
        <w:spacing w:before="0" w:after="0" w:line="360" w:lineRule="exact"/>
        <w:ind w:left="0" w:leftChars="0" w:firstLine="422" w:firstLineChars="200"/>
        <w:textAlignment w:val="auto"/>
        <w:rPr>
          <w:rFonts w:hint="eastAsia" w:ascii="宋体" w:hAnsi="宋体" w:eastAsia="宋体" w:cs="宋体"/>
          <w:color w:val="auto"/>
          <w:kern w:val="2"/>
          <w:sz w:val="21"/>
          <w:szCs w:val="21"/>
        </w:rPr>
      </w:pPr>
      <w:bookmarkStart w:id="1" w:name="_Hlk102659814"/>
      <w:bookmarkStart w:id="2" w:name="_Toc451185838"/>
      <w:bookmarkStart w:id="3" w:name="_Toc451185835"/>
      <w:r>
        <w:rPr>
          <w:rFonts w:hint="eastAsia" w:ascii="宋体" w:hAnsi="宋体" w:eastAsia="宋体" w:cs="宋体"/>
          <w:color w:val="auto"/>
          <w:kern w:val="2"/>
          <w:sz w:val="21"/>
          <w:szCs w:val="21"/>
        </w:rPr>
        <w:t>项目概况</w:t>
      </w:r>
    </w:p>
    <w:p w14:paraId="17B0E53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eastAsia" w:ascii="宋体" w:hAnsi="宋体" w:eastAsia="宋体" w:cs="宋体"/>
          <w:color w:val="auto"/>
          <w:kern w:val="2"/>
          <w:sz w:val="21"/>
          <w:szCs w:val="21"/>
        </w:rPr>
      </w:pPr>
      <w:r>
        <w:rPr>
          <w:rFonts w:hint="eastAsia" w:cs="宋体"/>
          <w:color w:val="auto"/>
          <w:kern w:val="2"/>
          <w:sz w:val="21"/>
          <w:szCs w:val="21"/>
          <w:lang w:eastAsia="zh-CN"/>
        </w:rPr>
        <w:t>泾阳县老年人服务中心(泾阳县中心敬老院)提升改造</w:t>
      </w:r>
      <w:r>
        <w:rPr>
          <w:rFonts w:hint="eastAsia" w:cs="宋体"/>
          <w:color w:val="auto"/>
          <w:kern w:val="2"/>
          <w:sz w:val="21"/>
          <w:szCs w:val="21"/>
          <w:lang w:val="en-US" w:eastAsia="zh-CN"/>
        </w:rPr>
        <w:t>项目</w:t>
      </w:r>
      <w:r>
        <w:rPr>
          <w:rFonts w:hint="eastAsia" w:ascii="宋体" w:hAnsi="宋体" w:eastAsia="宋体" w:cs="宋体"/>
          <w:color w:val="auto"/>
          <w:kern w:val="2"/>
          <w:sz w:val="21"/>
          <w:szCs w:val="21"/>
          <w:highlight w:val="none"/>
        </w:rPr>
        <w:t>的潜在供应商应在</w:t>
      </w:r>
      <w:r>
        <w:rPr>
          <w:rFonts w:hint="eastAsia" w:ascii="宋体" w:hAnsi="宋体" w:eastAsia="宋体" w:cs="宋体"/>
          <w:spacing w:val="-11"/>
          <w:sz w:val="21"/>
          <w:szCs w:val="21"/>
          <w:highlight w:val="none"/>
        </w:rPr>
        <w:t>全</w:t>
      </w:r>
      <w:r>
        <w:rPr>
          <w:rFonts w:hint="eastAsia" w:ascii="宋体" w:hAnsi="宋体" w:eastAsia="宋体" w:cs="宋体"/>
          <w:spacing w:val="-37"/>
          <w:sz w:val="21"/>
          <w:szCs w:val="21"/>
          <w:highlight w:val="none"/>
        </w:rPr>
        <w:t xml:space="preserve"> </w:t>
      </w:r>
      <w:r>
        <w:rPr>
          <w:rFonts w:hint="eastAsia" w:ascii="宋体" w:hAnsi="宋体" w:eastAsia="宋体" w:cs="宋体"/>
          <w:spacing w:val="-11"/>
          <w:sz w:val="21"/>
          <w:szCs w:val="21"/>
          <w:highlight w:val="none"/>
        </w:rPr>
        <w:t>国</w:t>
      </w:r>
      <w:r>
        <w:rPr>
          <w:rFonts w:hint="eastAsia" w:ascii="宋体" w:hAnsi="宋体" w:eastAsia="宋体" w:cs="宋体"/>
          <w:spacing w:val="-53"/>
          <w:sz w:val="21"/>
          <w:szCs w:val="21"/>
          <w:highlight w:val="none"/>
        </w:rPr>
        <w:t xml:space="preserve"> </w:t>
      </w:r>
      <w:r>
        <w:rPr>
          <w:rFonts w:hint="eastAsia" w:ascii="宋体" w:hAnsi="宋体" w:eastAsia="宋体" w:cs="宋体"/>
          <w:spacing w:val="-11"/>
          <w:sz w:val="21"/>
          <w:szCs w:val="21"/>
          <w:highlight w:val="none"/>
        </w:rPr>
        <w:t>公</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共</w:t>
      </w:r>
      <w:r>
        <w:rPr>
          <w:rFonts w:hint="eastAsia" w:ascii="宋体" w:hAnsi="宋体" w:eastAsia="宋体" w:cs="宋体"/>
          <w:spacing w:val="-50"/>
          <w:sz w:val="21"/>
          <w:szCs w:val="21"/>
          <w:highlight w:val="none"/>
        </w:rPr>
        <w:t xml:space="preserve"> </w:t>
      </w:r>
      <w:r>
        <w:rPr>
          <w:rFonts w:hint="eastAsia" w:ascii="宋体" w:hAnsi="宋体" w:eastAsia="宋体" w:cs="宋体"/>
          <w:spacing w:val="-11"/>
          <w:sz w:val="21"/>
          <w:szCs w:val="21"/>
          <w:highlight w:val="none"/>
        </w:rPr>
        <w:t>资</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源</w:t>
      </w:r>
      <w:r>
        <w:rPr>
          <w:rFonts w:hint="eastAsia" w:ascii="宋体" w:hAnsi="宋体" w:eastAsia="宋体" w:cs="宋体"/>
          <w:spacing w:val="-56"/>
          <w:sz w:val="21"/>
          <w:szCs w:val="21"/>
          <w:highlight w:val="none"/>
        </w:rPr>
        <w:t xml:space="preserve"> </w:t>
      </w:r>
      <w:r>
        <w:rPr>
          <w:rFonts w:hint="eastAsia" w:ascii="宋体" w:hAnsi="宋体" w:eastAsia="宋体" w:cs="宋体"/>
          <w:spacing w:val="-11"/>
          <w:sz w:val="21"/>
          <w:szCs w:val="21"/>
          <w:highlight w:val="none"/>
        </w:rPr>
        <w:t>交</w:t>
      </w:r>
      <w:r>
        <w:rPr>
          <w:rFonts w:hint="eastAsia" w:ascii="宋体" w:hAnsi="宋体" w:eastAsia="宋体" w:cs="宋体"/>
          <w:spacing w:val="-44"/>
          <w:sz w:val="21"/>
          <w:szCs w:val="21"/>
          <w:highlight w:val="none"/>
        </w:rPr>
        <w:t xml:space="preserve"> </w:t>
      </w:r>
      <w:r>
        <w:rPr>
          <w:rFonts w:hint="eastAsia" w:ascii="宋体" w:hAnsi="宋体" w:eastAsia="宋体" w:cs="宋体"/>
          <w:spacing w:val="-11"/>
          <w:sz w:val="21"/>
          <w:szCs w:val="21"/>
          <w:highlight w:val="none"/>
        </w:rPr>
        <w:t>易</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平</w:t>
      </w:r>
      <w:r>
        <w:rPr>
          <w:rFonts w:hint="eastAsia" w:ascii="宋体" w:hAnsi="宋体" w:eastAsia="宋体" w:cs="宋体"/>
          <w:spacing w:val="-42"/>
          <w:sz w:val="21"/>
          <w:szCs w:val="21"/>
          <w:highlight w:val="none"/>
        </w:rPr>
        <w:t xml:space="preserve"> </w:t>
      </w:r>
      <w:r>
        <w:rPr>
          <w:rFonts w:hint="eastAsia" w:ascii="宋体" w:hAnsi="宋体" w:eastAsia="宋体" w:cs="宋体"/>
          <w:spacing w:val="-11"/>
          <w:sz w:val="21"/>
          <w:szCs w:val="21"/>
          <w:highlight w:val="none"/>
        </w:rPr>
        <w:t>台</w:t>
      </w:r>
      <w:r>
        <w:rPr>
          <w:rFonts w:hint="eastAsia" w:ascii="宋体" w:hAnsi="宋体" w:eastAsia="宋体" w:cs="宋体"/>
          <w:spacing w:val="-69"/>
          <w:sz w:val="21"/>
          <w:szCs w:val="21"/>
          <w:highlight w:val="none"/>
        </w:rPr>
        <w:t xml:space="preserve"> </w:t>
      </w:r>
      <w:r>
        <w:rPr>
          <w:rFonts w:hint="eastAsia" w:ascii="宋体" w:hAnsi="宋体" w:eastAsia="宋体" w:cs="宋体"/>
          <w:spacing w:val="-11"/>
          <w:sz w:val="21"/>
          <w:szCs w:val="21"/>
          <w:highlight w:val="none"/>
        </w:rPr>
        <w:t>（陕</w:t>
      </w:r>
      <w:r>
        <w:rPr>
          <w:rFonts w:hint="eastAsia" w:ascii="宋体" w:hAnsi="宋体" w:eastAsia="宋体" w:cs="宋体"/>
          <w:spacing w:val="-55"/>
          <w:sz w:val="21"/>
          <w:szCs w:val="21"/>
          <w:highlight w:val="none"/>
        </w:rPr>
        <w:t xml:space="preserve"> </w:t>
      </w:r>
      <w:r>
        <w:rPr>
          <w:rFonts w:hint="eastAsia" w:ascii="宋体" w:hAnsi="宋体" w:eastAsia="宋体" w:cs="宋体"/>
          <w:spacing w:val="-11"/>
          <w:sz w:val="21"/>
          <w:szCs w:val="21"/>
          <w:highlight w:val="none"/>
        </w:rPr>
        <w:t>西</w:t>
      </w:r>
      <w:r>
        <w:rPr>
          <w:rFonts w:hint="eastAsia" w:ascii="宋体" w:hAnsi="宋体" w:eastAsia="宋体" w:cs="宋体"/>
          <w:spacing w:val="-56"/>
          <w:sz w:val="21"/>
          <w:szCs w:val="21"/>
          <w:highlight w:val="none"/>
        </w:rPr>
        <w:t xml:space="preserve"> </w:t>
      </w:r>
      <w:r>
        <w:rPr>
          <w:rFonts w:hint="eastAsia" w:ascii="宋体" w:hAnsi="宋体" w:eastAsia="宋体" w:cs="宋体"/>
          <w:spacing w:val="-11"/>
          <w:sz w:val="21"/>
          <w:szCs w:val="21"/>
          <w:highlight w:val="none"/>
        </w:rPr>
        <w:t>省</w:t>
      </w:r>
      <w:r>
        <w:rPr>
          <w:rFonts w:hint="eastAsia" w:ascii="宋体" w:hAnsi="宋体" w:eastAsia="宋体" w:cs="宋体"/>
          <w:spacing w:val="-53"/>
          <w:sz w:val="21"/>
          <w:szCs w:val="21"/>
          <w:highlight w:val="none"/>
        </w:rPr>
        <w:t xml:space="preserve"> </w:t>
      </w:r>
      <w:r>
        <w:rPr>
          <w:rFonts w:hint="eastAsia" w:ascii="宋体" w:hAnsi="宋体" w:eastAsia="宋体" w:cs="宋体"/>
          <w:spacing w:val="-11"/>
          <w:sz w:val="21"/>
          <w:szCs w:val="21"/>
          <w:highlight w:val="none"/>
        </w:rPr>
        <w:t>. 咸</w:t>
      </w:r>
      <w:r>
        <w:rPr>
          <w:rFonts w:hint="eastAsia" w:ascii="宋体" w:hAnsi="宋体" w:eastAsia="宋体" w:cs="宋体"/>
          <w:spacing w:val="-42"/>
          <w:sz w:val="21"/>
          <w:szCs w:val="21"/>
          <w:highlight w:val="none"/>
        </w:rPr>
        <w:t xml:space="preserve"> </w:t>
      </w:r>
      <w:r>
        <w:rPr>
          <w:rFonts w:hint="eastAsia" w:ascii="宋体" w:hAnsi="宋体" w:eastAsia="宋体" w:cs="宋体"/>
          <w:spacing w:val="-11"/>
          <w:sz w:val="21"/>
          <w:szCs w:val="21"/>
          <w:highlight w:val="none"/>
        </w:rPr>
        <w:t>阳</w:t>
      </w:r>
      <w:r>
        <w:rPr>
          <w:rFonts w:hint="eastAsia" w:ascii="宋体" w:hAnsi="宋体" w:eastAsia="宋体" w:cs="宋体"/>
          <w:spacing w:val="-54"/>
          <w:sz w:val="21"/>
          <w:szCs w:val="21"/>
          <w:highlight w:val="none"/>
        </w:rPr>
        <w:t xml:space="preserve"> </w:t>
      </w:r>
      <w:r>
        <w:rPr>
          <w:rFonts w:hint="eastAsia" w:ascii="宋体" w:hAnsi="宋体" w:eastAsia="宋体" w:cs="宋体"/>
          <w:spacing w:val="-11"/>
          <w:sz w:val="21"/>
          <w:szCs w:val="21"/>
          <w:highlight w:val="none"/>
        </w:rPr>
        <w:t>市</w:t>
      </w:r>
      <w:r>
        <w:rPr>
          <w:rFonts w:hint="eastAsia" w:ascii="宋体" w:hAnsi="宋体" w:eastAsia="宋体" w:cs="宋体"/>
          <w:spacing w:val="-35"/>
          <w:sz w:val="21"/>
          <w:szCs w:val="21"/>
          <w:highlight w:val="none"/>
        </w:rPr>
        <w:t xml:space="preserve"> </w:t>
      </w:r>
      <w:r>
        <w:rPr>
          <w:rFonts w:hint="eastAsia" w:ascii="宋体" w:hAnsi="宋体" w:eastAsia="宋体" w:cs="宋体"/>
          <w:spacing w:val="-34"/>
          <w:sz w:val="21"/>
          <w:szCs w:val="21"/>
          <w:highlight w:val="none"/>
        </w:rPr>
        <w:t>）</w:t>
      </w:r>
      <w:r>
        <w:rPr>
          <w:rFonts w:hint="eastAsia" w:ascii="宋体" w:hAnsi="宋体" w:eastAsia="宋体" w:cs="宋体"/>
          <w:color w:val="auto"/>
          <w:kern w:val="2"/>
          <w:sz w:val="21"/>
          <w:szCs w:val="21"/>
          <w:lang w:eastAsia="zh-CN"/>
        </w:rPr>
        <w:t>（http://x</w:t>
      </w:r>
      <w:r>
        <w:rPr>
          <w:rFonts w:hint="eastAsia" w:ascii="宋体" w:hAnsi="宋体" w:eastAsia="宋体" w:cs="宋体"/>
          <w:color w:val="auto"/>
          <w:kern w:val="2"/>
          <w:sz w:val="21"/>
          <w:szCs w:val="21"/>
          <w:lang w:val="en-US" w:eastAsia="zh-CN"/>
        </w:rPr>
        <w:t>y</w:t>
      </w:r>
      <w:r>
        <w:rPr>
          <w:rFonts w:hint="eastAsia" w:ascii="宋体" w:hAnsi="宋体" w:eastAsia="宋体" w:cs="宋体"/>
          <w:color w:val="auto"/>
          <w:kern w:val="2"/>
          <w:sz w:val="21"/>
          <w:szCs w:val="21"/>
          <w:lang w:eastAsia="zh-CN"/>
        </w:rPr>
        <w:t>.sxggzyjy.cn/）获取</w:t>
      </w:r>
      <w:r>
        <w:rPr>
          <w:rFonts w:hint="eastAsia" w:ascii="宋体" w:hAnsi="宋体" w:eastAsia="宋体" w:cs="宋体"/>
          <w:color w:val="auto"/>
          <w:kern w:val="2"/>
          <w:sz w:val="21"/>
          <w:szCs w:val="21"/>
          <w:highlight w:val="none"/>
        </w:rPr>
        <w:t>采购文件，并于</w:t>
      </w:r>
      <w:r>
        <w:rPr>
          <w:rFonts w:hint="eastAsia" w:ascii="宋体" w:hAnsi="宋体" w:eastAsia="宋体" w:cs="宋体"/>
          <w:color w:val="auto"/>
          <w:kern w:val="2"/>
          <w:sz w:val="21"/>
          <w:szCs w:val="21"/>
        </w:rPr>
        <w:t>20</w:t>
      </w:r>
      <w:r>
        <w:rPr>
          <w:rFonts w:hint="eastAsia" w:ascii="宋体" w:hAnsi="宋体" w:eastAsia="宋体" w:cs="宋体"/>
          <w:color w:val="auto"/>
          <w:kern w:val="2"/>
          <w:sz w:val="21"/>
          <w:szCs w:val="21"/>
          <w:lang w:val="en-US" w:eastAsia="zh-CN"/>
        </w:rPr>
        <w:t>2</w:t>
      </w:r>
      <w:r>
        <w:rPr>
          <w:rFonts w:hint="eastAsia" w:cs="宋体"/>
          <w:color w:val="auto"/>
          <w:kern w:val="2"/>
          <w:sz w:val="21"/>
          <w:szCs w:val="21"/>
          <w:lang w:val="en-US" w:eastAsia="zh-CN"/>
        </w:rPr>
        <w:t>6</w:t>
      </w:r>
      <w:r>
        <w:rPr>
          <w:rFonts w:hint="eastAsia" w:ascii="宋体" w:hAnsi="宋体" w:eastAsia="宋体" w:cs="宋体"/>
          <w:color w:val="auto"/>
          <w:kern w:val="2"/>
          <w:sz w:val="21"/>
          <w:szCs w:val="21"/>
        </w:rPr>
        <w:t>年</w:t>
      </w:r>
      <w:r>
        <w:rPr>
          <w:rFonts w:hint="eastAsia" w:cs="宋体"/>
          <w:color w:val="auto"/>
          <w:kern w:val="2"/>
          <w:sz w:val="21"/>
          <w:szCs w:val="21"/>
          <w:lang w:val="en-US" w:eastAsia="zh-CN"/>
        </w:rPr>
        <w:t>08</w:t>
      </w:r>
      <w:r>
        <w:rPr>
          <w:rFonts w:hint="eastAsia" w:ascii="宋体" w:hAnsi="宋体" w:eastAsia="宋体" w:cs="宋体"/>
          <w:color w:val="auto"/>
          <w:kern w:val="2"/>
          <w:sz w:val="21"/>
          <w:szCs w:val="21"/>
        </w:rPr>
        <w:t>月</w:t>
      </w:r>
      <w:r>
        <w:rPr>
          <w:rFonts w:hint="eastAsia" w:cs="宋体"/>
          <w:color w:val="auto"/>
          <w:kern w:val="2"/>
          <w:sz w:val="21"/>
          <w:szCs w:val="21"/>
          <w:lang w:val="en-US" w:eastAsia="zh-CN"/>
        </w:rPr>
        <w:t>18</w:t>
      </w:r>
      <w:r>
        <w:rPr>
          <w:rFonts w:hint="eastAsia" w:ascii="宋体" w:hAnsi="宋体" w:eastAsia="宋体" w:cs="宋体"/>
          <w:color w:val="auto"/>
          <w:kern w:val="2"/>
          <w:sz w:val="21"/>
          <w:szCs w:val="21"/>
        </w:rPr>
        <w:t>日</w:t>
      </w:r>
      <w:r>
        <w:rPr>
          <w:rFonts w:hint="eastAsia" w:cs="宋体"/>
          <w:color w:val="auto"/>
          <w:kern w:val="2"/>
          <w:sz w:val="21"/>
          <w:szCs w:val="21"/>
          <w:lang w:val="en-US" w:eastAsia="zh-CN"/>
        </w:rPr>
        <w:t>09</w:t>
      </w:r>
      <w:r>
        <w:rPr>
          <w:rFonts w:hint="eastAsia" w:ascii="宋体" w:hAnsi="宋体" w:eastAsia="宋体" w:cs="宋体"/>
          <w:color w:val="auto"/>
          <w:kern w:val="2"/>
          <w:sz w:val="21"/>
          <w:szCs w:val="21"/>
        </w:rPr>
        <w:t>时</w:t>
      </w:r>
      <w:r>
        <w:rPr>
          <w:rFonts w:hint="eastAsia" w:cs="宋体"/>
          <w:color w:val="auto"/>
          <w:kern w:val="2"/>
          <w:sz w:val="21"/>
          <w:szCs w:val="21"/>
          <w:lang w:val="en-US" w:eastAsia="zh-CN"/>
        </w:rPr>
        <w:t>30</w:t>
      </w:r>
      <w:r>
        <w:rPr>
          <w:rFonts w:hint="eastAsia" w:ascii="宋体" w:hAnsi="宋体" w:eastAsia="宋体" w:cs="宋体"/>
          <w:color w:val="auto"/>
          <w:kern w:val="2"/>
          <w:sz w:val="21"/>
          <w:szCs w:val="21"/>
        </w:rPr>
        <w:t>分（北京时间）前提交响应文件。</w:t>
      </w:r>
    </w:p>
    <w:p w14:paraId="5CF3843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一、项目基本情况</w:t>
      </w:r>
    </w:p>
    <w:p w14:paraId="0AA1C21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cs="宋体"/>
          <w:i w:val="0"/>
          <w:iCs w:val="0"/>
          <w:caps w:val="0"/>
          <w:color w:val="auto"/>
          <w:spacing w:val="0"/>
          <w:sz w:val="21"/>
          <w:szCs w:val="21"/>
          <w:highlight w:val="none"/>
          <w:shd w:val="clear" w:fill="FFFFFF"/>
          <w:lang w:eastAsia="zh-CN"/>
        </w:rPr>
      </w:pPr>
      <w:r>
        <w:rPr>
          <w:rFonts w:hint="eastAsia" w:ascii="宋体" w:hAnsi="宋体" w:eastAsia="宋体" w:cs="宋体"/>
          <w:i w:val="0"/>
          <w:iCs w:val="0"/>
          <w:caps w:val="0"/>
          <w:color w:val="auto"/>
          <w:spacing w:val="0"/>
          <w:sz w:val="21"/>
          <w:szCs w:val="21"/>
          <w:highlight w:val="none"/>
          <w:shd w:val="clear" w:fill="FFFFFF"/>
        </w:rPr>
        <w:t>项目编号：</w:t>
      </w:r>
      <w:r>
        <w:rPr>
          <w:rFonts w:hint="eastAsia" w:cs="宋体"/>
          <w:i w:val="0"/>
          <w:iCs w:val="0"/>
          <w:caps w:val="0"/>
          <w:color w:val="auto"/>
          <w:spacing w:val="0"/>
          <w:sz w:val="21"/>
          <w:szCs w:val="21"/>
          <w:highlight w:val="none"/>
          <w:shd w:val="clear" w:fill="FFFFFF"/>
          <w:lang w:eastAsia="zh-CN"/>
        </w:rPr>
        <w:t>ZFCG-泾阳县-2026-00005</w:t>
      </w:r>
    </w:p>
    <w:p w14:paraId="0FD0C8D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default" w:ascii="宋体" w:hAnsi="宋体" w:eastAsia="宋体" w:cs="宋体"/>
          <w:color w:val="auto"/>
          <w:kern w:val="2"/>
          <w:sz w:val="21"/>
          <w:szCs w:val="21"/>
          <w:lang w:val="en-US" w:eastAsia="zh-CN"/>
        </w:rPr>
      </w:pPr>
      <w:r>
        <w:rPr>
          <w:rFonts w:hint="eastAsia" w:ascii="宋体" w:hAnsi="宋体" w:eastAsia="宋体" w:cs="宋体"/>
          <w:i w:val="0"/>
          <w:iCs w:val="0"/>
          <w:caps w:val="0"/>
          <w:color w:val="auto"/>
          <w:spacing w:val="0"/>
          <w:sz w:val="21"/>
          <w:szCs w:val="21"/>
          <w:highlight w:val="none"/>
          <w:shd w:val="clear" w:fill="FFFFFF"/>
        </w:rPr>
        <w:t>项目名称：</w:t>
      </w:r>
      <w:r>
        <w:rPr>
          <w:rFonts w:hint="eastAsia" w:cs="宋体"/>
          <w:color w:val="auto"/>
          <w:kern w:val="2"/>
          <w:sz w:val="21"/>
          <w:szCs w:val="21"/>
          <w:lang w:eastAsia="zh-CN"/>
        </w:rPr>
        <w:t>泾阳县老年人服务中心(泾阳县中心敬老院)提升改造</w:t>
      </w:r>
      <w:r>
        <w:rPr>
          <w:rFonts w:hint="eastAsia" w:cs="宋体"/>
          <w:color w:val="auto"/>
          <w:kern w:val="2"/>
          <w:sz w:val="21"/>
          <w:szCs w:val="21"/>
          <w:lang w:val="en-US" w:eastAsia="zh-CN"/>
        </w:rPr>
        <w:t>项目</w:t>
      </w:r>
    </w:p>
    <w:p w14:paraId="0ADFCD7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rPr>
        <w:t>采购方式：</w:t>
      </w:r>
      <w:r>
        <w:rPr>
          <w:rFonts w:hint="eastAsia" w:ascii="宋体" w:hAnsi="宋体" w:eastAsia="宋体" w:cs="宋体"/>
          <w:i w:val="0"/>
          <w:iCs w:val="0"/>
          <w:caps w:val="0"/>
          <w:color w:val="auto"/>
          <w:spacing w:val="0"/>
          <w:sz w:val="21"/>
          <w:szCs w:val="21"/>
          <w:highlight w:val="none"/>
          <w:shd w:val="clear" w:fill="FFFFFF"/>
          <w:lang w:val="en-US" w:eastAsia="zh-CN"/>
        </w:rPr>
        <w:t>竞争性磋商</w:t>
      </w:r>
    </w:p>
    <w:p w14:paraId="69BE0C0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预算金额：</w:t>
      </w:r>
      <w:r>
        <w:rPr>
          <w:rFonts w:hint="eastAsia" w:cs="宋体"/>
          <w:i w:val="0"/>
          <w:iCs w:val="0"/>
          <w:caps w:val="0"/>
          <w:color w:val="auto"/>
          <w:spacing w:val="0"/>
          <w:sz w:val="21"/>
          <w:szCs w:val="21"/>
          <w:highlight w:val="none"/>
          <w:shd w:val="clear" w:fill="FFFFFF"/>
          <w:lang w:val="en-US" w:eastAsia="zh-CN"/>
        </w:rPr>
        <w:t>700000.00</w:t>
      </w:r>
      <w:r>
        <w:rPr>
          <w:rFonts w:hint="eastAsia" w:ascii="宋体" w:hAnsi="宋体" w:eastAsia="宋体" w:cs="宋体"/>
          <w:i w:val="0"/>
          <w:iCs w:val="0"/>
          <w:caps w:val="0"/>
          <w:color w:val="auto"/>
          <w:spacing w:val="0"/>
          <w:sz w:val="21"/>
          <w:szCs w:val="21"/>
          <w:highlight w:val="none"/>
          <w:shd w:val="clear" w:fill="FFFFFF"/>
        </w:rPr>
        <w:t>元</w:t>
      </w:r>
    </w:p>
    <w:p w14:paraId="2899672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采购需求：</w:t>
      </w:r>
    </w:p>
    <w:p w14:paraId="346187B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合同包1(</w:t>
      </w:r>
      <w:r>
        <w:rPr>
          <w:rFonts w:hint="eastAsia" w:cs="宋体"/>
          <w:color w:val="auto"/>
          <w:kern w:val="2"/>
          <w:sz w:val="21"/>
          <w:szCs w:val="21"/>
          <w:lang w:eastAsia="zh-CN"/>
        </w:rPr>
        <w:t>泾阳县老年人服务中心(泾阳县中心敬老院)提升改造</w:t>
      </w:r>
      <w:r>
        <w:rPr>
          <w:rFonts w:hint="eastAsia" w:cs="宋体"/>
          <w:color w:val="auto"/>
          <w:kern w:val="2"/>
          <w:sz w:val="21"/>
          <w:szCs w:val="21"/>
          <w:lang w:val="en-US" w:eastAsia="zh-CN"/>
        </w:rPr>
        <w:t>项目</w:t>
      </w:r>
      <w:r>
        <w:rPr>
          <w:rFonts w:hint="eastAsia" w:ascii="宋体" w:hAnsi="宋体" w:eastAsia="宋体" w:cs="宋体"/>
          <w:i w:val="0"/>
          <w:iCs w:val="0"/>
          <w:caps w:val="0"/>
          <w:color w:val="auto"/>
          <w:spacing w:val="0"/>
          <w:sz w:val="21"/>
          <w:szCs w:val="21"/>
          <w:highlight w:val="none"/>
          <w:shd w:val="clear" w:fill="FFFFFF"/>
        </w:rPr>
        <w:t>):</w:t>
      </w:r>
    </w:p>
    <w:p w14:paraId="596EAB5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合同包预算金额：</w:t>
      </w:r>
      <w:r>
        <w:rPr>
          <w:rFonts w:hint="eastAsia" w:cs="宋体"/>
          <w:i w:val="0"/>
          <w:iCs w:val="0"/>
          <w:caps w:val="0"/>
          <w:color w:val="auto"/>
          <w:spacing w:val="0"/>
          <w:sz w:val="21"/>
          <w:szCs w:val="21"/>
          <w:highlight w:val="none"/>
          <w:shd w:val="clear" w:fill="FFFFFF"/>
          <w:lang w:val="en-US" w:eastAsia="zh-CN"/>
        </w:rPr>
        <w:t>700000.00</w:t>
      </w:r>
      <w:r>
        <w:rPr>
          <w:rFonts w:hint="eastAsia" w:ascii="宋体" w:hAnsi="宋体" w:eastAsia="宋体" w:cs="宋体"/>
          <w:i w:val="0"/>
          <w:iCs w:val="0"/>
          <w:caps w:val="0"/>
          <w:color w:val="auto"/>
          <w:spacing w:val="0"/>
          <w:sz w:val="21"/>
          <w:szCs w:val="21"/>
          <w:highlight w:val="none"/>
          <w:shd w:val="clear" w:fill="FFFFFF"/>
        </w:rPr>
        <w:t>元</w:t>
      </w:r>
    </w:p>
    <w:p w14:paraId="499FE4D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合同包最高限价：</w:t>
      </w:r>
      <w:r>
        <w:rPr>
          <w:rFonts w:hint="eastAsia" w:cs="宋体"/>
          <w:color w:val="auto"/>
          <w:sz w:val="21"/>
          <w:szCs w:val="21"/>
          <w:highlight w:val="none"/>
          <w:lang w:eastAsia="zh-CN"/>
        </w:rPr>
        <w:t>699646.91</w:t>
      </w:r>
      <w:r>
        <w:rPr>
          <w:rFonts w:hint="eastAsia" w:ascii="宋体" w:hAnsi="宋体" w:eastAsia="宋体" w:cs="宋体"/>
          <w:i w:val="0"/>
          <w:iCs w:val="0"/>
          <w:caps w:val="0"/>
          <w:color w:val="auto"/>
          <w:spacing w:val="0"/>
          <w:sz w:val="21"/>
          <w:szCs w:val="21"/>
          <w:highlight w:val="none"/>
          <w:shd w:val="clear" w:fill="FFFFFF"/>
        </w:rPr>
        <w:t>元</w:t>
      </w:r>
    </w:p>
    <w:tbl>
      <w:tblPr>
        <w:tblStyle w:val="37"/>
        <w:tblW w:w="483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44"/>
        <w:gridCol w:w="1159"/>
        <w:gridCol w:w="2500"/>
        <w:gridCol w:w="1340"/>
        <w:gridCol w:w="1375"/>
        <w:gridCol w:w="1678"/>
      </w:tblGrid>
      <w:tr w14:paraId="333630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11" w:hRule="atLeast"/>
          <w:tblHeader/>
          <w:jc w:val="center"/>
        </w:trPr>
        <w:tc>
          <w:tcPr>
            <w:tcW w:w="5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48B0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品目号</w:t>
            </w:r>
          </w:p>
        </w:tc>
        <w:tc>
          <w:tcPr>
            <w:tcW w:w="6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011D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品目名称</w:t>
            </w:r>
          </w:p>
        </w:tc>
        <w:tc>
          <w:tcPr>
            <w:tcW w:w="13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EA78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采购标的</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A2E5F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数量（单位）</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463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技术规格、参数及要求</w:t>
            </w:r>
          </w:p>
        </w:tc>
        <w:tc>
          <w:tcPr>
            <w:tcW w:w="9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03F1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品目预算(元)</w:t>
            </w:r>
          </w:p>
        </w:tc>
      </w:tr>
      <w:tr w14:paraId="67CEB1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32" w:hRule="atLeast"/>
          <w:jc w:val="center"/>
        </w:trPr>
        <w:tc>
          <w:tcPr>
            <w:tcW w:w="5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25AD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1-1</w:t>
            </w:r>
          </w:p>
        </w:tc>
        <w:tc>
          <w:tcPr>
            <w:tcW w:w="6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9152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default" w:ascii="宋体" w:hAnsi="宋体" w:eastAsia="宋体" w:cs="宋体"/>
                <w:b w:val="0"/>
                <w:bCs w:val="0"/>
                <w:color w:val="auto"/>
                <w:kern w:val="0"/>
                <w:sz w:val="21"/>
                <w:szCs w:val="21"/>
                <w:highlight w:val="none"/>
                <w:lang w:val="en-US" w:eastAsia="zh-CN" w:bidi="ar"/>
              </w:rPr>
            </w:pPr>
            <w:r>
              <w:rPr>
                <w:rFonts w:hint="eastAsia" w:ascii="宋体" w:hAnsi="宋体" w:cs="宋体"/>
                <w:b w:val="0"/>
                <w:bCs w:val="0"/>
                <w:color w:val="auto"/>
                <w:kern w:val="0"/>
                <w:sz w:val="21"/>
                <w:szCs w:val="21"/>
                <w:highlight w:val="none"/>
                <w:lang w:val="en-US" w:eastAsia="zh-CN" w:bidi="ar"/>
              </w:rPr>
              <w:t>其他建筑物、构筑物修缮</w:t>
            </w:r>
          </w:p>
        </w:tc>
        <w:tc>
          <w:tcPr>
            <w:tcW w:w="13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60CD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default" w:ascii="宋体" w:hAnsi="宋体" w:eastAsia="宋体" w:cs="宋体"/>
                <w:b w:val="0"/>
                <w:bCs w:val="0"/>
                <w:color w:val="auto"/>
                <w:kern w:val="0"/>
                <w:sz w:val="21"/>
                <w:szCs w:val="21"/>
                <w:highlight w:val="none"/>
                <w:lang w:val="en-US" w:eastAsia="zh-CN" w:bidi="ar"/>
              </w:rPr>
            </w:pPr>
            <w:r>
              <w:rPr>
                <w:rFonts w:hint="eastAsia" w:cs="宋体"/>
                <w:color w:val="auto"/>
                <w:kern w:val="2"/>
                <w:sz w:val="21"/>
                <w:szCs w:val="21"/>
                <w:lang w:val="en-US" w:eastAsia="zh-CN"/>
              </w:rPr>
              <w:t>1.对院内消防设施进行升级改造，完善消防配套设施，补齐消防短板。2.公寓楼房间应急呼叫设备更新，提升智能化设备使用性能，保障院内整体居住条件。3.对公寓楼一层原墙体护板的拆除及修复。4.公寓楼房间。</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D93B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1(项)</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7E5D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详见采购文件</w:t>
            </w:r>
          </w:p>
        </w:tc>
        <w:tc>
          <w:tcPr>
            <w:tcW w:w="9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12A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FF0000"/>
                <w:sz w:val="21"/>
                <w:szCs w:val="21"/>
                <w:highlight w:val="none"/>
              </w:rPr>
            </w:pPr>
            <w:r>
              <w:rPr>
                <w:rFonts w:hint="eastAsia" w:ascii="宋体" w:hAnsi="宋体" w:cs="宋体"/>
                <w:b w:val="0"/>
                <w:bCs w:val="0"/>
                <w:i w:val="0"/>
                <w:iCs w:val="0"/>
                <w:caps w:val="0"/>
                <w:color w:val="auto"/>
                <w:spacing w:val="0"/>
                <w:sz w:val="21"/>
                <w:szCs w:val="21"/>
                <w:highlight w:val="none"/>
                <w:shd w:val="clear" w:fill="FFFFFF"/>
                <w:lang w:val="en-US" w:eastAsia="zh-CN"/>
              </w:rPr>
              <w:t>700000.00</w:t>
            </w:r>
          </w:p>
        </w:tc>
      </w:tr>
    </w:tbl>
    <w:p w14:paraId="6A90F729">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eastAsia" w:ascii="宋体" w:hAnsi="宋体" w:eastAsia="宋体" w:cs="宋体"/>
          <w:color w:val="auto"/>
          <w:kern w:val="0"/>
          <w:sz w:val="21"/>
          <w:szCs w:val="21"/>
          <w:highlight w:val="none"/>
          <w:shd w:val="clear" w:color="auto" w:fill="FFFFFF"/>
          <w:lang w:eastAsia="zh-CN"/>
        </w:rPr>
      </w:pPr>
      <w:r>
        <w:rPr>
          <w:rFonts w:hint="eastAsia" w:ascii="宋体" w:hAnsi="宋体" w:eastAsia="宋体" w:cs="宋体"/>
          <w:color w:val="auto"/>
          <w:kern w:val="0"/>
          <w:sz w:val="21"/>
          <w:szCs w:val="21"/>
          <w:highlight w:val="none"/>
          <w:shd w:val="clear" w:color="auto" w:fill="FFFFFF"/>
        </w:rPr>
        <w:t>本合同包不接受联合体</w:t>
      </w:r>
      <w:r>
        <w:rPr>
          <w:rFonts w:hint="eastAsia" w:cs="宋体"/>
          <w:color w:val="auto"/>
          <w:kern w:val="0"/>
          <w:sz w:val="21"/>
          <w:szCs w:val="21"/>
          <w:highlight w:val="none"/>
          <w:shd w:val="clear" w:color="auto" w:fill="FFFFFF"/>
          <w:lang w:val="en-US" w:eastAsia="zh-CN"/>
        </w:rPr>
        <w:t>磋商</w:t>
      </w:r>
    </w:p>
    <w:p w14:paraId="75D7AA7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default" w:ascii="宋体" w:hAnsi="宋体" w:eastAsia="宋体" w:cs="宋体"/>
          <w:color w:val="auto"/>
          <w:kern w:val="0"/>
          <w:sz w:val="21"/>
          <w:szCs w:val="21"/>
          <w:highlight w:val="none"/>
          <w:shd w:val="clear" w:color="auto" w:fill="FFFFFF"/>
          <w:lang w:val="en-US" w:eastAsia="zh-CN"/>
        </w:rPr>
      </w:pPr>
      <w:r>
        <w:rPr>
          <w:rFonts w:hint="eastAsia" w:ascii="宋体" w:hAnsi="宋体" w:eastAsia="宋体" w:cs="宋体"/>
          <w:color w:val="auto"/>
          <w:kern w:val="0"/>
          <w:sz w:val="21"/>
          <w:szCs w:val="21"/>
          <w:highlight w:val="none"/>
          <w:shd w:val="clear" w:color="auto" w:fill="FFFFFF"/>
        </w:rPr>
        <w:t>合同履行期限：</w:t>
      </w:r>
      <w:r>
        <w:rPr>
          <w:rFonts w:hint="eastAsia" w:cs="宋体"/>
          <w:color w:val="auto"/>
          <w:kern w:val="0"/>
          <w:sz w:val="21"/>
          <w:szCs w:val="21"/>
          <w:highlight w:val="none"/>
          <w:shd w:val="clear" w:color="auto" w:fill="FFFFFF"/>
          <w:lang w:val="en-US" w:eastAsia="zh-CN"/>
        </w:rPr>
        <w:t>自合同签订之日起90个日历天</w:t>
      </w:r>
    </w:p>
    <w:p w14:paraId="20C6AEAC">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lang w:val="en-US" w:eastAsia="zh-CN"/>
        </w:rPr>
      </w:pPr>
      <w:r>
        <w:rPr>
          <w:rFonts w:hint="eastAsia" w:ascii="宋体" w:hAnsi="宋体" w:eastAsia="宋体" w:cs="宋体"/>
          <w:b/>
          <w:bCs/>
          <w:color w:val="auto"/>
          <w:kern w:val="0"/>
          <w:sz w:val="21"/>
          <w:szCs w:val="21"/>
          <w:highlight w:val="none"/>
          <w:shd w:val="clear" w:color="auto" w:fill="FFFFFF"/>
        </w:rPr>
        <w:t>二、申请人的资格要求：</w:t>
      </w:r>
      <w:r>
        <w:rPr>
          <w:rFonts w:hint="eastAsia" w:cs="宋体"/>
          <w:b/>
          <w:bCs/>
          <w:color w:val="auto"/>
          <w:kern w:val="0"/>
          <w:sz w:val="21"/>
          <w:szCs w:val="21"/>
          <w:highlight w:val="none"/>
          <w:shd w:val="clear" w:color="auto" w:fill="FFFFFF"/>
          <w:lang w:val="en-US" w:eastAsia="zh-CN"/>
        </w:rPr>
        <w:t xml:space="preserve"> </w:t>
      </w:r>
    </w:p>
    <w:p w14:paraId="152E12E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1.满足《中华人民共和国政府采购法》第二十二条规定;</w:t>
      </w:r>
    </w:p>
    <w:p w14:paraId="7697B56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2.落实政府采购政策需满足的资格要求：</w:t>
      </w:r>
    </w:p>
    <w:p w14:paraId="27AB466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2"/>
          <w:sz w:val="21"/>
          <w:szCs w:val="21"/>
          <w:lang w:eastAsia="zh-CN"/>
        </w:rPr>
        <w:t>泾阳县老年人服务中心(泾阳县中心敬老院)提升改造</w:t>
      </w:r>
      <w:r>
        <w:rPr>
          <w:rFonts w:hint="eastAsia" w:cs="宋体"/>
          <w:color w:val="auto"/>
          <w:kern w:val="2"/>
          <w:sz w:val="21"/>
          <w:szCs w:val="21"/>
          <w:lang w:val="en-US" w:eastAsia="zh-CN"/>
        </w:rPr>
        <w:t>项目</w:t>
      </w:r>
      <w:r>
        <w:rPr>
          <w:rFonts w:hint="eastAsia" w:ascii="宋体" w:hAnsi="宋体" w:eastAsia="宋体" w:cs="宋体"/>
          <w:color w:val="auto"/>
          <w:kern w:val="0"/>
          <w:sz w:val="21"/>
          <w:szCs w:val="21"/>
          <w:highlight w:val="none"/>
          <w:shd w:val="clear" w:color="auto" w:fill="FFFFFF"/>
        </w:rPr>
        <w:t>)落实政府采购政策需满足的资格要求如下</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本项目专门面向</w:t>
      </w:r>
      <w:r>
        <w:rPr>
          <w:rFonts w:hint="eastAsia" w:ascii="宋体" w:hAnsi="宋体" w:eastAsia="宋体" w:cs="宋体"/>
          <w:color w:val="000000" w:themeColor="text1"/>
          <w:kern w:val="0"/>
          <w:sz w:val="21"/>
          <w:szCs w:val="21"/>
          <w:highlight w:val="none"/>
          <w:shd w:val="clear" w:color="auto" w:fill="FFFFFF"/>
          <w:lang w:val="en-US" w:eastAsia="zh-CN"/>
          <w14:textFill>
            <w14:solidFill>
              <w14:schemeClr w14:val="tx1"/>
            </w14:solidFill>
          </w14:textFill>
        </w:rPr>
        <w:t>中小</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企业采购。</w:t>
      </w:r>
    </w:p>
    <w:p w14:paraId="1F6C331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3.本项目的特定资格要求：</w:t>
      </w:r>
    </w:p>
    <w:p w14:paraId="34EFB237">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20" w:firstLineChars="200"/>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0"/>
          <w:sz w:val="21"/>
          <w:szCs w:val="21"/>
          <w:highlight w:val="none"/>
          <w:shd w:val="clear" w:color="auto" w:fill="FFFFFF"/>
          <w:lang w:eastAsia="zh-CN"/>
        </w:rPr>
        <w:t>泾阳县老年人服务中心(泾阳县中心敬老院)提升改造</w:t>
      </w:r>
      <w:r>
        <w:rPr>
          <w:rFonts w:hint="eastAsia" w:cs="宋体"/>
          <w:color w:val="auto"/>
          <w:kern w:val="0"/>
          <w:sz w:val="21"/>
          <w:szCs w:val="21"/>
          <w:highlight w:val="none"/>
          <w:shd w:val="clear" w:color="auto" w:fill="FFFFFF"/>
          <w:lang w:val="en-US" w:eastAsia="zh-CN"/>
        </w:rPr>
        <w:t>项目</w:t>
      </w:r>
      <w:r>
        <w:rPr>
          <w:rFonts w:hint="eastAsia" w:ascii="宋体" w:hAnsi="宋体" w:eastAsia="宋体" w:cs="宋体"/>
          <w:color w:val="auto"/>
          <w:kern w:val="0"/>
          <w:sz w:val="21"/>
          <w:szCs w:val="21"/>
          <w:highlight w:val="none"/>
          <w:shd w:val="clear" w:color="auto" w:fill="FFFFFF"/>
        </w:rPr>
        <w:t>)特定资格要求如下:</w:t>
      </w:r>
    </w:p>
    <w:p w14:paraId="6CCF214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1、营业执照等主体资格证明文件：供应商应具有独立承担民事责任的能力的企业法人、事业法人、其他组织或自然人，出具合法有效的营业执照等相关证明文件，自然人参与的提供其身份证明；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cs="宋体"/>
          <w:color w:val="0000FF"/>
          <w:kern w:val="0"/>
          <w:sz w:val="21"/>
          <w:szCs w:val="21"/>
          <w:highlight w:val="none"/>
          <w:shd w:val="clear" w:color="auto" w:fill="FFFFFF"/>
          <w:lang w:val="en-US" w:eastAsia="zh-CN"/>
        </w:rPr>
        <w:t xml:space="preserve"> </w:t>
      </w:r>
      <w:r>
        <w:rPr>
          <w:rFonts w:hint="default" w:ascii="宋体" w:hAnsi="宋体" w:eastAsia="宋体" w:cs="宋体"/>
          <w:color w:val="0000FF"/>
          <w:kern w:val="0"/>
          <w:sz w:val="21"/>
          <w:szCs w:val="21"/>
          <w:highlight w:val="none"/>
          <w:shd w:val="clear" w:color="auto" w:fill="FFFFFF"/>
        </w:rPr>
        <w:t>3、企业资质：供应商须具备建设行政主管部门颁发的建筑工程施工总承包</w:t>
      </w:r>
      <w:r>
        <w:rPr>
          <w:rFonts w:hint="eastAsia" w:cs="宋体"/>
          <w:color w:val="0000FF"/>
          <w:kern w:val="0"/>
          <w:sz w:val="21"/>
          <w:szCs w:val="21"/>
          <w:highlight w:val="none"/>
          <w:shd w:val="clear" w:color="auto" w:fill="FFFFFF"/>
          <w:lang w:val="en-US" w:eastAsia="zh-CN"/>
        </w:rPr>
        <w:t>二</w:t>
      </w:r>
      <w:r>
        <w:rPr>
          <w:rFonts w:hint="default" w:ascii="宋体" w:hAnsi="宋体" w:eastAsia="宋体" w:cs="宋体"/>
          <w:color w:val="0000FF"/>
          <w:kern w:val="0"/>
          <w:sz w:val="21"/>
          <w:szCs w:val="21"/>
          <w:highlight w:val="none"/>
          <w:shd w:val="clear" w:color="auto" w:fill="FFFFFF"/>
        </w:rPr>
        <w:t>级及以上资质，</w:t>
      </w:r>
      <w:r>
        <w:rPr>
          <w:rFonts w:hint="eastAsia" w:ascii="宋体" w:hAnsi="宋体" w:eastAsia="宋体" w:cs="宋体"/>
          <w:color w:val="0000FF"/>
          <w:kern w:val="0"/>
          <w:sz w:val="21"/>
          <w:szCs w:val="21"/>
          <w:highlight w:val="none"/>
          <w:shd w:val="clear" w:color="auto" w:fill="FFFFFF"/>
          <w:lang w:val="en-US" w:eastAsia="zh-CN"/>
        </w:rPr>
        <w:t>同时</w:t>
      </w:r>
      <w:r>
        <w:rPr>
          <w:rFonts w:hint="eastAsia" w:ascii="宋体" w:hAnsi="宋体" w:eastAsia="宋体" w:cs="宋体"/>
          <w:color w:val="0000FF"/>
          <w:kern w:val="0"/>
          <w:sz w:val="21"/>
          <w:szCs w:val="21"/>
          <w:highlight w:val="none"/>
          <w:shd w:val="clear" w:color="auto" w:fill="FFFFFF"/>
          <w:lang w:val="en-US" w:eastAsia="en-US"/>
        </w:rPr>
        <w:t>具有建设行政主管部门颁发的消防设施工程专业承包二级及以上资质，且具备有效的安全生产许可证</w:t>
      </w:r>
      <w:r>
        <w:rPr>
          <w:rFonts w:hint="eastAsia" w:ascii="宋体" w:hAnsi="宋体" w:eastAsia="宋体" w:cs="宋体"/>
          <w:color w:val="0000FF"/>
          <w:kern w:val="0"/>
          <w:sz w:val="21"/>
          <w:szCs w:val="21"/>
          <w:highlight w:val="none"/>
          <w:shd w:val="clear" w:color="auto" w:fill="FFFFFF"/>
          <w:lang w:val="en-US" w:eastAsia="zh-CN"/>
        </w:rPr>
        <w:t>；</w:t>
      </w:r>
      <w:r>
        <w:rPr>
          <w:rFonts w:hint="default" w:ascii="宋体" w:hAnsi="宋体" w:eastAsia="宋体" w:cs="宋体"/>
          <w:color w:val="0000FF"/>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4、拟派注册建造师：</w:t>
      </w:r>
      <w:r>
        <w:rPr>
          <w:rFonts w:hint="default" w:ascii="宋体" w:hAnsi="宋体" w:eastAsia="宋体" w:cs="宋体"/>
          <w:color w:val="0000FF"/>
          <w:kern w:val="0"/>
          <w:sz w:val="21"/>
          <w:szCs w:val="21"/>
          <w:highlight w:val="none"/>
          <w:shd w:val="clear" w:color="auto" w:fill="FFFFFF"/>
        </w:rPr>
        <w:t>须具有建筑工程专业二级及以上注册建造师执业资格，具有有效的安全生产考核合格证书（B级），且无在建项目</w:t>
      </w:r>
      <w:r>
        <w:rPr>
          <w:rFonts w:hint="default" w:ascii="宋体" w:hAnsi="宋体" w:eastAsia="宋体" w:cs="宋体"/>
          <w:color w:val="auto"/>
          <w:kern w:val="0"/>
          <w:sz w:val="21"/>
          <w:szCs w:val="21"/>
          <w:highlight w:val="none"/>
          <w:shd w:val="clear" w:color="auto" w:fill="FFFFFF"/>
        </w:rPr>
        <w:t>；</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5、书面声明：出具参加本次采购活动前三年内在经营活动中没有重大违法记录的书面声明;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6、供应商须提供具有履行合同所必需的设备和专业技术能力的承诺；</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7、财务状况报告：提供2025年度经审计的财务报告（成立时间至提交投标文件截止时间不足一年的可提供成立后任意时段的资产负债表），或在投标截止时间前六个月内其基本开户银行出具的资信证明；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8、社会保障资金缴纳证明：提供采购活动前6个月内任意一个月已缴纳的社会保障资金缴存单据或社保机构开具的社会保险参保缴费情况证明，依法不需要缴纳社会保障资金的应提供相关文件证明；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9、税收缴纳证明：提供采购活动前6个月内任意一个月已缴纳的完税凭证或税务机关开具的完税证明（任意税种），依法免税的单位应提供相关证明材料；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12、本项目为专门面向中小企业项目，供应商应为中小型、微型企业、监狱企业、残疾人福利性单位。</w:t>
      </w:r>
    </w:p>
    <w:p w14:paraId="5501AA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三、获取采购文件</w:t>
      </w:r>
    </w:p>
    <w:p w14:paraId="2C3517F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时间：202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05</w:t>
      </w:r>
      <w:r>
        <w:rPr>
          <w:rFonts w:hint="eastAsia" w:ascii="宋体" w:hAnsi="宋体" w:eastAsia="宋体" w:cs="宋体"/>
          <w:i w:val="0"/>
          <w:iCs w:val="0"/>
          <w:caps w:val="0"/>
          <w:color w:val="auto"/>
          <w:spacing w:val="0"/>
          <w:sz w:val="21"/>
          <w:szCs w:val="21"/>
          <w:highlight w:val="none"/>
          <w:shd w:val="clear" w:fill="FFFFFF"/>
          <w:vertAlign w:val="baseline"/>
        </w:rPr>
        <w:t>日至202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11</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日，每天上午0</w:t>
      </w:r>
      <w:r>
        <w:rPr>
          <w:rFonts w:hint="eastAsia"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:00:00至12:00:00，下午1</w:t>
      </w:r>
      <w:r>
        <w:rPr>
          <w:rFonts w:hint="eastAsia" w:cs="宋体"/>
          <w:i w:val="0"/>
          <w:iCs w:val="0"/>
          <w:caps w:val="0"/>
          <w:color w:val="auto"/>
          <w:spacing w:val="0"/>
          <w:sz w:val="21"/>
          <w:szCs w:val="21"/>
          <w:highlight w:val="none"/>
          <w:shd w:val="clear" w:fill="FFFFFF"/>
          <w:vertAlign w:val="baseline"/>
          <w:lang w:val="en-US" w:eastAsia="zh-CN"/>
        </w:rPr>
        <w:t>4</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w:t>
      </w:r>
      <w:r>
        <w:rPr>
          <w:rFonts w:hint="eastAsia"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（北京时间）</w:t>
      </w:r>
    </w:p>
    <w:p w14:paraId="6093A495">
      <w:pPr>
        <w:keepNext w:val="0"/>
        <w:keepLines w:val="0"/>
        <w:pageBreakBefore w:val="0"/>
        <w:shd w:val="clear" w:color="auto" w:fill="auto"/>
        <w:kinsoku/>
        <w:overflowPunct/>
        <w:topLinePunct w:val="0"/>
        <w:autoSpaceDE/>
        <w:autoSpaceDN/>
        <w:bidi w:val="0"/>
        <w:adjustRightInd/>
        <w:snapToGrid/>
        <w:spacing w:line="360" w:lineRule="auto"/>
        <w:ind w:firstLine="420" w:firstLineChars="200"/>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途径：全国公共资源交易平台（陕西省·咸阳市）网站〖首页〉电子交易平台〉陕西政府采购交易系统〉企业端〗</w:t>
      </w:r>
    </w:p>
    <w:p w14:paraId="62147B6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pPr>
      <w:r>
        <w:rPr>
          <w:rFonts w:hint="eastAsia" w:ascii="宋体" w:hAnsi="宋体" w:eastAsia="宋体" w:cs="宋体"/>
          <w:i w:val="0"/>
          <w:iCs w:val="0"/>
          <w:caps w:val="0"/>
          <w:color w:val="auto"/>
          <w:spacing w:val="0"/>
          <w:sz w:val="21"/>
          <w:szCs w:val="21"/>
          <w:highlight w:val="none"/>
          <w:shd w:val="clear" w:fill="FFFFFF"/>
          <w:vertAlign w:val="baseline"/>
        </w:rPr>
        <w:t>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式：网上自行下载（逾期下载通道自行关闭，已投标未下载采购文件的供应商自行承担责任）</w:t>
      </w:r>
    </w:p>
    <w:p w14:paraId="7164F13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rPr>
        <w:t>售价：</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0元</w:t>
      </w:r>
    </w:p>
    <w:p w14:paraId="689D14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四</w:t>
      </w:r>
      <w:r>
        <w:rPr>
          <w:rStyle w:val="40"/>
          <w:rFonts w:hint="eastAsia" w:ascii="宋体" w:hAnsi="宋体" w:eastAsia="宋体" w:cs="宋体"/>
          <w:b/>
          <w:bCs/>
          <w:i w:val="0"/>
          <w:iCs w:val="0"/>
          <w:caps w:val="0"/>
          <w:color w:val="auto"/>
          <w:spacing w:val="0"/>
          <w:sz w:val="21"/>
          <w:szCs w:val="21"/>
          <w:highlight w:val="none"/>
          <w:shd w:val="clear" w:fill="FFFFFF"/>
          <w:vertAlign w:val="baseline"/>
          <w:lang w:eastAsia="zh-CN"/>
        </w:rPr>
        <w:t>、</w:t>
      </w:r>
      <w:r>
        <w:rPr>
          <w:rStyle w:val="40"/>
          <w:rFonts w:hint="eastAsia" w:ascii="宋体" w:hAnsi="宋体" w:eastAsia="宋体" w:cs="宋体"/>
          <w:b/>
          <w:bCs/>
          <w:i w:val="0"/>
          <w:iCs w:val="0"/>
          <w:caps w:val="0"/>
          <w:color w:val="auto"/>
          <w:spacing w:val="0"/>
          <w:sz w:val="21"/>
          <w:szCs w:val="21"/>
          <w:highlight w:val="none"/>
          <w:shd w:val="clear" w:fill="FFFFFF"/>
          <w:vertAlign w:val="baseline"/>
        </w:rPr>
        <w:t>响应文件提交</w:t>
      </w:r>
    </w:p>
    <w:p w14:paraId="2B7D987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截止时间：202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rPr>
        <w:t>日</w:t>
      </w:r>
      <w:r>
        <w:rPr>
          <w:rFonts w:hint="eastAsia"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分</w:t>
      </w:r>
      <w:r>
        <w:rPr>
          <w:rFonts w:hint="eastAsia" w:ascii="宋体" w:hAnsi="宋体" w:eastAsia="宋体" w:cs="宋体"/>
          <w:i w:val="0"/>
          <w:iCs w:val="0"/>
          <w:caps w:val="0"/>
          <w:color w:val="auto"/>
          <w:spacing w:val="0"/>
          <w:sz w:val="21"/>
          <w:szCs w:val="21"/>
          <w:highlight w:val="none"/>
          <w:shd w:val="clear" w:fill="FFFFFF"/>
          <w:vertAlign w:val="baseline"/>
        </w:rPr>
        <w:t>00秒（北京时间）</w:t>
      </w:r>
    </w:p>
    <w:p w14:paraId="58D9CFA3">
      <w:pPr>
        <w:keepNext w:val="0"/>
        <w:keepLines w:val="0"/>
        <w:pageBreakBefore w:val="0"/>
        <w:kinsoku/>
        <w:overflowPunct/>
        <w:topLinePunct w:val="0"/>
        <w:autoSpaceDE/>
        <w:autoSpaceDN/>
        <w:bidi w:val="0"/>
        <w:adjustRightInd/>
        <w:snapToGrid/>
        <w:spacing w:line="360" w:lineRule="auto"/>
        <w:ind w:firstLine="420" w:firstLineChars="200"/>
        <w:rPr>
          <w:rFonts w:hint="eastAsia" w:ascii="仿宋" w:hAnsi="仿宋" w:eastAsia="仿宋" w:cs="仿宋"/>
          <w:i w:val="0"/>
          <w:iCs w:val="0"/>
          <w:caps w:val="0"/>
          <w:color w:val="333333"/>
          <w:spacing w:val="0"/>
          <w:sz w:val="28"/>
          <w:szCs w:val="28"/>
          <w:highlight w:val="none"/>
          <w:shd w:val="clear" w:color="auto"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地点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：全国公共资源交易平台（陕西省·咸阳市）网站〖首页〉电子交易平台〉陕西政府采购交易系统〉企业端】，在线提交。</w:t>
      </w:r>
    </w:p>
    <w:p w14:paraId="7EBE61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五、开启</w:t>
      </w:r>
    </w:p>
    <w:p w14:paraId="27C0E7CD">
      <w:pPr>
        <w:pStyle w:val="32"/>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时间：</w:t>
      </w:r>
      <w:r>
        <w:rPr>
          <w:rFonts w:hint="eastAsia" w:ascii="宋体" w:hAnsi="宋体" w:eastAsia="宋体" w:cs="宋体"/>
          <w:i w:val="0"/>
          <w:iCs w:val="0"/>
          <w:caps w:val="0"/>
          <w:color w:val="auto"/>
          <w:spacing w:val="0"/>
          <w:sz w:val="21"/>
          <w:szCs w:val="21"/>
          <w:highlight w:val="none"/>
          <w:shd w:val="clear" w:fill="FFFFFF"/>
          <w:vertAlign w:val="baseline"/>
        </w:rPr>
        <w:t>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rPr>
        <w:t>日</w:t>
      </w:r>
      <w:r>
        <w:rPr>
          <w:rFonts w:hint="eastAsia"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分</w:t>
      </w:r>
      <w:r>
        <w:rPr>
          <w:rFonts w:hint="eastAsia" w:ascii="宋体" w:hAnsi="宋体" w:eastAsia="宋体" w:cs="宋体"/>
          <w:i w:val="0"/>
          <w:iCs w:val="0"/>
          <w:caps w:val="0"/>
          <w:color w:val="auto"/>
          <w:spacing w:val="0"/>
          <w:sz w:val="21"/>
          <w:szCs w:val="21"/>
          <w:highlight w:val="none"/>
          <w:shd w:val="clear" w:fill="FFFFFF"/>
          <w:vertAlign w:val="baseline"/>
        </w:rPr>
        <w:t>00秒（北京时间）</w:t>
      </w:r>
    </w:p>
    <w:p w14:paraId="419AD640">
      <w:pPr>
        <w:pStyle w:val="32"/>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地点：全国公共资源交易平台（陕西省.</w:t>
      </w:r>
      <w:r>
        <w:rPr>
          <w:rFonts w:hint="eastAsia" w:ascii="宋体" w:hAnsi="宋体" w:eastAsia="宋体" w:cs="宋体"/>
          <w:color w:val="auto"/>
          <w:kern w:val="0"/>
          <w:sz w:val="21"/>
          <w:szCs w:val="21"/>
          <w:highlight w:val="none"/>
          <w:shd w:val="clear" w:color="auto" w:fill="FFFFFF"/>
          <w:lang w:val="en-US" w:eastAsia="zh-CN"/>
        </w:rPr>
        <w:t>咸阳市</w:t>
      </w:r>
      <w:r>
        <w:rPr>
          <w:rFonts w:hint="eastAsia" w:ascii="宋体" w:hAnsi="宋体" w:eastAsia="宋体" w:cs="宋体"/>
          <w:color w:val="auto"/>
          <w:kern w:val="0"/>
          <w:sz w:val="21"/>
          <w:szCs w:val="21"/>
          <w:highlight w:val="none"/>
          <w:shd w:val="clear" w:color="auto" w:fill="FFFFFF"/>
        </w:rPr>
        <w:t>）不见面开标大厅</w:t>
      </w:r>
    </w:p>
    <w:p w14:paraId="2B240D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六、公告期限</w:t>
      </w:r>
    </w:p>
    <w:p w14:paraId="44CD46B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自本公告发布之日起3个工作日。</w:t>
      </w:r>
    </w:p>
    <w:p w14:paraId="17D9BF5D">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422" w:firstLineChars="200"/>
        <w:textAlignment w:val="auto"/>
        <w:rPr>
          <w:rFonts w:hint="eastAsia" w:ascii="宋体" w:hAnsi="宋体" w:eastAsia="宋体" w:cs="宋体"/>
          <w:color w:val="auto"/>
          <w:kern w:val="0"/>
          <w:sz w:val="21"/>
          <w:szCs w:val="21"/>
          <w:highlight w:val="none"/>
          <w:shd w:val="clear" w:color="auto" w:fill="FFFFFF"/>
        </w:rPr>
      </w:pPr>
      <w:r>
        <w:rPr>
          <w:rFonts w:hint="eastAsia" w:cs="宋体"/>
          <w:b/>
          <w:bCs/>
          <w:color w:val="auto"/>
          <w:kern w:val="0"/>
          <w:sz w:val="21"/>
          <w:szCs w:val="21"/>
          <w:highlight w:val="none"/>
          <w:shd w:val="clear" w:color="auto" w:fill="FFFFFF"/>
          <w:lang w:val="en-US" w:eastAsia="zh-CN"/>
        </w:rPr>
        <w:t>七</w:t>
      </w:r>
      <w:r>
        <w:rPr>
          <w:rFonts w:hint="eastAsia" w:ascii="宋体" w:hAnsi="宋体" w:eastAsia="宋体" w:cs="宋体"/>
          <w:b/>
          <w:bCs/>
          <w:color w:val="auto"/>
          <w:kern w:val="0"/>
          <w:sz w:val="21"/>
          <w:szCs w:val="21"/>
          <w:highlight w:val="none"/>
          <w:shd w:val="clear" w:color="auto" w:fill="FFFFFF"/>
        </w:rPr>
        <w:t>、其他补充事宜</w:t>
      </w:r>
    </w:p>
    <w:p w14:paraId="634F6FD9">
      <w:pPr>
        <w:keepNext w:val="0"/>
        <w:keepLines w:val="0"/>
        <w:pageBreakBefore w:val="0"/>
        <w:kinsoku/>
        <w:overflowPunct/>
        <w:topLinePunct w:val="0"/>
        <w:autoSpaceDE/>
        <w:autoSpaceDN/>
        <w:bidi w:val="0"/>
        <w:adjustRightInd/>
        <w:snapToGrid/>
        <w:spacing w:line="360" w:lineRule="auto"/>
        <w:ind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1.</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供应商应在全国公共资源交易平台（陕西省·咸阳市）</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（http://x</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y</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 xml:space="preserve">.sxggzyjy.cn/）选择“电子交易平台—陕西政府采购交易系统货物、服务类工程类管理端”进行登录，通过“交易乙方”身份进入供应商界面参与投标活动，选择本项目点击“项目流程”进入采购文件下载页面，点击“交易文件下载”即可下载该项目发布的电子采购文件。在获取时限内下载竞争性磋商文件，逾期下载通道将关闭。 </w:t>
      </w:r>
    </w:p>
    <w:p w14:paraId="246D498E">
      <w:pPr>
        <w:keepNext w:val="0"/>
        <w:keepLines w:val="0"/>
        <w:pageBreakBefore w:val="0"/>
        <w:kinsoku/>
        <w:overflowPunct/>
        <w:topLinePunct w:val="0"/>
        <w:autoSpaceDE/>
        <w:autoSpaceDN/>
        <w:bidi w:val="0"/>
        <w:adjustRightInd/>
        <w:snapToGrid/>
        <w:spacing w:line="360" w:lineRule="auto"/>
        <w:ind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 xml:space="preserve"> </w:t>
      </w:r>
    </w:p>
    <w:p w14:paraId="14EF077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3. 本项目采用</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不见面开标”方式进行，供应商可远程登录〖全国公共资源交易平台（陕西省.咸阳市）〉不见面开标〗在线参加开标过程。详见〖全国公共资源交易平台（陕西省.咸阳市）〉服务指南〉下载专区〗中的《咸阳市公共资源交易不见面开标大厅投 标人操作手册》。</w:t>
      </w:r>
    </w:p>
    <w:p w14:paraId="6DDCFDD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4.供应商应在磋商截止时间前通过全国公共资源交易平台（陕西省·咸阳市）递交电子响应文件。因响应供应商自身设施故障或自身原因导致无法完成磋商的，由响应供应商自行承担后果。</w:t>
      </w:r>
    </w:p>
    <w:p w14:paraId="1FA49A1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sz w:val="21"/>
          <w:szCs w:val="21"/>
          <w:shd w:val="clear" w:fill="FFFFFF"/>
          <w:vertAlign w:val="baseline"/>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5.请潜在供应商务必按照《陕西省财政厅关于政府采购供应商注册登记有关事项的通知》要求，通过陕西省政府采</w:t>
      </w:r>
      <w:r>
        <w:rPr>
          <w:rFonts w:hint="eastAsia" w:ascii="宋体" w:hAnsi="宋体" w:eastAsia="宋体" w:cs="宋体"/>
          <w:b w:val="0"/>
          <w:bCs w:val="0"/>
          <w:i w:val="0"/>
          <w:iCs w:val="0"/>
          <w:caps w:val="0"/>
          <w:color w:val="auto"/>
          <w:spacing w:val="0"/>
          <w:sz w:val="21"/>
          <w:szCs w:val="21"/>
          <w:shd w:val="clear" w:fill="FFFFFF"/>
          <w:vertAlign w:val="baseline"/>
        </w:rPr>
        <w:t>购网（http://www.ccgp-shaanxi.gov.cn/）进行陕西政府采购统一身份认证注册登记。</w:t>
      </w:r>
    </w:p>
    <w:p w14:paraId="0BD57FA8">
      <w:pPr>
        <w:keepNext w:val="0"/>
        <w:keepLines w:val="0"/>
        <w:pageBreakBefore w:val="0"/>
        <w:kinsoku/>
        <w:overflowPunct/>
        <w:topLinePunct w:val="0"/>
        <w:autoSpaceDE/>
        <w:autoSpaceDN/>
        <w:bidi w:val="0"/>
        <w:adjustRightInd/>
        <w:snapToGrid/>
        <w:spacing w:line="360" w:lineRule="auto"/>
        <w:ind w:left="0"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6</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.为保证本项目开评标工作顺利进行，供应商应确保相关设备能够顺利登录系统并进行操作。新点客服电话：4008503300</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p>
    <w:p w14:paraId="050A5CD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sz w:val="21"/>
          <w:szCs w:val="21"/>
          <w:shd w:val="clear" w:fill="FFFFFF"/>
          <w:vertAlign w:val="baseline"/>
        </w:rPr>
      </w:pPr>
      <w:r>
        <w:rPr>
          <w:rFonts w:hint="eastAsia" w:ascii="宋体" w:hAnsi="宋体" w:eastAsia="宋体" w:cs="宋体"/>
          <w:b w:val="0"/>
          <w:bCs w:val="0"/>
          <w:i w:val="0"/>
          <w:iCs w:val="0"/>
          <w:caps w:val="0"/>
          <w:color w:val="auto"/>
          <w:spacing w:val="0"/>
          <w:sz w:val="21"/>
          <w:szCs w:val="21"/>
          <w:shd w:val="clear" w:fill="FFFFFF"/>
          <w:vertAlign w:val="baseline"/>
          <w:lang w:val="en-US" w:eastAsia="zh-CN"/>
        </w:rPr>
        <w:t>7</w:t>
      </w:r>
      <w:r>
        <w:rPr>
          <w:rFonts w:hint="eastAsia" w:ascii="宋体" w:hAnsi="宋体" w:eastAsia="宋体" w:cs="宋体"/>
          <w:b w:val="0"/>
          <w:bCs w:val="0"/>
          <w:i w:val="0"/>
          <w:iCs w:val="0"/>
          <w:caps w:val="0"/>
          <w:color w:val="auto"/>
          <w:spacing w:val="0"/>
          <w:sz w:val="21"/>
          <w:szCs w:val="21"/>
          <w:shd w:val="clear" w:fill="FFFFFF"/>
          <w:vertAlign w:val="baseline"/>
        </w:rPr>
        <w:t>.本项目需要落实的政府采购政策：</w:t>
      </w:r>
    </w:p>
    <w:p w14:paraId="3D1749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1</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22720C3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2）</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44DFC19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3）</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《关于运用政府采购政策支持乡村产业振兴的通知》（财库〔2021〕19 号）、《关于印发&lt;关于深入开展政府采购脱贫地区农副产品工作推进乡村产业振兴的实施意见&gt;的通知》（财库〔2021〕20 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3096774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4</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《国家互联网信息办公室 工业和信息化部 公安部 财政部 国家认证认可监督管理委员会关于调整网络安全专用产品安全管理有关事项的公告》（2023年第1号）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44B3D97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5</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《陕西省财政厅关于加快推进我省中小企业政府采购信用融资工作的通知》（陕财办采〔2020〕15 号）、《陕西省财政厅关于印发&lt;陕西省中小企业政府采购信用融资办法&gt;的通知》（陕财办采〔2018〕23号）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746ECDE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6）</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374C4E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7）</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《国务院办公厅关于在政府采购中实施本国产品标准及相关政策的通知》（国办发〔2025〕34号）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57B6E4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Hans"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8）</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Hans" w:bidi="ar-SA"/>
        </w:rPr>
        <w:t>其他需要落实的政府采购政策。</w:t>
      </w:r>
    </w:p>
    <w:p w14:paraId="50E8F23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cs="宋体"/>
          <w:b/>
          <w:bCs/>
          <w:color w:val="auto"/>
          <w:kern w:val="0"/>
          <w:sz w:val="21"/>
          <w:szCs w:val="21"/>
          <w:highlight w:val="none"/>
          <w:shd w:val="clear" w:color="auto" w:fill="FFFFFF"/>
          <w:lang w:val="en-US" w:eastAsia="zh-CN"/>
        </w:rPr>
        <w:t>八</w:t>
      </w:r>
      <w:r>
        <w:rPr>
          <w:rFonts w:hint="eastAsia" w:ascii="宋体" w:hAnsi="宋体" w:eastAsia="宋体" w:cs="宋体"/>
          <w:b/>
          <w:bCs/>
          <w:color w:val="auto"/>
          <w:kern w:val="0"/>
          <w:sz w:val="21"/>
          <w:szCs w:val="21"/>
          <w:highlight w:val="none"/>
          <w:shd w:val="clear" w:color="auto" w:fill="FFFFFF"/>
        </w:rPr>
        <w:t>、对本次招标提出询问，请按以下方式联系。</w:t>
      </w:r>
    </w:p>
    <w:p w14:paraId="56A354A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1.采购人信息</w:t>
      </w:r>
    </w:p>
    <w:p w14:paraId="6202EE9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名称：</w:t>
      </w:r>
      <w:r>
        <w:rPr>
          <w:rFonts w:hint="eastAsia" w:cs="宋体"/>
          <w:color w:val="auto"/>
          <w:kern w:val="2"/>
          <w:sz w:val="21"/>
          <w:szCs w:val="21"/>
          <w:highlight w:val="none"/>
          <w:lang w:eastAsia="zh-CN"/>
        </w:rPr>
        <w:t>泾阳县老年人服务中心(泾阳县中心敬老院)</w:t>
      </w:r>
    </w:p>
    <w:p w14:paraId="26F9303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highlight w:val="none"/>
          <w:shd w:val="clear" w:fill="FFFFFF"/>
          <w:vertAlign w:val="baseline"/>
        </w:rPr>
        <w:t>地址：</w:t>
      </w:r>
      <w:r>
        <w:rPr>
          <w:rFonts w:hint="eastAsia" w:ascii="宋体" w:hAnsi="宋体" w:eastAsia="宋体" w:cs="宋体"/>
          <w:b w:val="0"/>
          <w:bCs w:val="0"/>
          <w:i w:val="0"/>
          <w:iCs w:val="0"/>
          <w:caps w:val="0"/>
          <w:color w:val="auto"/>
          <w:spacing w:val="0"/>
          <w:sz w:val="21"/>
          <w:szCs w:val="21"/>
          <w:highlight w:val="none"/>
          <w:shd w:val="clear" w:color="auto" w:fill="FFFFFF"/>
        </w:rPr>
        <w:t>泾阳县云阳镇樊尧村</w:t>
      </w:r>
    </w:p>
    <w:p w14:paraId="682D63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i w:val="0"/>
          <w:iCs w:val="0"/>
          <w:caps w:val="0"/>
          <w:color w:val="auto"/>
          <w:spacing w:val="0"/>
          <w:sz w:val="21"/>
          <w:szCs w:val="21"/>
          <w:highlight w:val="yellow"/>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rPr>
        <w:t>联系方式：</w:t>
      </w:r>
      <w:r>
        <w:rPr>
          <w:rFonts w:hint="eastAsia" w:ascii="宋体" w:hAnsi="宋体" w:eastAsia="宋体" w:cs="宋体"/>
          <w:b w:val="0"/>
          <w:bCs w:val="0"/>
          <w:i w:val="0"/>
          <w:iCs w:val="0"/>
          <w:caps w:val="0"/>
          <w:color w:val="auto"/>
          <w:spacing w:val="0"/>
          <w:sz w:val="21"/>
          <w:szCs w:val="21"/>
          <w:highlight w:val="none"/>
          <w:shd w:val="clear" w:color="auto" w:fill="FFFFFF"/>
        </w:rPr>
        <w:t>13892922017</w:t>
      </w:r>
    </w:p>
    <w:p w14:paraId="1A8A170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w:t>
      </w:r>
      <w:r>
        <w:rPr>
          <w:rFonts w:hint="eastAsia" w:ascii="宋体" w:hAnsi="宋体" w:eastAsia="宋体" w:cs="宋体"/>
          <w:b w:val="0"/>
          <w:bCs w:val="0"/>
          <w:i w:val="0"/>
          <w:iCs w:val="0"/>
          <w:caps w:val="0"/>
          <w:color w:val="auto"/>
          <w:spacing w:val="0"/>
          <w:sz w:val="21"/>
          <w:szCs w:val="21"/>
          <w:shd w:val="clear" w:fill="FFFFFF"/>
          <w:vertAlign w:val="baseline"/>
          <w:lang w:eastAsia="zh-CN"/>
        </w:rPr>
        <w:t>采购代理机构</w:t>
      </w:r>
      <w:r>
        <w:rPr>
          <w:rFonts w:hint="eastAsia" w:ascii="宋体" w:hAnsi="宋体" w:eastAsia="宋体" w:cs="宋体"/>
          <w:b w:val="0"/>
          <w:bCs w:val="0"/>
          <w:i w:val="0"/>
          <w:iCs w:val="0"/>
          <w:caps w:val="0"/>
          <w:color w:val="auto"/>
          <w:spacing w:val="0"/>
          <w:sz w:val="21"/>
          <w:szCs w:val="21"/>
          <w:shd w:val="clear" w:fill="FFFFFF"/>
          <w:vertAlign w:val="baseline"/>
        </w:rPr>
        <w:t>信息</w:t>
      </w:r>
    </w:p>
    <w:p w14:paraId="6AD2FC8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名称：泾阳县政府采购中心</w:t>
      </w:r>
    </w:p>
    <w:p w14:paraId="6703D83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地址：咸阳市泾阳县中心街402号</w:t>
      </w:r>
    </w:p>
    <w:p w14:paraId="048CC19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default" w:ascii="宋体" w:hAnsi="宋体" w:eastAsia="宋体" w:cs="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vertAlign w:val="baseline"/>
        </w:rPr>
        <w:t>联系方式：029-3622</w:t>
      </w:r>
      <w:r>
        <w:rPr>
          <w:rFonts w:hint="eastAsia" w:cs="宋体"/>
          <w:i w:val="0"/>
          <w:iCs w:val="0"/>
          <w:caps w:val="0"/>
          <w:color w:val="auto"/>
          <w:spacing w:val="0"/>
          <w:sz w:val="21"/>
          <w:szCs w:val="21"/>
          <w:shd w:val="clear" w:fill="FFFFFF"/>
          <w:vertAlign w:val="baseline"/>
          <w:lang w:val="en-US" w:eastAsia="zh-CN"/>
        </w:rPr>
        <w:t>0106</w:t>
      </w:r>
    </w:p>
    <w:p w14:paraId="708DA1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3.项目联系方式</w:t>
      </w:r>
    </w:p>
    <w:p w14:paraId="48ED75B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项目联系人：</w:t>
      </w:r>
      <w:r>
        <w:rPr>
          <w:rFonts w:hint="eastAsia" w:ascii="宋体" w:hAnsi="宋体" w:eastAsia="宋体" w:cs="宋体"/>
          <w:i w:val="0"/>
          <w:iCs w:val="0"/>
          <w:caps w:val="0"/>
          <w:color w:val="auto"/>
          <w:spacing w:val="0"/>
          <w:sz w:val="21"/>
          <w:szCs w:val="21"/>
          <w:shd w:val="clear" w:fill="FFFFFF"/>
          <w:vertAlign w:val="baseline"/>
          <w:lang w:eastAsia="zh-CN"/>
        </w:rPr>
        <w:t>赵</w:t>
      </w:r>
      <w:r>
        <w:rPr>
          <w:rFonts w:hint="eastAsia" w:ascii="宋体" w:hAnsi="宋体" w:eastAsia="宋体" w:cs="宋体"/>
          <w:i w:val="0"/>
          <w:iCs w:val="0"/>
          <w:caps w:val="0"/>
          <w:color w:val="auto"/>
          <w:spacing w:val="0"/>
          <w:sz w:val="21"/>
          <w:szCs w:val="21"/>
          <w:shd w:val="clear" w:fill="FFFFFF"/>
          <w:vertAlign w:val="baseline"/>
        </w:rPr>
        <w:t>工</w:t>
      </w:r>
    </w:p>
    <w:p w14:paraId="105BC82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rPr>
        <w:t>电话：029-3622</w:t>
      </w:r>
      <w:r>
        <w:rPr>
          <w:rFonts w:hint="eastAsia" w:cs="宋体"/>
          <w:i w:val="0"/>
          <w:iCs w:val="0"/>
          <w:caps w:val="0"/>
          <w:color w:val="auto"/>
          <w:spacing w:val="0"/>
          <w:sz w:val="21"/>
          <w:szCs w:val="21"/>
          <w:shd w:val="clear" w:fill="FFFFFF"/>
          <w:vertAlign w:val="baseline"/>
          <w:lang w:val="en-US" w:eastAsia="zh-CN"/>
        </w:rPr>
        <w:t>0106</w:t>
      </w:r>
    </w:p>
    <w:p w14:paraId="5745539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cs="宋体"/>
          <w:i w:val="0"/>
          <w:iCs w:val="0"/>
          <w:caps w:val="0"/>
          <w:color w:val="auto"/>
          <w:spacing w:val="0"/>
          <w:sz w:val="21"/>
          <w:szCs w:val="21"/>
          <w:shd w:val="clear" w:fill="FFFFFF"/>
          <w:vertAlign w:val="baseline"/>
          <w:lang w:val="en-US" w:eastAsia="zh-CN"/>
        </w:rPr>
      </w:pPr>
    </w:p>
    <w:p w14:paraId="06AD09D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default" w:cs="宋体"/>
          <w:i w:val="0"/>
          <w:iCs w:val="0"/>
          <w:caps w:val="0"/>
          <w:color w:val="auto"/>
          <w:spacing w:val="0"/>
          <w:sz w:val="21"/>
          <w:szCs w:val="21"/>
          <w:shd w:val="clear" w:fill="FFFFFF"/>
          <w:vertAlign w:val="baseline"/>
          <w:lang w:val="en-US" w:eastAsia="zh-CN"/>
        </w:rPr>
      </w:pPr>
    </w:p>
    <w:p w14:paraId="54853D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exact"/>
        <w:ind w:left="0" w:right="0" w:firstLine="420" w:firstLineChars="200"/>
        <w:jc w:val="right"/>
        <w:textAlignment w:val="auto"/>
        <w:outlineLvl w:val="9"/>
        <w:rPr>
          <w:rFonts w:hint="eastAsia" w:ascii="宋体" w:hAnsi="宋体" w:eastAsia="宋体" w:cs="宋体"/>
          <w:b w:val="0"/>
          <w:bCs w:val="0"/>
          <w:i w:val="0"/>
          <w:iCs w:val="0"/>
          <w:caps w:val="0"/>
          <w:color w:val="auto"/>
          <w:spacing w:val="0"/>
          <w:sz w:val="21"/>
          <w:szCs w:val="21"/>
          <w:highlight w:val="none"/>
          <w:shd w:val="clear" w:color="auto" w:fill="FFFFFF"/>
          <w:lang w:eastAsia="zh-CN"/>
        </w:rPr>
      </w:pPr>
      <w:r>
        <w:rPr>
          <w:rFonts w:hint="eastAsia" w:ascii="宋体" w:hAnsi="宋体" w:cs="宋体"/>
          <w:b w:val="0"/>
          <w:bCs w:val="0"/>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泾阳县政府采购中心</w:t>
      </w:r>
    </w:p>
    <w:p w14:paraId="0F973500">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center"/>
        <w:textAlignment w:val="auto"/>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cs="宋体"/>
          <w:b w:val="0"/>
          <w:bCs w:val="0"/>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b w:val="0"/>
          <w:bCs w:val="0"/>
          <w:i w:val="0"/>
          <w:iCs w:val="0"/>
          <w:caps w:val="0"/>
          <w:color w:val="auto"/>
          <w:spacing w:val="0"/>
          <w:sz w:val="21"/>
          <w:szCs w:val="21"/>
          <w:highlight w:val="none"/>
          <w:shd w:val="clear" w:color="auto" w:fill="FFFFFF"/>
        </w:rPr>
        <w:t>20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2</w:t>
      </w:r>
      <w:r>
        <w:rPr>
          <w:rFonts w:hint="eastAsia" w:cs="宋体"/>
          <w:b w:val="0"/>
          <w:bCs w:val="0"/>
          <w:i w:val="0"/>
          <w:iCs w:val="0"/>
          <w:caps w:val="0"/>
          <w:color w:val="auto"/>
          <w:spacing w:val="0"/>
          <w:sz w:val="21"/>
          <w:szCs w:val="21"/>
          <w:highlight w:val="none"/>
          <w:shd w:val="clear" w:color="auto" w:fill="FFFFFF"/>
          <w:lang w:val="en-US" w:eastAsia="zh-CN"/>
        </w:rPr>
        <w:t>6</w:t>
      </w:r>
      <w:r>
        <w:rPr>
          <w:rFonts w:hint="eastAsia" w:ascii="宋体" w:hAnsi="宋体" w:eastAsia="宋体" w:cs="宋体"/>
          <w:b w:val="0"/>
          <w:bCs w:val="0"/>
          <w:i w:val="0"/>
          <w:iCs w:val="0"/>
          <w:caps w:val="0"/>
          <w:color w:val="auto"/>
          <w:spacing w:val="0"/>
          <w:sz w:val="21"/>
          <w:szCs w:val="21"/>
          <w:highlight w:val="none"/>
          <w:shd w:val="clear" w:color="auto" w:fill="FFFFFF"/>
        </w:rPr>
        <w:t>年</w:t>
      </w:r>
      <w:r>
        <w:rPr>
          <w:rFonts w:hint="eastAsia" w:cs="宋体"/>
          <w:b w:val="0"/>
          <w:bCs w:val="0"/>
          <w:i w:val="0"/>
          <w:iCs w:val="0"/>
          <w:caps w:val="0"/>
          <w:color w:val="auto"/>
          <w:spacing w:val="0"/>
          <w:sz w:val="21"/>
          <w:szCs w:val="21"/>
          <w:highlight w:val="none"/>
          <w:shd w:val="clear" w:color="auto" w:fill="FFFFFF"/>
          <w:lang w:val="en-US" w:eastAsia="zh-CN"/>
        </w:rPr>
        <w:t>08</w:t>
      </w:r>
      <w:r>
        <w:rPr>
          <w:rFonts w:hint="eastAsia" w:ascii="宋体" w:hAnsi="宋体" w:eastAsia="宋体" w:cs="宋体"/>
          <w:b w:val="0"/>
          <w:bCs w:val="0"/>
          <w:i w:val="0"/>
          <w:iCs w:val="0"/>
          <w:caps w:val="0"/>
          <w:color w:val="auto"/>
          <w:spacing w:val="0"/>
          <w:sz w:val="21"/>
          <w:szCs w:val="21"/>
          <w:highlight w:val="none"/>
          <w:shd w:val="clear" w:color="auto" w:fill="FFFFFF"/>
        </w:rPr>
        <w:t>月</w:t>
      </w:r>
      <w:r>
        <w:rPr>
          <w:rFonts w:hint="eastAsia" w:cs="宋体"/>
          <w:b w:val="0"/>
          <w:bCs w:val="0"/>
          <w:i w:val="0"/>
          <w:iCs w:val="0"/>
          <w:caps w:val="0"/>
          <w:color w:val="auto"/>
          <w:spacing w:val="0"/>
          <w:sz w:val="21"/>
          <w:szCs w:val="21"/>
          <w:highlight w:val="none"/>
          <w:shd w:val="clear" w:color="auto" w:fill="FFFFFF"/>
          <w:lang w:val="en-US" w:eastAsia="zh-CN"/>
        </w:rPr>
        <w:t>04</w:t>
      </w:r>
      <w:r>
        <w:rPr>
          <w:rFonts w:hint="eastAsia" w:ascii="宋体" w:hAnsi="宋体" w:eastAsia="宋体" w:cs="宋体"/>
          <w:b w:val="0"/>
          <w:bCs w:val="0"/>
          <w:i w:val="0"/>
          <w:iCs w:val="0"/>
          <w:caps w:val="0"/>
          <w:color w:val="auto"/>
          <w:spacing w:val="0"/>
          <w:sz w:val="21"/>
          <w:szCs w:val="21"/>
          <w:highlight w:val="none"/>
          <w:shd w:val="clear" w:color="auto" w:fill="FFFFFF"/>
        </w:rPr>
        <w:t>日</w:t>
      </w:r>
    </w:p>
    <w:p w14:paraId="4D224EB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right"/>
        <w:textAlignment w:val="auto"/>
        <w:rPr>
          <w:rFonts w:hint="eastAsia" w:ascii="宋体" w:hAnsi="宋体" w:eastAsia="宋体" w:cs="宋体"/>
          <w:b w:val="0"/>
          <w:bCs w:val="0"/>
          <w:i w:val="0"/>
          <w:iCs w:val="0"/>
          <w:caps w:val="0"/>
          <w:color w:val="auto"/>
          <w:spacing w:val="0"/>
          <w:sz w:val="21"/>
          <w:szCs w:val="21"/>
          <w:highlight w:val="none"/>
          <w:shd w:val="clear" w:color="auto" w:fill="FFFFFF"/>
        </w:rPr>
      </w:pPr>
    </w:p>
    <w:p w14:paraId="2F49DEE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right"/>
        <w:textAlignment w:val="auto"/>
        <w:rPr>
          <w:rFonts w:hint="eastAsia" w:ascii="宋体" w:hAnsi="宋体" w:eastAsia="宋体" w:cs="宋体"/>
          <w:b w:val="0"/>
          <w:bCs w:val="0"/>
          <w:i w:val="0"/>
          <w:iCs w:val="0"/>
          <w:caps w:val="0"/>
          <w:color w:val="auto"/>
          <w:spacing w:val="0"/>
          <w:sz w:val="21"/>
          <w:szCs w:val="21"/>
          <w:highlight w:val="none"/>
          <w:shd w:val="clear" w:color="auto" w:fill="FFFFFF"/>
        </w:rPr>
        <w:sectPr>
          <w:footerReference r:id="rId13" w:type="first"/>
          <w:footerReference r:id="rId12"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docGrid w:linePitch="312" w:charSpace="0"/>
        </w:sectPr>
      </w:pPr>
    </w:p>
    <w:bookmarkEnd w:id="1"/>
    <w:bookmarkEnd w:id="2"/>
    <w:bookmarkEnd w:id="3"/>
    <w:p w14:paraId="4FD583E0">
      <w:pPr>
        <w:pStyle w:val="2"/>
        <w:keepLines w:val="0"/>
        <w:pageBreakBefore w:val="0"/>
        <w:numPr>
          <w:ilvl w:val="0"/>
          <w:numId w:val="0"/>
        </w:numPr>
        <w:kinsoku/>
        <w:bidi w:val="0"/>
        <w:spacing w:line="360" w:lineRule="auto"/>
        <w:jc w:val="center"/>
        <w:rPr>
          <w:rFonts w:hint="eastAsia" w:ascii="宋体" w:hAnsi="宋体" w:eastAsia="宋体" w:cs="宋体"/>
          <w:b/>
          <w:color w:val="auto"/>
          <w:sz w:val="36"/>
          <w:szCs w:val="36"/>
          <w:highlight w:val="none"/>
        </w:rPr>
      </w:pPr>
      <w:bookmarkStart w:id="4" w:name="_Toc20649"/>
      <w:r>
        <w:rPr>
          <w:rFonts w:hint="eastAsia" w:ascii="宋体" w:hAnsi="宋体" w:eastAsia="宋体" w:cs="宋体"/>
          <w:b/>
          <w:color w:val="auto"/>
          <w:sz w:val="36"/>
          <w:szCs w:val="36"/>
          <w:highlight w:val="none"/>
          <w:lang w:val="en-US" w:eastAsia="zh-CN"/>
        </w:rPr>
        <w:t xml:space="preserve">第二章 </w:t>
      </w:r>
      <w:r>
        <w:rPr>
          <w:rFonts w:hint="eastAsia" w:ascii="宋体" w:hAnsi="宋体" w:eastAsia="宋体" w:cs="宋体"/>
          <w:b/>
          <w:color w:val="auto"/>
          <w:sz w:val="36"/>
          <w:szCs w:val="36"/>
          <w:highlight w:val="none"/>
        </w:rPr>
        <w:t>竞争性磋商须知</w:t>
      </w:r>
      <w:bookmarkEnd w:id="4"/>
    </w:p>
    <w:tbl>
      <w:tblPr>
        <w:tblStyle w:val="37"/>
        <w:tblW w:w="1005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921"/>
        <w:gridCol w:w="7518"/>
      </w:tblGrid>
      <w:tr w14:paraId="43918B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tblHeader/>
          <w:jc w:val="center"/>
        </w:trPr>
        <w:tc>
          <w:tcPr>
            <w:tcW w:w="613" w:type="dxa"/>
            <w:vAlign w:val="center"/>
          </w:tcPr>
          <w:p w14:paraId="38BDD0A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1921" w:type="dxa"/>
            <w:vAlign w:val="center"/>
          </w:tcPr>
          <w:p w14:paraId="26072A4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条款名称</w:t>
            </w:r>
          </w:p>
        </w:tc>
        <w:tc>
          <w:tcPr>
            <w:tcW w:w="7518" w:type="dxa"/>
            <w:vAlign w:val="center"/>
          </w:tcPr>
          <w:p w14:paraId="6CB83FF4">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说明和要求</w:t>
            </w:r>
          </w:p>
        </w:tc>
      </w:tr>
      <w:tr w14:paraId="1D7ADD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3C2A617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p>
        </w:tc>
        <w:tc>
          <w:tcPr>
            <w:tcW w:w="1921" w:type="dxa"/>
            <w:vAlign w:val="center"/>
          </w:tcPr>
          <w:p w14:paraId="7EBA6ED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w:t>
            </w:r>
          </w:p>
        </w:tc>
        <w:tc>
          <w:tcPr>
            <w:tcW w:w="7518" w:type="dxa"/>
            <w:vAlign w:val="center"/>
          </w:tcPr>
          <w:p w14:paraId="01CEB74B">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名  称：</w:t>
            </w:r>
            <w:r>
              <w:rPr>
                <w:rFonts w:hint="eastAsia" w:cs="宋体"/>
                <w:color w:val="auto"/>
                <w:kern w:val="2"/>
                <w:sz w:val="21"/>
                <w:szCs w:val="21"/>
                <w:highlight w:val="none"/>
                <w:lang w:eastAsia="zh-CN"/>
              </w:rPr>
              <w:t>泾阳县老年人服务中心(泾阳县中心敬老院)</w:t>
            </w:r>
          </w:p>
          <w:p w14:paraId="5B0653FE">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i w:val="0"/>
                <w:iCs w:val="0"/>
                <w:caps w:val="0"/>
                <w:color w:val="auto"/>
                <w:spacing w:val="0"/>
                <w:sz w:val="21"/>
                <w:szCs w:val="21"/>
                <w:highlight w:val="none"/>
                <w:shd w:val="clear" w:color="auto" w:fill="FFFFFF"/>
              </w:rPr>
              <w:t>泾阳县云阳镇樊尧村</w:t>
            </w:r>
          </w:p>
          <w:p w14:paraId="0CD0E0C7">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i w:val="0"/>
                <w:iCs w:val="0"/>
                <w:caps w:val="0"/>
                <w:color w:val="auto"/>
                <w:spacing w:val="0"/>
                <w:sz w:val="21"/>
                <w:szCs w:val="21"/>
                <w:highlight w:val="none"/>
                <w:shd w:val="clear" w:color="auto" w:fill="FFFFFF"/>
              </w:rPr>
              <w:t>宋凯</w:t>
            </w:r>
            <w:r>
              <w:rPr>
                <w:rFonts w:hint="eastAsia" w:ascii="宋体" w:hAnsi="宋体" w:cs="宋体"/>
                <w:color w:val="auto"/>
                <w:sz w:val="21"/>
                <w:szCs w:val="21"/>
                <w:highlight w:val="none"/>
                <w:lang w:val="en-US" w:eastAsia="zh-CN"/>
              </w:rPr>
              <w:t xml:space="preserve"> </w:t>
            </w:r>
          </w:p>
          <w:p w14:paraId="29E92904">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i w:val="0"/>
                <w:iCs w:val="0"/>
                <w:caps w:val="0"/>
                <w:color w:val="auto"/>
                <w:spacing w:val="0"/>
                <w:sz w:val="21"/>
                <w:szCs w:val="21"/>
                <w:highlight w:val="none"/>
                <w:shd w:val="clear" w:color="auto" w:fill="FFFFFF"/>
              </w:rPr>
              <w:t>13892922017</w:t>
            </w:r>
          </w:p>
        </w:tc>
      </w:tr>
      <w:tr w14:paraId="74DE0F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8B4D79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p>
        </w:tc>
        <w:tc>
          <w:tcPr>
            <w:tcW w:w="1921" w:type="dxa"/>
            <w:vAlign w:val="center"/>
          </w:tcPr>
          <w:p w14:paraId="3099376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采购代理机构</w:t>
            </w:r>
          </w:p>
        </w:tc>
        <w:tc>
          <w:tcPr>
            <w:tcW w:w="7518" w:type="dxa"/>
            <w:vAlign w:val="center"/>
          </w:tcPr>
          <w:p w14:paraId="01B2A62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称</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泾阳县政府采购中心</w:t>
            </w:r>
          </w:p>
          <w:p w14:paraId="751A230F">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rPr>
              <w:t>咸阳市泾阳县中心街402号</w:t>
            </w:r>
          </w:p>
          <w:p w14:paraId="35E5A6E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lang w:eastAsia="zh-CN"/>
              </w:rPr>
              <w:t>赵</w:t>
            </w:r>
            <w:r>
              <w:rPr>
                <w:rFonts w:hint="eastAsia" w:ascii="宋体" w:hAnsi="宋体" w:eastAsia="宋体" w:cs="宋体"/>
                <w:i w:val="0"/>
                <w:iCs w:val="0"/>
                <w:caps w:val="0"/>
                <w:color w:val="auto"/>
                <w:spacing w:val="0"/>
                <w:sz w:val="21"/>
                <w:szCs w:val="21"/>
                <w:shd w:val="clear" w:fill="FFFFFF"/>
                <w:vertAlign w:val="baseline"/>
              </w:rPr>
              <w:t>工</w:t>
            </w:r>
          </w:p>
          <w:p w14:paraId="6E13C0DD">
            <w:pPr>
              <w:keepNext w:val="0"/>
              <w:keepLines w:val="0"/>
              <w:pageBreakBefore w:val="0"/>
              <w:kinsoku/>
              <w:wordWrap/>
              <w:overflowPunct/>
              <w:topLinePunct w:val="0"/>
              <w:bidi w:val="0"/>
              <w:snapToGrid/>
              <w:spacing w:line="360" w:lineRule="exact"/>
              <w:ind w:left="0" w:lef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rPr>
              <w:t>029-3622</w:t>
            </w:r>
            <w:r>
              <w:rPr>
                <w:rFonts w:hint="eastAsia" w:ascii="宋体" w:hAnsi="宋体" w:cs="宋体"/>
                <w:i w:val="0"/>
                <w:iCs w:val="0"/>
                <w:caps w:val="0"/>
                <w:color w:val="auto"/>
                <w:spacing w:val="0"/>
                <w:sz w:val="21"/>
                <w:szCs w:val="21"/>
                <w:shd w:val="clear" w:fill="FFFFFF"/>
                <w:vertAlign w:val="baseline"/>
                <w:lang w:val="en-US" w:eastAsia="zh-CN"/>
              </w:rPr>
              <w:t>0106</w:t>
            </w:r>
          </w:p>
        </w:tc>
      </w:tr>
      <w:tr w14:paraId="44765B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45DCDC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1921" w:type="dxa"/>
            <w:vAlign w:val="center"/>
          </w:tcPr>
          <w:p w14:paraId="1D1E5C8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项目名称</w:t>
            </w:r>
          </w:p>
        </w:tc>
        <w:tc>
          <w:tcPr>
            <w:tcW w:w="7518" w:type="dxa"/>
            <w:vAlign w:val="center"/>
          </w:tcPr>
          <w:p w14:paraId="5D97B072">
            <w:pPr>
              <w:keepNext w:val="0"/>
              <w:keepLines w:val="0"/>
              <w:pageBreakBefore w:val="0"/>
              <w:kinsoku/>
              <w:wordWrap/>
              <w:overflowPunct/>
              <w:topLinePunct w:val="0"/>
              <w:bidi w:val="0"/>
              <w:snapToGrid/>
              <w:spacing w:line="360" w:lineRule="exact"/>
              <w:ind w:left="0" w:leftChars="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泾阳县老年人服务中心(泾阳县中心敬老院)提升改造项目</w:t>
            </w:r>
          </w:p>
        </w:tc>
      </w:tr>
      <w:tr w14:paraId="145832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F94AAC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w:t>
            </w:r>
          </w:p>
        </w:tc>
        <w:tc>
          <w:tcPr>
            <w:tcW w:w="1921" w:type="dxa"/>
            <w:vAlign w:val="center"/>
          </w:tcPr>
          <w:p w14:paraId="2640FB6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项目编号</w:t>
            </w:r>
          </w:p>
        </w:tc>
        <w:tc>
          <w:tcPr>
            <w:tcW w:w="7518" w:type="dxa"/>
            <w:vAlign w:val="center"/>
          </w:tcPr>
          <w:p w14:paraId="607B4BA3">
            <w:pPr>
              <w:keepNext w:val="0"/>
              <w:keepLines w:val="0"/>
              <w:pageBreakBefore w:val="0"/>
              <w:kinsoku/>
              <w:wordWrap/>
              <w:overflowPunct/>
              <w:topLinePunct w:val="0"/>
              <w:bidi w:val="0"/>
              <w:snapToGrid/>
              <w:spacing w:line="360" w:lineRule="exact"/>
              <w:ind w:left="0" w:leftChars="0"/>
              <w:textAlignment w:val="auto"/>
              <w:rPr>
                <w:rFonts w:hint="default" w:ascii="宋体" w:hAnsi="宋体" w:eastAsia="宋体" w:cs="宋体"/>
                <w:color w:val="auto"/>
                <w:sz w:val="21"/>
                <w:szCs w:val="21"/>
                <w:highlight w:val="none"/>
                <w:lang w:val="en-US" w:eastAsia="zh-CN"/>
              </w:rPr>
            </w:pPr>
            <w:r>
              <w:rPr>
                <w:rFonts w:hint="eastAsia" w:cs="宋体"/>
                <w:i w:val="0"/>
                <w:iCs w:val="0"/>
                <w:caps w:val="0"/>
                <w:color w:val="auto"/>
                <w:spacing w:val="0"/>
                <w:sz w:val="21"/>
                <w:szCs w:val="21"/>
                <w:highlight w:val="none"/>
                <w:shd w:val="clear" w:fill="FFFFFF"/>
                <w:lang w:eastAsia="zh-CN"/>
              </w:rPr>
              <w:t>ZFCG-泾阳县-2026-00005</w:t>
            </w:r>
          </w:p>
        </w:tc>
      </w:tr>
      <w:tr w14:paraId="3B2D6B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54D81FF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921" w:type="dxa"/>
            <w:vAlign w:val="center"/>
          </w:tcPr>
          <w:p w14:paraId="0F9786B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采购方式</w:t>
            </w:r>
          </w:p>
        </w:tc>
        <w:tc>
          <w:tcPr>
            <w:tcW w:w="7518" w:type="dxa"/>
            <w:vAlign w:val="center"/>
          </w:tcPr>
          <w:p w14:paraId="2085978B">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竞争性磋商</w:t>
            </w:r>
          </w:p>
        </w:tc>
      </w:tr>
      <w:tr w14:paraId="0F1D1A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13" w:type="dxa"/>
            <w:vAlign w:val="center"/>
          </w:tcPr>
          <w:p w14:paraId="18B3220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921" w:type="dxa"/>
            <w:vAlign w:val="center"/>
          </w:tcPr>
          <w:p w14:paraId="758FBAA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7518" w:type="dxa"/>
            <w:vAlign w:val="center"/>
          </w:tcPr>
          <w:p w14:paraId="7838B13B">
            <w:pPr>
              <w:pStyle w:val="118"/>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cs="宋体"/>
                <w:color w:val="auto"/>
                <w:sz w:val="21"/>
                <w:szCs w:val="21"/>
                <w:lang w:val="en-US" w:eastAsia="zh-CN"/>
              </w:rPr>
              <w:t>泾阳县老年人服务中心(泾阳县中心敬老院)提升改造项目</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具体</w:t>
            </w:r>
            <w:r>
              <w:rPr>
                <w:rFonts w:hint="eastAsia" w:ascii="宋体" w:hAnsi="宋体" w:eastAsia="宋体" w:cs="宋体"/>
                <w:color w:val="auto"/>
                <w:sz w:val="21"/>
                <w:szCs w:val="21"/>
                <w:highlight w:val="none"/>
              </w:rPr>
              <w:t>内容详见</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w:t>
            </w:r>
            <w:r>
              <w:rPr>
                <w:rFonts w:hint="eastAsia" w:cs="宋体"/>
                <w:color w:val="auto"/>
                <w:sz w:val="21"/>
                <w:szCs w:val="21"/>
                <w:highlight w:val="none"/>
                <w:lang w:val="en-US" w:eastAsia="zh-CN"/>
              </w:rPr>
              <w:t>第五章</w:t>
            </w:r>
            <w:r>
              <w:rPr>
                <w:rFonts w:hint="eastAsia" w:ascii="宋体" w:hAnsi="宋体" w:eastAsia="宋体" w:cs="宋体"/>
                <w:color w:val="auto"/>
                <w:sz w:val="21"/>
                <w:szCs w:val="21"/>
                <w:highlight w:val="none"/>
                <w:lang w:eastAsia="zh-CN"/>
              </w:rPr>
              <w:t>。</w:t>
            </w:r>
          </w:p>
        </w:tc>
      </w:tr>
      <w:tr w14:paraId="544E50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7C9AFB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921" w:type="dxa"/>
            <w:vAlign w:val="center"/>
          </w:tcPr>
          <w:p w14:paraId="27FE919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资金比例</w:t>
            </w:r>
          </w:p>
        </w:tc>
        <w:tc>
          <w:tcPr>
            <w:tcW w:w="7518" w:type="dxa"/>
            <w:vAlign w:val="center"/>
          </w:tcPr>
          <w:p w14:paraId="36855541">
            <w:pPr>
              <w:pStyle w:val="118"/>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r>
      <w:tr w14:paraId="6FD35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036EB26">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921" w:type="dxa"/>
            <w:vAlign w:val="center"/>
          </w:tcPr>
          <w:p w14:paraId="3A8D103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采购预算</w:t>
            </w:r>
          </w:p>
        </w:tc>
        <w:tc>
          <w:tcPr>
            <w:tcW w:w="7518" w:type="dxa"/>
            <w:vAlign w:val="center"/>
          </w:tcPr>
          <w:p w14:paraId="4772E06E">
            <w:pPr>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aps w:val="0"/>
                <w:color w:val="auto"/>
                <w:spacing w:val="0"/>
                <w:sz w:val="21"/>
                <w:szCs w:val="21"/>
                <w:highlight w:val="none"/>
                <w:shd w:val="clear" w:fill="FFFFFF"/>
                <w:lang w:val="en-US" w:eastAsia="zh-CN"/>
              </w:rPr>
              <w:t>700000.00</w:t>
            </w:r>
            <w:r>
              <w:rPr>
                <w:rFonts w:hint="eastAsia" w:ascii="宋体" w:hAnsi="宋体" w:eastAsia="宋体" w:cs="宋体"/>
                <w:i w:val="0"/>
                <w:iCs w:val="0"/>
                <w:caps w:val="0"/>
                <w:color w:val="auto"/>
                <w:spacing w:val="0"/>
                <w:sz w:val="21"/>
                <w:szCs w:val="21"/>
                <w:highlight w:val="none"/>
                <w:shd w:val="clear" w:fill="FFFFFF"/>
              </w:rPr>
              <w:t>元</w:t>
            </w:r>
          </w:p>
        </w:tc>
      </w:tr>
      <w:tr w14:paraId="04408F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3DD26F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921" w:type="dxa"/>
            <w:vAlign w:val="center"/>
          </w:tcPr>
          <w:p w14:paraId="0A99A85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p>
        </w:tc>
        <w:tc>
          <w:tcPr>
            <w:tcW w:w="7518" w:type="dxa"/>
            <w:vAlign w:val="center"/>
          </w:tcPr>
          <w:p w14:paraId="7471AB88">
            <w:pPr>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aps w:val="0"/>
                <w:color w:val="auto"/>
                <w:spacing w:val="0"/>
                <w:sz w:val="21"/>
                <w:szCs w:val="21"/>
                <w:highlight w:val="none"/>
                <w:shd w:val="clear" w:fill="FFFFFF"/>
                <w:lang w:val="en-US" w:eastAsia="zh-CN"/>
              </w:rPr>
              <w:t>699646.91</w:t>
            </w:r>
            <w:r>
              <w:rPr>
                <w:rFonts w:hint="eastAsia" w:ascii="宋体" w:hAnsi="宋体" w:eastAsia="宋体" w:cs="宋体"/>
                <w:i w:val="0"/>
                <w:iCs w:val="0"/>
                <w:caps w:val="0"/>
                <w:color w:val="auto"/>
                <w:spacing w:val="0"/>
                <w:sz w:val="21"/>
                <w:szCs w:val="21"/>
                <w:highlight w:val="none"/>
                <w:shd w:val="clear" w:fill="FFFFFF"/>
                <w:lang w:val="en-US" w:eastAsia="zh-CN"/>
              </w:rPr>
              <w:t>元</w:t>
            </w:r>
          </w:p>
        </w:tc>
      </w:tr>
      <w:tr w14:paraId="7C2B57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613" w:type="dxa"/>
            <w:vAlign w:val="center"/>
          </w:tcPr>
          <w:p w14:paraId="53CB9DD4">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921" w:type="dxa"/>
            <w:vAlign w:val="center"/>
          </w:tcPr>
          <w:p w14:paraId="1743A28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p>
        </w:tc>
        <w:tc>
          <w:tcPr>
            <w:tcW w:w="7518" w:type="dxa"/>
            <w:vAlign w:val="center"/>
          </w:tcPr>
          <w:p w14:paraId="175C8B8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shd w:val="clear" w:color="auto" w:fill="FFFFFF"/>
                <w:lang w:val="en-US" w:eastAsia="zh-CN"/>
              </w:rPr>
              <w:t>自合同签订之日起</w:t>
            </w:r>
            <w:r>
              <w:rPr>
                <w:rFonts w:hint="eastAsia" w:cs="宋体"/>
                <w:color w:val="auto"/>
                <w:kern w:val="0"/>
                <w:sz w:val="21"/>
                <w:szCs w:val="21"/>
                <w:highlight w:val="none"/>
                <w:shd w:val="clear" w:color="auto" w:fill="FFFFFF"/>
                <w:lang w:val="en-US" w:eastAsia="zh-CN"/>
              </w:rPr>
              <w:t>90个</w:t>
            </w:r>
            <w:r>
              <w:rPr>
                <w:rFonts w:hint="eastAsia" w:ascii="宋体" w:hAnsi="宋体" w:eastAsia="宋体" w:cs="宋体"/>
                <w:color w:val="auto"/>
                <w:kern w:val="0"/>
                <w:sz w:val="21"/>
                <w:szCs w:val="21"/>
                <w:highlight w:val="none"/>
                <w:shd w:val="clear" w:color="auto" w:fill="FFFFFF"/>
                <w:lang w:val="en-US" w:eastAsia="zh-CN"/>
              </w:rPr>
              <w:t>日历</w:t>
            </w:r>
            <w:r>
              <w:rPr>
                <w:rFonts w:hint="eastAsia" w:cs="宋体"/>
                <w:color w:val="auto"/>
                <w:kern w:val="0"/>
                <w:sz w:val="21"/>
                <w:szCs w:val="21"/>
                <w:highlight w:val="none"/>
                <w:shd w:val="clear" w:color="auto" w:fill="FFFFFF"/>
                <w:lang w:val="en-US" w:eastAsia="zh-CN"/>
              </w:rPr>
              <w:t>天</w:t>
            </w:r>
          </w:p>
        </w:tc>
      </w:tr>
      <w:tr w14:paraId="7BFB62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29A63A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921" w:type="dxa"/>
            <w:vAlign w:val="center"/>
          </w:tcPr>
          <w:p w14:paraId="75B75DE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质量要求、验收标准</w:t>
            </w:r>
          </w:p>
        </w:tc>
        <w:tc>
          <w:tcPr>
            <w:tcW w:w="7518" w:type="dxa"/>
            <w:vAlign w:val="center"/>
          </w:tcPr>
          <w:p w14:paraId="5E79436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质量要求：达到国家现行技术标准。</w:t>
            </w:r>
          </w:p>
          <w:p w14:paraId="46E274D7">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验收标准：国家标准、行业标准、企业标准。</w:t>
            </w:r>
          </w:p>
        </w:tc>
      </w:tr>
      <w:tr w14:paraId="7C9E2E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613" w:type="dxa"/>
            <w:vAlign w:val="center"/>
          </w:tcPr>
          <w:p w14:paraId="66D2775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921" w:type="dxa"/>
            <w:vAlign w:val="center"/>
          </w:tcPr>
          <w:p w14:paraId="3C44AF16">
            <w:pPr>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磋商文件发售</w:t>
            </w:r>
          </w:p>
        </w:tc>
        <w:tc>
          <w:tcPr>
            <w:tcW w:w="7518" w:type="dxa"/>
            <w:vAlign w:val="center"/>
          </w:tcPr>
          <w:p w14:paraId="17A46EBD">
            <w:pPr>
              <w:pStyle w:val="125"/>
              <w:keepNext w:val="0"/>
              <w:keepLines w:val="0"/>
              <w:pageBreakBefore w:val="0"/>
              <w:kinsoku/>
              <w:wordWrap/>
              <w:overflowPunct/>
              <w:topLinePunct w:val="0"/>
              <w:autoSpaceDE/>
              <w:autoSpaceDN/>
              <w:bidi w:val="0"/>
              <w:adjustRightInd/>
              <w:snapToGrid/>
              <w:spacing w:line="360" w:lineRule="exact"/>
              <w:ind w:left="0" w:leftChars="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发售时间：</w:t>
            </w:r>
            <w:r>
              <w:rPr>
                <w:rFonts w:hint="eastAsia" w:ascii="宋体" w:hAnsi="宋体" w:cs="宋体"/>
                <w:i w:val="0"/>
                <w:iCs w:val="0"/>
                <w:caps w:val="0"/>
                <w:color w:val="auto"/>
                <w:spacing w:val="0"/>
                <w:sz w:val="21"/>
                <w:szCs w:val="21"/>
                <w:highlight w:val="none"/>
                <w:shd w:val="clear" w:fill="FFFFFF"/>
                <w:vertAlign w:val="baseline"/>
                <w:lang w:val="en-US" w:eastAsia="zh-CN"/>
              </w:rPr>
              <w:t>2026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ascii="宋体" w:hAnsi="宋体"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cs="宋体"/>
                <w:i w:val="0"/>
                <w:iCs w:val="0"/>
                <w:caps w:val="0"/>
                <w:color w:val="auto"/>
                <w:spacing w:val="0"/>
                <w:sz w:val="21"/>
                <w:szCs w:val="21"/>
                <w:highlight w:val="none"/>
                <w:shd w:val="clear" w:fill="FFFFFF"/>
                <w:vertAlign w:val="baseline"/>
                <w:lang w:val="en-US" w:eastAsia="zh-CN"/>
              </w:rPr>
              <w:t>05</w:t>
            </w:r>
            <w:r>
              <w:rPr>
                <w:rFonts w:hint="eastAsia" w:ascii="宋体" w:hAnsi="宋体" w:eastAsia="宋体" w:cs="宋体"/>
                <w:i w:val="0"/>
                <w:iCs w:val="0"/>
                <w:caps w:val="0"/>
                <w:color w:val="auto"/>
                <w:spacing w:val="0"/>
                <w:sz w:val="21"/>
                <w:szCs w:val="21"/>
                <w:highlight w:val="none"/>
                <w:shd w:val="clear" w:fill="FFFFFF"/>
                <w:vertAlign w:val="baseline"/>
              </w:rPr>
              <w:t>日至</w:t>
            </w:r>
            <w:r>
              <w:rPr>
                <w:rFonts w:hint="eastAsia" w:ascii="宋体" w:hAnsi="宋体" w:cs="宋体"/>
                <w:i w:val="0"/>
                <w:iCs w:val="0"/>
                <w:caps w:val="0"/>
                <w:color w:val="auto"/>
                <w:spacing w:val="0"/>
                <w:sz w:val="21"/>
                <w:szCs w:val="21"/>
                <w:highlight w:val="none"/>
                <w:shd w:val="clear" w:fill="FFFFFF"/>
                <w:vertAlign w:val="baseline"/>
                <w:lang w:val="en-US" w:eastAsia="zh-CN"/>
              </w:rPr>
              <w:t>2026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ascii="宋体" w:hAnsi="宋体"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cs="宋体"/>
                <w:i w:val="0"/>
                <w:iCs w:val="0"/>
                <w:caps w:val="0"/>
                <w:color w:val="auto"/>
                <w:spacing w:val="0"/>
                <w:sz w:val="21"/>
                <w:szCs w:val="21"/>
                <w:highlight w:val="none"/>
                <w:shd w:val="clear" w:fill="FFFFFF"/>
                <w:vertAlign w:val="baseline"/>
                <w:lang w:val="en-US" w:eastAsia="zh-CN"/>
              </w:rPr>
              <w:t>11</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日，每天上午0</w:t>
            </w:r>
            <w:r>
              <w:rPr>
                <w:rFonts w:hint="eastAsia" w:ascii="宋体" w:hAnsi="宋体"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:00:00至12:00:00，下午1</w:t>
            </w:r>
            <w:r>
              <w:rPr>
                <w:rFonts w:hint="eastAsia" w:ascii="宋体" w:hAnsi="宋体" w:cs="宋体"/>
                <w:i w:val="0"/>
                <w:iCs w:val="0"/>
                <w:caps w:val="0"/>
                <w:color w:val="auto"/>
                <w:spacing w:val="0"/>
                <w:sz w:val="21"/>
                <w:szCs w:val="21"/>
                <w:highlight w:val="none"/>
                <w:shd w:val="clear" w:fill="FFFFFF"/>
                <w:vertAlign w:val="baseline"/>
                <w:lang w:val="en-US" w:eastAsia="zh-CN"/>
              </w:rPr>
              <w:t>4</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w:t>
            </w:r>
            <w:r>
              <w:rPr>
                <w:rFonts w:hint="eastAsia" w:ascii="宋体" w:hAnsi="宋体"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ascii="宋体" w:hAnsi="宋体"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ascii="宋体" w:hAnsi="宋体"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（北京时间）</w:t>
            </w:r>
          </w:p>
          <w:p w14:paraId="16B9F1FE">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发售地点：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网上自行下载</w:t>
            </w:r>
          </w:p>
        </w:tc>
      </w:tr>
      <w:tr w14:paraId="5A40A4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D01EFF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921" w:type="dxa"/>
            <w:vAlign w:val="center"/>
          </w:tcPr>
          <w:p w14:paraId="6DBCE2F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联合体磋商</w:t>
            </w:r>
          </w:p>
        </w:tc>
        <w:tc>
          <w:tcPr>
            <w:tcW w:w="7518" w:type="dxa"/>
            <w:vAlign w:val="center"/>
          </w:tcPr>
          <w:p w14:paraId="4680F7B4">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7AE592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C39CC9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921" w:type="dxa"/>
            <w:vAlign w:val="center"/>
          </w:tcPr>
          <w:p w14:paraId="2DF0BAD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考察现场、标前答疑会</w:t>
            </w:r>
          </w:p>
        </w:tc>
        <w:tc>
          <w:tcPr>
            <w:tcW w:w="7518" w:type="dxa"/>
            <w:vAlign w:val="center"/>
          </w:tcPr>
          <w:p w14:paraId="20D32631">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615173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C66DB9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921" w:type="dxa"/>
            <w:vAlign w:val="center"/>
          </w:tcPr>
          <w:p w14:paraId="6E50CF8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构成竞争性磋商文件的其他文件</w:t>
            </w:r>
          </w:p>
        </w:tc>
        <w:tc>
          <w:tcPr>
            <w:tcW w:w="7518" w:type="dxa"/>
            <w:vAlign w:val="center"/>
          </w:tcPr>
          <w:p w14:paraId="062CF0E1">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竞争性磋商文件的澄清、修改书及有关补充通知为竞争性磋商文件的有效组成部分。</w:t>
            </w:r>
          </w:p>
        </w:tc>
      </w:tr>
      <w:tr w14:paraId="47C557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D7CDE1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921" w:type="dxa"/>
            <w:vAlign w:val="center"/>
          </w:tcPr>
          <w:p w14:paraId="06421B64">
            <w:pPr>
              <w:pStyle w:val="125"/>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rPr>
              <w:t>磋商文件递交截止时间和地点</w:t>
            </w:r>
          </w:p>
        </w:tc>
        <w:tc>
          <w:tcPr>
            <w:tcW w:w="7518" w:type="dxa"/>
            <w:vAlign w:val="center"/>
          </w:tcPr>
          <w:p w14:paraId="41476DE8">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1.磋商文件截止时间</w:t>
            </w:r>
            <w:r>
              <w:rPr>
                <w:rFonts w:hint="eastAsia" w:ascii="宋体" w:hAnsi="宋体" w:eastAsia="宋体" w:cs="宋体"/>
                <w:color w:val="auto"/>
                <w:sz w:val="21"/>
                <w:szCs w:val="21"/>
                <w:highlight w:val="none"/>
                <w:lang w:val="en-US" w:eastAsia="zh-CN"/>
              </w:rPr>
              <w:t>和开启时间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日</w:t>
            </w:r>
            <w:r>
              <w:rPr>
                <w:rFonts w:hint="eastAsia" w:ascii="宋体" w:hAnsi="宋体" w:cs="宋体"/>
                <w:color w:val="auto"/>
                <w:kern w:val="2"/>
                <w:sz w:val="21"/>
                <w:szCs w:val="21"/>
                <w:highlight w:val="none"/>
                <w:lang w:val="en-US" w:eastAsia="zh-CN"/>
              </w:rPr>
              <w:t>09时30分00秒</w:t>
            </w:r>
            <w:r>
              <w:rPr>
                <w:rFonts w:hint="eastAsia" w:ascii="宋体" w:hAnsi="宋体" w:eastAsia="宋体" w:cs="宋体"/>
                <w:color w:val="auto"/>
                <w:sz w:val="21"/>
                <w:szCs w:val="21"/>
                <w:highlight w:val="none"/>
              </w:rPr>
              <w:t>（北京时间）</w:t>
            </w:r>
          </w:p>
          <w:p w14:paraId="3E69D3A5">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rPr>
              <w:t>日</w:t>
            </w:r>
            <w:r>
              <w:rPr>
                <w:rFonts w:hint="eastAsia" w:ascii="宋体" w:hAnsi="宋体" w:cs="宋体"/>
                <w:color w:val="auto"/>
                <w:kern w:val="2"/>
                <w:sz w:val="21"/>
                <w:szCs w:val="21"/>
                <w:highlight w:val="none"/>
                <w:lang w:val="en-US" w:eastAsia="zh-CN"/>
              </w:rPr>
              <w:t>09时30分00秒</w:t>
            </w:r>
            <w:r>
              <w:rPr>
                <w:rFonts w:hint="eastAsia" w:ascii="宋体" w:hAnsi="宋体" w:eastAsia="宋体" w:cs="宋体"/>
                <w:color w:val="auto"/>
                <w:sz w:val="21"/>
                <w:szCs w:val="21"/>
                <w:highlight w:val="none"/>
              </w:rPr>
              <w:t>（北京时间）</w:t>
            </w:r>
          </w:p>
          <w:p w14:paraId="07A1291E">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3.磋商地点：</w:t>
            </w:r>
            <w:r>
              <w:rPr>
                <w:rFonts w:hint="eastAsia" w:ascii="宋体" w:hAnsi="宋体" w:eastAsia="宋体" w:cs="宋体"/>
                <w:color w:val="auto"/>
                <w:kern w:val="0"/>
                <w:sz w:val="21"/>
                <w:szCs w:val="21"/>
                <w:highlight w:val="none"/>
                <w:shd w:val="clear" w:color="auto" w:fill="FFFFFF"/>
              </w:rPr>
              <w:t>全国公共资源交易平台（陕西省.</w:t>
            </w:r>
            <w:r>
              <w:rPr>
                <w:rFonts w:hint="eastAsia" w:ascii="宋体" w:hAnsi="宋体" w:eastAsia="宋体" w:cs="宋体"/>
                <w:color w:val="auto"/>
                <w:kern w:val="0"/>
                <w:sz w:val="21"/>
                <w:szCs w:val="21"/>
                <w:highlight w:val="none"/>
                <w:shd w:val="clear" w:color="auto" w:fill="FFFFFF"/>
                <w:lang w:val="en-US" w:eastAsia="zh-CN"/>
              </w:rPr>
              <w:t>咸阳市</w:t>
            </w:r>
            <w:r>
              <w:rPr>
                <w:rFonts w:hint="eastAsia" w:ascii="宋体" w:hAnsi="宋体" w:eastAsia="宋体" w:cs="宋体"/>
                <w:color w:val="auto"/>
                <w:kern w:val="0"/>
                <w:sz w:val="21"/>
                <w:szCs w:val="21"/>
                <w:highlight w:val="none"/>
                <w:shd w:val="clear" w:color="auto" w:fill="FFFFFF"/>
              </w:rPr>
              <w:t>）不见面开标大厅</w:t>
            </w:r>
          </w:p>
        </w:tc>
      </w:tr>
      <w:tr w14:paraId="521ED3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108E059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921" w:type="dxa"/>
            <w:vAlign w:val="center"/>
          </w:tcPr>
          <w:p w14:paraId="4E2A368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磋商有效期</w:t>
            </w:r>
          </w:p>
        </w:tc>
        <w:tc>
          <w:tcPr>
            <w:tcW w:w="7518" w:type="dxa"/>
            <w:vAlign w:val="center"/>
          </w:tcPr>
          <w:p w14:paraId="00453373">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从磋商截止日起90日历天。</w:t>
            </w:r>
          </w:p>
        </w:tc>
      </w:tr>
      <w:tr w14:paraId="1E7B61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1F7D21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8</w:t>
            </w:r>
          </w:p>
        </w:tc>
        <w:tc>
          <w:tcPr>
            <w:tcW w:w="1921" w:type="dxa"/>
            <w:vAlign w:val="center"/>
          </w:tcPr>
          <w:p w14:paraId="6D8D0EF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签字盖章</w:t>
            </w:r>
          </w:p>
        </w:tc>
        <w:tc>
          <w:tcPr>
            <w:tcW w:w="7518" w:type="dxa"/>
            <w:vAlign w:val="center"/>
          </w:tcPr>
          <w:p w14:paraId="148357F0">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磋商供应商必须按照竞争性磋商文件的规定和要求签字、盖章。</w:t>
            </w:r>
          </w:p>
          <w:p w14:paraId="028A8B59">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rPr>
            </w:pPr>
            <w:r>
              <w:rPr>
                <w:rFonts w:hint="eastAsia" w:ascii="宋体" w:hAnsi="宋体" w:cs="宋体"/>
                <w:color w:val="auto"/>
                <w:sz w:val="21"/>
                <w:szCs w:val="21"/>
                <w:highlight w:val="none"/>
                <w:lang w:val="en-US" w:eastAsia="zh-CN"/>
              </w:rPr>
              <w:t>2.电子投标文件制作过程中，需要法定代表人签字或盖章的地方，请使用“法人CA锁”进行签章；需要加盖供应商公章的地方，请使用“企业CA锁”进行签章。</w:t>
            </w:r>
          </w:p>
        </w:tc>
      </w:tr>
      <w:tr w14:paraId="6DB01F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13" w:type="dxa"/>
            <w:vAlign w:val="center"/>
          </w:tcPr>
          <w:p w14:paraId="54F70606">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9</w:t>
            </w:r>
          </w:p>
        </w:tc>
        <w:tc>
          <w:tcPr>
            <w:tcW w:w="1921" w:type="dxa"/>
            <w:vAlign w:val="center"/>
          </w:tcPr>
          <w:p w14:paraId="5C77816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zh-CN" w:eastAsia="zh-CN" w:bidi="ar-SA"/>
              </w:rPr>
              <w:t>磋商响应文件的装订、数量</w:t>
            </w:r>
          </w:p>
        </w:tc>
        <w:tc>
          <w:tcPr>
            <w:tcW w:w="7518" w:type="dxa"/>
            <w:vAlign w:val="center"/>
          </w:tcPr>
          <w:p w14:paraId="1F7F51AA">
            <w:pPr>
              <w:pStyle w:val="2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供应商无需提供；</w:t>
            </w:r>
          </w:p>
          <w:p w14:paraId="6151D002">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供应商在领取</w:t>
            </w: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通知书时提供正本壹份，副本贰份，电子版</w:t>
            </w:r>
            <w:r>
              <w:rPr>
                <w:rFonts w:hint="eastAsia" w:ascii="宋体" w:hAnsi="宋体" w:cs="宋体"/>
                <w:color w:val="auto"/>
                <w:kern w:val="0"/>
                <w:sz w:val="21"/>
                <w:szCs w:val="21"/>
                <w:highlight w:val="none"/>
                <w:lang w:val="en-US" w:eastAsia="zh-CN" w:bidi="ar-SA"/>
              </w:rPr>
              <w:t>贰</w:t>
            </w:r>
            <w:r>
              <w:rPr>
                <w:rFonts w:hint="eastAsia" w:ascii="宋体" w:hAnsi="宋体" w:eastAsia="宋体" w:cs="宋体"/>
                <w:color w:val="auto"/>
                <w:kern w:val="0"/>
                <w:sz w:val="21"/>
                <w:szCs w:val="21"/>
                <w:highlight w:val="none"/>
                <w:lang w:val="en-US" w:eastAsia="zh-CN" w:bidi="ar-SA"/>
              </w:rPr>
              <w:t>份。</w:t>
            </w:r>
          </w:p>
        </w:tc>
      </w:tr>
      <w:tr w14:paraId="62ED4F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220983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20</w:t>
            </w:r>
          </w:p>
        </w:tc>
        <w:tc>
          <w:tcPr>
            <w:tcW w:w="1921" w:type="dxa"/>
            <w:vAlign w:val="center"/>
          </w:tcPr>
          <w:p w14:paraId="62F084A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zh-CN" w:eastAsia="zh-CN" w:bidi="ar-SA"/>
              </w:rPr>
              <w:t>文件递交地址</w:t>
            </w:r>
          </w:p>
        </w:tc>
        <w:tc>
          <w:tcPr>
            <w:tcW w:w="7518" w:type="dxa"/>
            <w:vAlign w:val="center"/>
          </w:tcPr>
          <w:p w14:paraId="4BFA8158">
            <w:pPr>
              <w:pStyle w:val="118"/>
              <w:keepNext w:val="0"/>
              <w:keepLines w:val="0"/>
              <w:pageBreakBefore w:val="0"/>
              <w:kinsoku/>
              <w:wordWrap/>
              <w:overflowPunct/>
              <w:topLinePunct w:val="0"/>
              <w:bidi w:val="0"/>
              <w:snapToGrid/>
              <w:spacing w:line="360" w:lineRule="exact"/>
              <w:ind w:left="0" w:leftChars="0"/>
              <w:jc w:val="left"/>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zh-CN" w:eastAsia="zh-CN" w:bidi="ar-SA"/>
              </w:rPr>
              <w:t>递交地址:</w:t>
            </w:r>
            <w:r>
              <w:rPr>
                <w:rFonts w:hint="eastAsia" w:ascii="宋体" w:hAnsi="宋体" w:eastAsia="宋体" w:cs="宋体"/>
                <w:color w:val="auto"/>
                <w:kern w:val="0"/>
                <w:sz w:val="21"/>
                <w:szCs w:val="21"/>
                <w:highlight w:val="none"/>
                <w:lang w:val="en-US" w:eastAsia="zh-CN" w:bidi="ar-SA"/>
              </w:rPr>
              <w:t>全国公共资源交易平台（陕西省·</w:t>
            </w:r>
            <w:r>
              <w:rPr>
                <w:rFonts w:hint="eastAsia" w:cs="宋体"/>
                <w:color w:val="auto"/>
                <w:kern w:val="0"/>
                <w:sz w:val="21"/>
                <w:szCs w:val="21"/>
                <w:highlight w:val="none"/>
                <w:lang w:val="en-US" w:eastAsia="zh-CN" w:bidi="ar-SA"/>
              </w:rPr>
              <w:t>咸阳市</w:t>
            </w:r>
            <w:r>
              <w:rPr>
                <w:rFonts w:hint="eastAsia" w:ascii="宋体" w:hAnsi="宋体" w:eastAsia="宋体" w:cs="宋体"/>
                <w:color w:val="auto"/>
                <w:kern w:val="0"/>
                <w:sz w:val="21"/>
                <w:szCs w:val="21"/>
                <w:highlight w:val="none"/>
                <w:lang w:val="en-US" w:eastAsia="zh-CN" w:bidi="ar-SA"/>
              </w:rPr>
              <w:t>）网站〖首页〉电子交易平台〉陕西政府采购交易系统〉企业端〗在线提交</w:t>
            </w:r>
          </w:p>
        </w:tc>
      </w:tr>
      <w:tr w14:paraId="4DD55C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1834E2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921" w:type="dxa"/>
            <w:vAlign w:val="center"/>
          </w:tcPr>
          <w:p w14:paraId="0CDAE1A9">
            <w:pPr>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供应商资格要求</w:t>
            </w:r>
          </w:p>
        </w:tc>
        <w:tc>
          <w:tcPr>
            <w:tcW w:w="7518" w:type="dxa"/>
            <w:vAlign w:val="center"/>
          </w:tcPr>
          <w:p w14:paraId="29B0DE2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1.满足《中华人民共和国政府采购法》第二十二条规定;</w:t>
            </w:r>
          </w:p>
          <w:p w14:paraId="5C7F419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2.落实政府采购政策需满足的资格要求：</w:t>
            </w:r>
          </w:p>
          <w:p w14:paraId="70DAC0A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2"/>
                <w:sz w:val="21"/>
                <w:szCs w:val="21"/>
                <w:lang w:eastAsia="zh-CN"/>
              </w:rPr>
              <w:t>泾阳县老年人服务中心(泾阳县中心敬老院)提升改造</w:t>
            </w:r>
            <w:r>
              <w:rPr>
                <w:rFonts w:hint="eastAsia" w:cs="宋体"/>
                <w:color w:val="auto"/>
                <w:kern w:val="2"/>
                <w:sz w:val="21"/>
                <w:szCs w:val="21"/>
                <w:lang w:val="en-US" w:eastAsia="zh-CN"/>
              </w:rPr>
              <w:t>项目</w:t>
            </w:r>
            <w:r>
              <w:rPr>
                <w:rFonts w:hint="eastAsia" w:ascii="宋体" w:hAnsi="宋体" w:eastAsia="宋体" w:cs="宋体"/>
                <w:color w:val="auto"/>
                <w:kern w:val="0"/>
                <w:sz w:val="21"/>
                <w:szCs w:val="21"/>
                <w:highlight w:val="none"/>
                <w:shd w:val="clear" w:color="auto" w:fill="FFFFFF"/>
              </w:rPr>
              <w:t>)落实政府采购政策需满足的资格要求如下</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b/>
                <w:bCs/>
                <w:color w:val="000000" w:themeColor="text1"/>
                <w:kern w:val="0"/>
                <w:sz w:val="21"/>
                <w:szCs w:val="21"/>
                <w:highlight w:val="none"/>
                <w:shd w:val="clear" w:color="auto" w:fill="FFFFFF"/>
                <w14:textFill>
                  <w14:solidFill>
                    <w14:schemeClr w14:val="tx1"/>
                  </w14:solidFill>
                </w14:textFill>
              </w:rPr>
              <w:t>本项目专门面向</w:t>
            </w:r>
            <w:r>
              <w:rPr>
                <w:rFonts w:hint="eastAsia" w:ascii="宋体" w:hAnsi="宋体" w:eastAsia="宋体" w:cs="宋体"/>
                <w:b/>
                <w:bCs/>
                <w:color w:val="000000" w:themeColor="text1"/>
                <w:kern w:val="0"/>
                <w:sz w:val="21"/>
                <w:szCs w:val="21"/>
                <w:highlight w:val="none"/>
                <w:shd w:val="clear" w:color="auto" w:fill="FFFFFF"/>
                <w:lang w:val="en-US" w:eastAsia="zh-CN"/>
                <w14:textFill>
                  <w14:solidFill>
                    <w14:schemeClr w14:val="tx1"/>
                  </w14:solidFill>
                </w14:textFill>
              </w:rPr>
              <w:t>中小</w:t>
            </w:r>
            <w:r>
              <w:rPr>
                <w:rFonts w:hint="eastAsia" w:ascii="宋体" w:hAnsi="宋体" w:eastAsia="宋体" w:cs="宋体"/>
                <w:b/>
                <w:bCs/>
                <w:color w:val="000000" w:themeColor="text1"/>
                <w:kern w:val="0"/>
                <w:sz w:val="21"/>
                <w:szCs w:val="21"/>
                <w:highlight w:val="none"/>
                <w:shd w:val="clear" w:color="auto" w:fill="FFFFFF"/>
                <w14:textFill>
                  <w14:solidFill>
                    <w14:schemeClr w14:val="tx1"/>
                  </w14:solidFill>
                </w14:textFill>
              </w:rPr>
              <w:t>企业采购</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w:t>
            </w:r>
          </w:p>
          <w:p w14:paraId="72722ED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3.本项目的特定资格要求：</w:t>
            </w:r>
          </w:p>
          <w:p w14:paraId="796E7439">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20" w:firstLineChars="200"/>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0"/>
                <w:sz w:val="21"/>
                <w:szCs w:val="21"/>
                <w:highlight w:val="none"/>
                <w:shd w:val="clear" w:color="auto" w:fill="FFFFFF"/>
                <w:lang w:eastAsia="zh-CN"/>
              </w:rPr>
              <w:t>泾阳县老年人服务中心(泾阳县中心敬老院)提升改造</w:t>
            </w:r>
            <w:r>
              <w:rPr>
                <w:rFonts w:hint="eastAsia" w:cs="宋体"/>
                <w:color w:val="auto"/>
                <w:kern w:val="0"/>
                <w:sz w:val="21"/>
                <w:szCs w:val="21"/>
                <w:highlight w:val="none"/>
                <w:shd w:val="clear" w:color="auto" w:fill="FFFFFF"/>
                <w:lang w:val="en-US" w:eastAsia="zh-CN"/>
              </w:rPr>
              <w:t>项目</w:t>
            </w:r>
            <w:r>
              <w:rPr>
                <w:rFonts w:hint="eastAsia" w:ascii="宋体" w:hAnsi="宋体" w:eastAsia="宋体" w:cs="宋体"/>
                <w:color w:val="auto"/>
                <w:kern w:val="0"/>
                <w:sz w:val="21"/>
                <w:szCs w:val="21"/>
                <w:highlight w:val="none"/>
                <w:shd w:val="clear" w:color="auto" w:fill="FFFFFF"/>
              </w:rPr>
              <w:t>)特定资格要求如下:</w:t>
            </w:r>
          </w:p>
          <w:p w14:paraId="4B53D0F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1、营业执照等主体资格证明文件：供应商应具有独立承担民事责任的能力的企业法人、事业法人、其他组织或自然人，出具合法有效的营业执照等相关证明文件，自然人参与的提供其身份证明；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0000FF"/>
                <w:kern w:val="0"/>
                <w:sz w:val="21"/>
                <w:szCs w:val="21"/>
                <w:highlight w:val="none"/>
                <w:shd w:val="clear" w:color="auto" w:fill="FFFFFF"/>
              </w:rPr>
              <w:t>3、企业资质：供应商须具备建设行政主管部门颁发的建筑工程施工总承包</w:t>
            </w:r>
            <w:r>
              <w:rPr>
                <w:rFonts w:hint="eastAsia" w:cs="宋体"/>
                <w:color w:val="0000FF"/>
                <w:kern w:val="0"/>
                <w:sz w:val="21"/>
                <w:szCs w:val="21"/>
                <w:highlight w:val="none"/>
                <w:shd w:val="clear" w:color="auto" w:fill="FFFFFF"/>
                <w:lang w:val="en-US" w:eastAsia="zh-CN"/>
              </w:rPr>
              <w:t>二</w:t>
            </w:r>
            <w:r>
              <w:rPr>
                <w:rFonts w:hint="default" w:ascii="宋体" w:hAnsi="宋体" w:eastAsia="宋体" w:cs="宋体"/>
                <w:color w:val="0000FF"/>
                <w:kern w:val="0"/>
                <w:sz w:val="21"/>
                <w:szCs w:val="21"/>
                <w:highlight w:val="none"/>
                <w:shd w:val="clear" w:color="auto" w:fill="FFFFFF"/>
              </w:rPr>
              <w:t>级及以上资质，</w:t>
            </w:r>
            <w:r>
              <w:rPr>
                <w:rFonts w:hint="eastAsia" w:ascii="宋体" w:hAnsi="宋体" w:eastAsia="宋体" w:cs="宋体"/>
                <w:color w:val="0000FF"/>
                <w:kern w:val="0"/>
                <w:sz w:val="21"/>
                <w:szCs w:val="21"/>
                <w:highlight w:val="none"/>
                <w:shd w:val="clear" w:color="auto" w:fill="FFFFFF"/>
                <w:lang w:val="en-US" w:eastAsia="zh-CN"/>
              </w:rPr>
              <w:t>同时</w:t>
            </w:r>
            <w:r>
              <w:rPr>
                <w:rFonts w:hint="eastAsia" w:ascii="宋体" w:hAnsi="宋体" w:eastAsia="宋体" w:cs="宋体"/>
                <w:color w:val="0000FF"/>
                <w:kern w:val="0"/>
                <w:sz w:val="21"/>
                <w:szCs w:val="21"/>
                <w:highlight w:val="none"/>
                <w:shd w:val="clear" w:color="auto" w:fill="FFFFFF"/>
                <w:lang w:val="en-US" w:eastAsia="en-US"/>
              </w:rPr>
              <w:t>具有建设行政主管部门颁发的消防设施工程专业承包二级及以上资质，且具备有效的安全生产许可证</w:t>
            </w:r>
            <w:r>
              <w:rPr>
                <w:rFonts w:hint="eastAsia" w:ascii="宋体" w:hAnsi="宋体" w:eastAsia="宋体" w:cs="宋体"/>
                <w:color w:val="0000FF"/>
                <w:kern w:val="0"/>
                <w:sz w:val="21"/>
                <w:szCs w:val="21"/>
                <w:highlight w:val="none"/>
                <w:shd w:val="clear" w:color="auto" w:fill="FFFFFF"/>
                <w:lang w:val="en-US" w:eastAsia="zh-CN"/>
              </w:rPr>
              <w:t>；</w:t>
            </w:r>
            <w:r>
              <w:rPr>
                <w:rFonts w:hint="default" w:ascii="宋体" w:hAnsi="宋体" w:eastAsia="宋体" w:cs="宋体"/>
                <w:color w:val="0000FF"/>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4、拟派注册建造师：</w:t>
            </w:r>
            <w:r>
              <w:rPr>
                <w:rFonts w:hint="default" w:ascii="宋体" w:hAnsi="宋体" w:eastAsia="宋体" w:cs="宋体"/>
                <w:color w:val="0000FF"/>
                <w:kern w:val="0"/>
                <w:sz w:val="21"/>
                <w:szCs w:val="21"/>
                <w:highlight w:val="none"/>
                <w:shd w:val="clear" w:color="auto" w:fill="FFFFFF"/>
              </w:rPr>
              <w:t>须具有建筑工程专业二级及以上注册建造师执业资格，具有有效的安全生产考核合格证书（B级），且无在建项目；</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5、书面声明：出具参加本次采购活动前三年内在经营活动中没有重大违法记录的书面声明;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6、供应商须提供具有履行合同所必需的设备和专业技术能力的承诺；</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7、财务状况报告：提供2025年度经审计的财务报告（成立时间至提交投标文件截止时间不足一年的可提供成立后任意时段的资产负债表），或在投标截止时间前六个月内其基本开户银行出具的资信证明；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8、社会保障资金缴纳证明：提供采购活动前6个月内任意一个月已缴纳的社会保障资金缴存单据或社保机构开具的社会保险参保缴费情况证明，依法不需要缴纳社会保障资金的应提供相关文件证明；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9、税收缴纳证明：提供采购活动前6个月内任意一个月已缴纳的完税凭证或税务机关开具的完税证明（任意税种），依法免税的单位应提供相关证明材料；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12、本项目为专门面向中小企业项目，供应商应为中小型、微型企业、监狱企业、残疾人福利性单位。</w:t>
            </w:r>
          </w:p>
          <w:p w14:paraId="2740FBB5">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rPr>
              <w:t>13、</w:t>
            </w:r>
            <w:r>
              <w:rPr>
                <w:rFonts w:hint="eastAsia" w:ascii="宋体" w:hAnsi="宋体" w:eastAsia="宋体" w:cs="宋体"/>
                <w:color w:val="auto"/>
                <w:sz w:val="21"/>
                <w:szCs w:val="21"/>
                <w:highlight w:val="none"/>
                <w:lang w:val="en-US" w:eastAsia="zh-CN"/>
              </w:rPr>
              <w:t>本项目不接受联合体磋商</w:t>
            </w:r>
            <w:r>
              <w:rPr>
                <w:rFonts w:hint="eastAsia" w:ascii="宋体" w:hAnsi="宋体" w:eastAsia="宋体" w:cs="宋体"/>
                <w:color w:val="auto"/>
                <w:kern w:val="0"/>
                <w:sz w:val="21"/>
                <w:szCs w:val="21"/>
                <w:highlight w:val="none"/>
                <w:shd w:val="clear" w:color="auto" w:fill="FFFFFF"/>
              </w:rPr>
              <w:t>。</w:t>
            </w:r>
          </w:p>
          <w:p w14:paraId="4B4537DB">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rPr>
              <w:t>以上为必备资质，缺一项或某项达不到求，按无效文件处理。</w:t>
            </w:r>
          </w:p>
          <w:p w14:paraId="292B48AE">
            <w:pPr>
              <w:keepNext w:val="0"/>
              <w:keepLines w:val="0"/>
              <w:pageBreakBefore w:val="0"/>
              <w:widowControl w:val="0"/>
              <w:kinsoku/>
              <w:wordWrap/>
              <w:overflowPunct/>
              <w:topLinePunct w:val="0"/>
              <w:autoSpaceDE/>
              <w:autoSpaceDN/>
              <w:bidi w:val="0"/>
              <w:adjustRightInd/>
              <w:snapToGrid/>
              <w:spacing w:line="360" w:lineRule="exact"/>
              <w:ind w:left="0" w:leftChars="0" w:firstLine="211" w:firstLineChars="1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96E2D56">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（1）分支机构参与投标时，响应文件中应附法人出具的授权书。法人只能授权一家分支机构参与投标，且不能与分支机构同时参与投标。分支机构须提供自己的资格要求证明文件。</w:t>
            </w:r>
          </w:p>
          <w:p w14:paraId="27E002FA">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lang w:val="en-US" w:eastAsia="zh-CN"/>
              </w:rPr>
              <w:t>（2）事业单位法人参与投标可不提供财务状况报告、社会保障资金缴纳证明及税收缴纳证明。</w:t>
            </w:r>
          </w:p>
        </w:tc>
      </w:tr>
      <w:tr w14:paraId="606250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699F6F1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921" w:type="dxa"/>
            <w:vAlign w:val="center"/>
          </w:tcPr>
          <w:p w14:paraId="5A52EED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磋商保证金</w:t>
            </w:r>
          </w:p>
        </w:tc>
        <w:tc>
          <w:tcPr>
            <w:tcW w:w="7518" w:type="dxa"/>
            <w:vAlign w:val="center"/>
          </w:tcPr>
          <w:p w14:paraId="1C34298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0" w:firstLineChars="0"/>
              <w:jc w:val="left"/>
              <w:textAlignment w:val="auto"/>
              <w:rPr>
                <w:rFonts w:hint="eastAsia"/>
                <w:sz w:val="21"/>
                <w:szCs w:val="21"/>
                <w:lang w:val="en-US" w:eastAsia="zh-CN"/>
              </w:rPr>
            </w:pPr>
            <w:r>
              <w:rPr>
                <w:rFonts w:hint="eastAsia" w:ascii="宋体" w:hAnsi="宋体" w:eastAsia="宋体" w:cs="宋体"/>
                <w:color w:val="auto"/>
                <w:sz w:val="21"/>
                <w:szCs w:val="21"/>
                <w:highlight w:val="none"/>
                <w:lang w:val="en-US" w:eastAsia="zh-CN"/>
              </w:rPr>
              <w:t>本项目无磋商保证金</w:t>
            </w:r>
          </w:p>
        </w:tc>
      </w:tr>
      <w:tr w14:paraId="7BBD7F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335E2A2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921" w:type="dxa"/>
            <w:vAlign w:val="center"/>
          </w:tcPr>
          <w:p w14:paraId="548D0D2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w:t>
            </w:r>
          </w:p>
        </w:tc>
        <w:tc>
          <w:tcPr>
            <w:tcW w:w="7518" w:type="dxa"/>
            <w:vAlign w:val="center"/>
          </w:tcPr>
          <w:p w14:paraId="46008B8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本项目无履约保证金</w:t>
            </w:r>
          </w:p>
        </w:tc>
      </w:tr>
      <w:tr w14:paraId="2F0E11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712B1D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921" w:type="dxa"/>
            <w:vAlign w:val="center"/>
          </w:tcPr>
          <w:p w14:paraId="108CCB84">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招标代理服务费</w:t>
            </w:r>
          </w:p>
        </w:tc>
        <w:tc>
          <w:tcPr>
            <w:tcW w:w="7518" w:type="dxa"/>
            <w:vAlign w:val="center"/>
          </w:tcPr>
          <w:p w14:paraId="18C9EC4E">
            <w:pPr>
              <w:keepNext w:val="0"/>
              <w:keepLines w:val="0"/>
              <w:pageBreakBefore w:val="0"/>
              <w:numPr>
                <w:ilvl w:val="0"/>
                <w:numId w:val="0"/>
              </w:numPr>
              <w:kinsoku/>
              <w:wordWrap/>
              <w:overflowPunct/>
              <w:topLinePunct w:val="0"/>
              <w:autoSpaceDE/>
              <w:autoSpaceDN/>
              <w:bidi w:val="0"/>
              <w:adjustRightInd/>
              <w:snapToGrid/>
              <w:spacing w:line="36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本项目无</w:t>
            </w:r>
            <w:r>
              <w:rPr>
                <w:rFonts w:hint="eastAsia" w:ascii="宋体" w:hAnsi="宋体" w:eastAsia="宋体" w:cs="宋体"/>
                <w:color w:val="auto"/>
                <w:sz w:val="21"/>
                <w:szCs w:val="21"/>
                <w:highlight w:val="none"/>
              </w:rPr>
              <w:t>招标代理服务费</w:t>
            </w:r>
          </w:p>
        </w:tc>
      </w:tr>
      <w:tr w14:paraId="7C1F3E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06F661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921" w:type="dxa"/>
            <w:vAlign w:val="center"/>
          </w:tcPr>
          <w:p w14:paraId="04132B1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知识产权</w:t>
            </w:r>
          </w:p>
        </w:tc>
        <w:tc>
          <w:tcPr>
            <w:tcW w:w="7518" w:type="dxa"/>
            <w:vAlign w:val="center"/>
          </w:tcPr>
          <w:p w14:paraId="2EDCA81F">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6A340D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52C2483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921" w:type="dxa"/>
            <w:vAlign w:val="center"/>
          </w:tcPr>
          <w:p w14:paraId="170A69E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评审方法</w:t>
            </w:r>
          </w:p>
        </w:tc>
        <w:tc>
          <w:tcPr>
            <w:tcW w:w="7518" w:type="dxa"/>
            <w:vAlign w:val="center"/>
          </w:tcPr>
          <w:p w14:paraId="5163D8DC">
            <w:pPr>
              <w:keepNext w:val="0"/>
              <w:keepLines w:val="0"/>
              <w:pageBreakBefore w:val="0"/>
              <w:numPr>
                <w:ilvl w:val="0"/>
                <w:numId w:val="0"/>
              </w:numPr>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综合评分法（详见第四章）</w:t>
            </w:r>
          </w:p>
        </w:tc>
      </w:tr>
      <w:tr w14:paraId="1778FD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F67DA5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921" w:type="dxa"/>
            <w:vAlign w:val="center"/>
          </w:tcPr>
          <w:p w14:paraId="4F32D9D3">
            <w:pPr>
              <w:keepNext w:val="0"/>
              <w:keepLines w:val="0"/>
              <w:pageBreakBefore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偏离</w:t>
            </w:r>
          </w:p>
        </w:tc>
        <w:tc>
          <w:tcPr>
            <w:tcW w:w="7518" w:type="dxa"/>
            <w:vAlign w:val="center"/>
          </w:tcPr>
          <w:p w14:paraId="35213124">
            <w:pPr>
              <w:keepNext w:val="0"/>
              <w:keepLines w:val="0"/>
              <w:pageBreakBefore w:val="0"/>
              <w:kinsoku/>
              <w:wordWrap/>
              <w:overflowPunct/>
              <w:topLinePunct w:val="0"/>
              <w:autoSpaceDE/>
              <w:autoSpaceDN/>
              <w:bidi w:val="0"/>
              <w:adjustRightInd/>
              <w:snapToGrid/>
              <w:spacing w:line="360" w:lineRule="exact"/>
              <w:ind w:left="0" w:lef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本项目实质性条款包括但不限于工期、付款方式、质保期等不允许负偏离，否则视为无效响应文件。</w:t>
            </w:r>
          </w:p>
        </w:tc>
      </w:tr>
      <w:tr w14:paraId="5809B6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29829F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921" w:type="dxa"/>
            <w:vAlign w:val="center"/>
          </w:tcPr>
          <w:p w14:paraId="1A85AE6E">
            <w:pPr>
              <w:keepNext w:val="0"/>
              <w:keepLines w:val="0"/>
              <w:pageBreakBefore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履约验收</w:t>
            </w:r>
          </w:p>
        </w:tc>
        <w:tc>
          <w:tcPr>
            <w:tcW w:w="7518" w:type="dxa"/>
            <w:vAlign w:val="center"/>
          </w:tcPr>
          <w:p w14:paraId="4609F4C8">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是否委托采购代理机构组织履约验收：</w:t>
            </w:r>
          </w:p>
          <w:p w14:paraId="7EAEF6E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验收费用由采购人/成交供应商支付，费用标准按成交金额的5‰计算，不足5000元的，按5000元收取。</w:t>
            </w:r>
          </w:p>
          <w:p w14:paraId="2FAFB5E2">
            <w:pPr>
              <w:keepNext w:val="0"/>
              <w:keepLines w:val="0"/>
              <w:pageBreakBefore w:val="0"/>
              <w:kinsoku/>
              <w:wordWrap/>
              <w:overflowPunct/>
              <w:topLinePunct w:val="0"/>
              <w:autoSpaceDE/>
              <w:autoSpaceDN/>
              <w:bidi w:val="0"/>
              <w:adjustRightInd/>
              <w:snapToGrid/>
              <w:spacing w:line="360" w:lineRule="exact"/>
              <w:ind w:left="0" w:leftChars="0"/>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否。</w:t>
            </w:r>
          </w:p>
        </w:tc>
      </w:tr>
      <w:tr w14:paraId="47FCC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D1AEDD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921" w:type="dxa"/>
            <w:vAlign w:val="center"/>
          </w:tcPr>
          <w:p w14:paraId="0804445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信用担保及信用融资</w:t>
            </w:r>
          </w:p>
        </w:tc>
        <w:tc>
          <w:tcPr>
            <w:tcW w:w="7518" w:type="dxa"/>
            <w:vAlign w:val="center"/>
          </w:tcPr>
          <w:p w14:paraId="64CE1ECD">
            <w:pPr>
              <w:keepNext w:val="0"/>
              <w:keepLines w:val="0"/>
              <w:pageBreakBefore w:val="0"/>
              <w:widowControl w:val="0"/>
              <w:kinsoku/>
              <w:wordWrap/>
              <w:overflowPunct/>
              <w:topLinePunct w:val="0"/>
              <w:autoSpaceDE/>
              <w:autoSpaceDN/>
              <w:bidi w:val="0"/>
              <w:adjustRightInd/>
              <w:snapToGrid/>
              <w:spacing w:line="360" w:lineRule="exact"/>
              <w:ind w:left="0" w:left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0D42AD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0C54CB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921" w:type="dxa"/>
            <w:vAlign w:val="center"/>
          </w:tcPr>
          <w:p w14:paraId="7BCD9B2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所属行业</w:t>
            </w:r>
          </w:p>
        </w:tc>
        <w:tc>
          <w:tcPr>
            <w:tcW w:w="7518" w:type="dxa"/>
            <w:vAlign w:val="center"/>
          </w:tcPr>
          <w:p w14:paraId="5E8F97C8">
            <w:pPr>
              <w:pStyle w:val="118"/>
              <w:keepNext w:val="0"/>
              <w:keepLines w:val="0"/>
              <w:pageBreakBefore w:val="0"/>
              <w:numPr>
                <w:ilvl w:val="0"/>
                <w:numId w:val="0"/>
              </w:numPr>
              <w:kinsoku/>
              <w:wordWrap/>
              <w:overflowPunct/>
              <w:topLinePunct w:val="0"/>
              <w:bidi w:val="0"/>
              <w:snapToGrid/>
              <w:spacing w:line="360" w:lineRule="exact"/>
              <w:ind w:left="0" w:lef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本项目所属行业为：建筑业。</w:t>
            </w:r>
          </w:p>
        </w:tc>
      </w:tr>
      <w:tr w14:paraId="703C45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C3AA20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921" w:type="dxa"/>
            <w:vAlign w:val="center"/>
          </w:tcPr>
          <w:p w14:paraId="6AFDC99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响应文件和证明资料签字、盖章要求</w:t>
            </w:r>
          </w:p>
        </w:tc>
        <w:tc>
          <w:tcPr>
            <w:tcW w:w="7518" w:type="dxa"/>
            <w:vAlign w:val="center"/>
          </w:tcPr>
          <w:p w14:paraId="428A1A74">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1、按第八章响应文件格式中要求签字和盖章。</w:t>
            </w:r>
          </w:p>
          <w:p w14:paraId="2D7A6342">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2、证明资料复印件、扫描件加盖供应商公章。</w:t>
            </w:r>
          </w:p>
          <w:p w14:paraId="21AC2DE8">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3、投标报价的计价成果文件封面必须由造价人员签字并加盖执业专用章。</w:t>
            </w:r>
          </w:p>
        </w:tc>
      </w:tr>
      <w:tr w14:paraId="12081C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tblHeader/>
          <w:jc w:val="center"/>
        </w:trPr>
        <w:tc>
          <w:tcPr>
            <w:tcW w:w="613" w:type="dxa"/>
            <w:vAlign w:val="center"/>
          </w:tcPr>
          <w:p w14:paraId="3D2A585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1921" w:type="dxa"/>
            <w:vAlign w:val="center"/>
          </w:tcPr>
          <w:p w14:paraId="4ECD6C1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条款名称</w:t>
            </w:r>
          </w:p>
        </w:tc>
        <w:tc>
          <w:tcPr>
            <w:tcW w:w="7518" w:type="dxa"/>
            <w:vAlign w:val="center"/>
          </w:tcPr>
          <w:p w14:paraId="0858B77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说明和要求</w:t>
            </w:r>
          </w:p>
        </w:tc>
      </w:tr>
      <w:tr w14:paraId="0AD455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1E936DA">
            <w:pPr>
              <w:pStyle w:val="118"/>
              <w:keepNext w:val="0"/>
              <w:keepLines w:val="0"/>
              <w:pageBreakBefore w:val="0"/>
              <w:kinsoku/>
              <w:wordWrap/>
              <w:overflowPunct/>
              <w:topLinePunct w:val="0"/>
              <w:bidi w:val="0"/>
              <w:snapToGrid/>
              <w:spacing w:line="360" w:lineRule="exact"/>
              <w:ind w:left="0" w:leftChars="0"/>
              <w:jc w:val="center"/>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32</w:t>
            </w:r>
          </w:p>
        </w:tc>
        <w:tc>
          <w:tcPr>
            <w:tcW w:w="1921" w:type="dxa"/>
            <w:vAlign w:val="center"/>
          </w:tcPr>
          <w:p w14:paraId="7FDF3C25">
            <w:pPr>
              <w:spacing w:before="171" w:line="219" w:lineRule="auto"/>
              <w:jc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eastAsia="zh-CN" w:bidi="ar-SA"/>
              </w:rPr>
              <w:t>不见面开标</w:t>
            </w:r>
          </w:p>
        </w:tc>
        <w:tc>
          <w:tcPr>
            <w:tcW w:w="7518" w:type="dxa"/>
            <w:vAlign w:val="center"/>
          </w:tcPr>
          <w:p w14:paraId="3C3C822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为方便供应商并降低投标成本，该项目将采取“不见面”开标的形式，供应商无须到达开标现场，即可在网上直接参与开标活动。相关注意事项如下：</w:t>
            </w:r>
          </w:p>
          <w:p w14:paraId="50EE08F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当日</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请各供应商至少提前一小时登录“不见面”开标大厅，并按要求在</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前签到，并保持在线按照主持人指令进行</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文件解密，直到主持人宣布</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结束后方可退出开标大厅。</w:t>
            </w:r>
          </w:p>
          <w:p w14:paraId="5E25520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供应商无需提交纸质投标文件，待项目成交采购结果公布后，由中标</w:t>
            </w: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供应商补交一正两副纸质</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文件用于备案（正本留</w:t>
            </w:r>
            <w:r>
              <w:rPr>
                <w:rFonts w:hint="eastAsia" w:ascii="宋体" w:hAnsi="宋体" w:cs="宋体"/>
                <w:color w:val="auto"/>
                <w:kern w:val="0"/>
                <w:sz w:val="21"/>
                <w:szCs w:val="21"/>
                <w:highlight w:val="none"/>
                <w:lang w:val="en-US" w:eastAsia="zh-CN" w:bidi="ar-SA"/>
              </w:rPr>
              <w:t>泾阳县政府采购</w:t>
            </w:r>
            <w:r>
              <w:rPr>
                <w:rFonts w:hint="eastAsia" w:ascii="宋体" w:hAnsi="宋体" w:eastAsia="宋体" w:cs="宋体"/>
                <w:color w:val="auto"/>
                <w:kern w:val="0"/>
                <w:sz w:val="21"/>
                <w:szCs w:val="21"/>
                <w:highlight w:val="none"/>
                <w:lang w:val="en-US" w:eastAsia="zh-CN" w:bidi="ar-SA"/>
              </w:rPr>
              <w:t>中心，副本留采购单位）。</w:t>
            </w:r>
          </w:p>
          <w:p w14:paraId="258C9821">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过程中，供应商在收到工作人员“开始解密”指令后，应在30分钟内使用CA对电子投标文件进行解密，超时仍未解密视为无效</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文件，解密时所用CA 应与 加密</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文件时所用CA 相同；评审过程中，</w:t>
            </w:r>
            <w:r>
              <w:rPr>
                <w:rFonts w:hint="eastAsia" w:ascii="宋体" w:hAnsi="宋体" w:cs="宋体"/>
                <w:color w:val="auto"/>
                <w:kern w:val="0"/>
                <w:sz w:val="21"/>
                <w:szCs w:val="21"/>
                <w:highlight w:val="none"/>
                <w:lang w:val="en-US" w:eastAsia="zh-CN" w:bidi="ar-SA"/>
              </w:rPr>
              <w:t>磋商小组</w:t>
            </w:r>
            <w:r>
              <w:rPr>
                <w:rFonts w:hint="eastAsia" w:ascii="宋体" w:hAnsi="宋体" w:eastAsia="宋体" w:cs="宋体"/>
                <w:color w:val="auto"/>
                <w:kern w:val="0"/>
                <w:sz w:val="21"/>
                <w:szCs w:val="21"/>
                <w:highlight w:val="none"/>
                <w:lang w:val="en-US" w:eastAsia="zh-CN" w:bidi="ar-SA"/>
              </w:rPr>
              <w:t>可能会就某些问题要求供应商进行在线澄清。</w:t>
            </w:r>
          </w:p>
          <w:p w14:paraId="4A6422EE">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、相关技术问题，请咨询软件开发商：</w:t>
            </w:r>
          </w:p>
          <w:p w14:paraId="540B75E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技术支持热线：400-998-0000/400-928-0095</w:t>
            </w:r>
          </w:p>
          <w:p w14:paraId="652EDA6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供应商自行下载不见面开标投标供应商操作手册，并严格按照手册要求进行系统配置。若未按要求配置造成无法签到、无法解密等情况导致投标失败的投标供应商自行承担后果。（下载路径：全国公共资源交易平台（陕西省.咸阳市）-服务指南-下载专区-咸阳市公共资源交易中心不见面开标大厅投标人操作手册）</w:t>
            </w:r>
            <w:r>
              <w:rPr>
                <w:rFonts w:hint="eastAsia" w:ascii="宋体" w:hAnsi="宋体" w:cs="宋体"/>
                <w:color w:val="auto"/>
                <w:kern w:val="0"/>
                <w:sz w:val="21"/>
                <w:szCs w:val="21"/>
                <w:highlight w:val="none"/>
                <w:lang w:val="en-US" w:eastAsia="zh-CN" w:bidi="ar-SA"/>
              </w:rPr>
              <w:t>。</w:t>
            </w:r>
          </w:p>
        </w:tc>
      </w:tr>
      <w:tr w14:paraId="777A3A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13" w:type="dxa"/>
            <w:vAlign w:val="center"/>
          </w:tcPr>
          <w:p w14:paraId="50DC06BE">
            <w:pPr>
              <w:pStyle w:val="118"/>
              <w:keepNext w:val="0"/>
              <w:keepLines w:val="0"/>
              <w:pageBreakBefore w:val="0"/>
              <w:kinsoku/>
              <w:wordWrap/>
              <w:overflowPunct/>
              <w:topLinePunct w:val="0"/>
              <w:bidi w:val="0"/>
              <w:snapToGrid/>
              <w:spacing w:line="360" w:lineRule="exact"/>
              <w:ind w:left="0" w:leftChars="0"/>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33</w:t>
            </w:r>
          </w:p>
        </w:tc>
        <w:tc>
          <w:tcPr>
            <w:tcW w:w="1921" w:type="dxa"/>
            <w:vAlign w:val="center"/>
          </w:tcPr>
          <w:p w14:paraId="1F580878">
            <w:pPr>
              <w:spacing w:before="171" w:line="219"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注意事项</w:t>
            </w:r>
          </w:p>
        </w:tc>
        <w:tc>
          <w:tcPr>
            <w:tcW w:w="7518" w:type="dxa"/>
            <w:vAlign w:val="center"/>
          </w:tcPr>
          <w:p w14:paraId="66D60CD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供应商应随时留意可能发布的变更公告， 因供应商未及时关注所造或的一 切后果由供应商自行承担。</w:t>
            </w:r>
          </w:p>
        </w:tc>
      </w:tr>
    </w:tbl>
    <w:p w14:paraId="0BA3DB78">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3AA3E435">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7AEFCD30">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56928BE9">
      <w:pPr>
        <w:rPr>
          <w:rFonts w:hint="eastAsia"/>
          <w:lang w:val="en-US" w:eastAsia="zh-CN"/>
        </w:rPr>
      </w:pPr>
    </w:p>
    <w:p w14:paraId="04EF1064">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33B07CD8">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63232A4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0961E3F2">
      <w:pPr>
        <w:rPr>
          <w:rFonts w:hint="eastAsia" w:ascii="宋体" w:hAnsi="宋体" w:eastAsia="宋体" w:cs="宋体"/>
          <w:b/>
          <w:color w:val="auto"/>
          <w:sz w:val="36"/>
          <w:szCs w:val="36"/>
          <w:highlight w:val="none"/>
          <w:lang w:val="en-US" w:eastAsia="zh-CN"/>
        </w:rPr>
      </w:pPr>
    </w:p>
    <w:p w14:paraId="32705ED8">
      <w:pPr>
        <w:rPr>
          <w:rFonts w:hint="eastAsia" w:ascii="宋体" w:hAnsi="宋体" w:eastAsia="宋体" w:cs="宋体"/>
          <w:b/>
          <w:color w:val="auto"/>
          <w:sz w:val="36"/>
          <w:szCs w:val="36"/>
          <w:highlight w:val="none"/>
          <w:lang w:val="en-US" w:eastAsia="zh-CN"/>
        </w:rPr>
      </w:pPr>
    </w:p>
    <w:p w14:paraId="54551A9F">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zh-CN" w:eastAsia="zh-CN"/>
        </w:rPr>
      </w:pPr>
      <w:bookmarkStart w:id="5" w:name="_Toc14856"/>
      <w:r>
        <w:rPr>
          <w:rFonts w:hint="eastAsia" w:ascii="宋体" w:hAnsi="宋体" w:eastAsia="宋体" w:cs="宋体"/>
          <w:b/>
          <w:color w:val="auto"/>
          <w:sz w:val="36"/>
          <w:szCs w:val="36"/>
          <w:highlight w:val="none"/>
          <w:lang w:val="en-US" w:eastAsia="zh-CN"/>
        </w:rPr>
        <w:t xml:space="preserve">第三章 </w:t>
      </w:r>
      <w:r>
        <w:rPr>
          <w:rFonts w:hint="eastAsia" w:ascii="宋体" w:hAnsi="宋体" w:eastAsia="宋体" w:cs="宋体"/>
          <w:b/>
          <w:color w:val="auto"/>
          <w:sz w:val="36"/>
          <w:szCs w:val="36"/>
          <w:highlight w:val="none"/>
          <w:lang w:val="zh-CN" w:eastAsia="zh-CN"/>
        </w:rPr>
        <w:t>供应商须知</w:t>
      </w:r>
      <w:bookmarkEnd w:id="5"/>
    </w:p>
    <w:p w14:paraId="3EA8DD9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6" w:name="_Toc26517"/>
      <w:bookmarkStart w:id="7" w:name="_Toc23881"/>
      <w:bookmarkStart w:id="8" w:name="_Toc29046"/>
      <w:r>
        <w:rPr>
          <w:rFonts w:hint="eastAsia" w:ascii="宋体" w:hAnsi="宋体" w:eastAsia="宋体" w:cs="宋体"/>
          <w:b/>
          <w:color w:val="auto"/>
          <w:sz w:val="28"/>
          <w:szCs w:val="28"/>
          <w:highlight w:val="none"/>
          <w:lang w:val="en-US" w:eastAsia="zh-CN"/>
        </w:rPr>
        <w:t>A</w:t>
      </w:r>
      <w:r>
        <w:rPr>
          <w:rFonts w:hint="eastAsia" w:ascii="宋体" w:hAnsi="宋体" w:eastAsia="宋体" w:cs="宋体"/>
          <w:b/>
          <w:color w:val="auto"/>
          <w:sz w:val="28"/>
          <w:szCs w:val="28"/>
          <w:highlight w:val="none"/>
          <w:lang w:val="zh-CN" w:eastAsia="zh-CN"/>
        </w:rPr>
        <w:t>、总则</w:t>
      </w:r>
      <w:bookmarkEnd w:id="6"/>
      <w:bookmarkEnd w:id="7"/>
      <w:bookmarkEnd w:id="8"/>
    </w:p>
    <w:p w14:paraId="1338D92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1、资金来源</w:t>
      </w:r>
    </w:p>
    <w:p w14:paraId="0000996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本次竞争性磋商所签合同使用国有资金支付，资金已落实到位。</w:t>
      </w:r>
    </w:p>
    <w:p w14:paraId="3F947E5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lang w:val="zh-CN"/>
        </w:rPr>
        <w:t>、</w:t>
      </w:r>
      <w:r>
        <w:rPr>
          <w:rFonts w:hint="eastAsia" w:ascii="宋体" w:hAnsi="宋体" w:eastAsia="宋体" w:cs="宋体"/>
          <w:b/>
          <w:color w:val="auto"/>
          <w:sz w:val="21"/>
          <w:szCs w:val="21"/>
          <w:highlight w:val="none"/>
          <w:lang w:val="en-US" w:eastAsia="zh-CN"/>
        </w:rPr>
        <w:t>名词解释</w:t>
      </w:r>
    </w:p>
    <w:p w14:paraId="38FD46F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1、采购人：</w:t>
      </w:r>
      <w:r>
        <w:rPr>
          <w:rFonts w:hint="eastAsia" w:ascii="宋体" w:hAnsi="宋体" w:cs="宋体"/>
          <w:color w:val="auto"/>
          <w:sz w:val="21"/>
          <w:szCs w:val="21"/>
          <w:highlight w:val="none"/>
          <w:lang w:val="zh-CN"/>
        </w:rPr>
        <w:t>泾阳县老年人服务中心(泾阳县中心敬老院)</w:t>
      </w:r>
    </w:p>
    <w:p w14:paraId="2A0489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2、监督机构：</w:t>
      </w:r>
      <w:r>
        <w:rPr>
          <w:rFonts w:hint="eastAsia" w:ascii="宋体" w:hAnsi="宋体" w:cs="宋体"/>
          <w:color w:val="auto"/>
          <w:sz w:val="21"/>
          <w:szCs w:val="21"/>
          <w:highlight w:val="none"/>
          <w:lang w:val="zh-CN"/>
        </w:rPr>
        <w:t>泾阳县</w:t>
      </w:r>
      <w:r>
        <w:rPr>
          <w:rFonts w:hint="eastAsia" w:ascii="宋体" w:hAnsi="宋体" w:eastAsia="宋体" w:cs="宋体"/>
          <w:color w:val="auto"/>
          <w:sz w:val="21"/>
          <w:szCs w:val="21"/>
          <w:highlight w:val="none"/>
          <w:lang w:val="en-US" w:eastAsia="zh-CN"/>
        </w:rPr>
        <w:t>财政局</w:t>
      </w:r>
    </w:p>
    <w:p w14:paraId="4295351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lang w:val="zh-CN"/>
        </w:rPr>
        <w:t>、采购代理机构：</w:t>
      </w:r>
      <w:r>
        <w:rPr>
          <w:rFonts w:hint="eastAsia" w:ascii="宋体" w:hAnsi="宋体" w:cs="宋体"/>
          <w:color w:val="auto"/>
          <w:sz w:val="21"/>
          <w:szCs w:val="21"/>
          <w:highlight w:val="none"/>
          <w:lang w:val="zh-CN"/>
        </w:rPr>
        <w:t>泾阳县政府采购中心</w:t>
      </w:r>
    </w:p>
    <w:p w14:paraId="45C13D1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lang w:val="zh-CN"/>
        </w:rPr>
        <w:t>、供应商：响应磋商并且符合竞争性磋商文件规定资格条件和参加磋商竞争的法人或其他组织或自然人。</w:t>
      </w:r>
    </w:p>
    <w:p w14:paraId="1C18A0B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2.5、竞争性磋商文件：由采购人或采购代理机构发出的文本、文件，包括全部章节和附件及答疑会议纪要。</w:t>
      </w:r>
    </w:p>
    <w:p w14:paraId="1EDFC07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2.6、磋商响应文件：磋商供应商根据本竞争性磋商文件向采购人提交的全部文件。</w:t>
      </w:r>
    </w:p>
    <w:p w14:paraId="34E49010">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rPr>
        <w:t>磋商费用</w:t>
      </w:r>
    </w:p>
    <w:p w14:paraId="66DA450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无论磋商结果如何，磋商供应商自行承担与参加磋商活动有关的全部费用。</w:t>
      </w:r>
    </w:p>
    <w:p w14:paraId="3D51E469">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zh-CN"/>
        </w:rPr>
        <w:t>合格的供应商</w:t>
      </w:r>
    </w:p>
    <w:p w14:paraId="45E9CC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.1、《中华人民共和国政府采购法》第二十二条第一款规定的供应商基本资格条件:</w:t>
      </w:r>
    </w:p>
    <w:p w14:paraId="5173674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1）具有独立承担民事责任的能力；</w:t>
      </w:r>
    </w:p>
    <w:p w14:paraId="6C6310E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2）具有良好的商业信誉和健全的财务会计制度；</w:t>
      </w:r>
    </w:p>
    <w:p w14:paraId="3332CA2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3）具有履行合同所必需的设备和专业技术能力；</w:t>
      </w:r>
    </w:p>
    <w:p w14:paraId="1E8ECA7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4）有依法缴纳税收和社会保障资金的良好记录；</w:t>
      </w:r>
    </w:p>
    <w:p w14:paraId="0B60B595">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5）参加政府采购活动前三年内，在经营活动中没有重大违法记录；</w:t>
      </w:r>
    </w:p>
    <w:p w14:paraId="74132AD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6）法律、行政法规规定的其他条件。</w:t>
      </w:r>
    </w:p>
    <w:p w14:paraId="6421EC2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.2、根据本次采购项目的要求，规定的供应商特殊条件（见</w:t>
      </w:r>
      <w:r>
        <w:rPr>
          <w:rFonts w:hint="eastAsia" w:ascii="宋体" w:hAnsi="宋体" w:eastAsia="宋体" w:cs="宋体"/>
          <w:color w:val="auto"/>
          <w:sz w:val="21"/>
          <w:szCs w:val="21"/>
          <w:highlight w:val="none"/>
          <w:lang w:val="zh-CN" w:eastAsia="zh-CN"/>
        </w:rPr>
        <w:t>竞争性磋商须知</w:t>
      </w:r>
      <w:r>
        <w:rPr>
          <w:rFonts w:hint="eastAsia" w:ascii="宋体" w:hAnsi="宋体" w:eastAsia="宋体" w:cs="宋体"/>
          <w:color w:val="auto"/>
          <w:sz w:val="21"/>
          <w:szCs w:val="21"/>
          <w:highlight w:val="none"/>
          <w:lang w:val="zh-CN"/>
        </w:rPr>
        <w:t>）。</w:t>
      </w:r>
    </w:p>
    <w:p w14:paraId="5413BFE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均为无效磋商。</w:t>
      </w:r>
    </w:p>
    <w:p w14:paraId="231C55F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rPr>
        <w:t>.4、供应商不得直接或间接地与采购人或采购代理机构有任何关联，亦不得是采购人或采购代理机构的附属机构。如果供应商在磋商中隐瞒了上述关系，一经证实，则该磋商无效。</w:t>
      </w:r>
    </w:p>
    <w:p w14:paraId="6DB1D32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val="zh-CN"/>
        </w:rPr>
        <w:t>、联合体磋商：不接受联合体磋商。</w:t>
      </w:r>
    </w:p>
    <w:p w14:paraId="15C3859E">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en-US" w:eastAsia="zh-CN"/>
        </w:rPr>
        <w:t>5、</w:t>
      </w:r>
      <w:r>
        <w:rPr>
          <w:rFonts w:hint="eastAsia" w:ascii="宋体" w:hAnsi="宋体" w:eastAsia="宋体" w:cs="宋体"/>
          <w:b/>
          <w:bCs/>
          <w:color w:val="auto"/>
          <w:sz w:val="21"/>
          <w:szCs w:val="21"/>
          <w:highlight w:val="none"/>
          <w:shd w:val="clear" w:color="auto" w:fill="auto"/>
          <w:lang w:val="zh-CN" w:eastAsia="zh-CN"/>
        </w:rPr>
        <w:t>合格的磋商响应人和合格的服务</w:t>
      </w:r>
    </w:p>
    <w:p w14:paraId="3D9345F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zh-CN"/>
        </w:rPr>
        <w:t>凡具有法人资格，具有独立承担民事责任的能力；遵守国家法律、行政法规，具有良好的信誉及履行合同的能力和良好的履行合同记录，资金状况良好；具有履行合同所必需的服务和专业技术能力，有依法缴纳税收和社会保障资金的良好纪录；参加政府采购活动前三年内，在经营活动中没有重大违法纪录。</w:t>
      </w:r>
    </w:p>
    <w:p w14:paraId="04FF933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6、竞争性磋商响应文件内容的真实性</w:t>
      </w:r>
    </w:p>
    <w:p w14:paraId="22F893D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2BD544E">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shd w:val="clear" w:color="auto" w:fill="auto"/>
          <w:lang w:val="zh-CN" w:eastAsia="zh-CN"/>
        </w:rPr>
      </w:pPr>
      <w:bookmarkStart w:id="9" w:name="_Toc7646"/>
      <w:bookmarkStart w:id="10" w:name="_Toc24931"/>
      <w:bookmarkStart w:id="11" w:name="_Toc28088"/>
      <w:r>
        <w:rPr>
          <w:rFonts w:hint="eastAsia" w:ascii="宋体" w:hAnsi="宋体" w:eastAsia="宋体" w:cs="宋体"/>
          <w:b/>
          <w:color w:val="auto"/>
          <w:sz w:val="28"/>
          <w:szCs w:val="28"/>
          <w:highlight w:val="none"/>
          <w:shd w:val="clear" w:color="auto" w:fill="auto"/>
          <w:lang w:val="en-US" w:eastAsia="zh-CN"/>
        </w:rPr>
        <w:t>B</w:t>
      </w:r>
      <w:r>
        <w:rPr>
          <w:rFonts w:hint="eastAsia" w:ascii="宋体" w:hAnsi="宋体" w:eastAsia="宋体" w:cs="宋体"/>
          <w:b/>
          <w:color w:val="auto"/>
          <w:sz w:val="28"/>
          <w:szCs w:val="28"/>
          <w:highlight w:val="none"/>
          <w:shd w:val="clear" w:color="auto" w:fill="auto"/>
          <w:lang w:val="zh-CN" w:eastAsia="zh-CN"/>
        </w:rPr>
        <w:t>、竞争性磋商文件</w:t>
      </w:r>
      <w:bookmarkEnd w:id="9"/>
      <w:bookmarkEnd w:id="10"/>
      <w:bookmarkEnd w:id="11"/>
    </w:p>
    <w:p w14:paraId="0D6091AB">
      <w:pPr>
        <w:keepNext w:val="0"/>
        <w:keepLines w:val="0"/>
        <w:pageBreakBefore w:val="0"/>
        <w:widowControl w:val="0"/>
        <w:kinsoku/>
        <w:wordWrap/>
        <w:overflowPunct/>
        <w:topLinePunct w:val="0"/>
        <w:bidi w:val="0"/>
        <w:snapToGrid w:val="0"/>
        <w:spacing w:line="400" w:lineRule="exact"/>
        <w:ind w:left="0" w:leftChars="0" w:firstLine="422" w:firstLineChars="200"/>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7、磋商文件的构成</w:t>
      </w:r>
    </w:p>
    <w:p w14:paraId="7BAB2CC6">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7.1</w:t>
      </w:r>
      <w:r>
        <w:rPr>
          <w:rFonts w:hint="eastAsia" w:ascii="宋体" w:hAnsi="宋体" w:eastAsia="宋体" w:cs="宋体"/>
          <w:color w:val="auto"/>
          <w:sz w:val="21"/>
          <w:szCs w:val="21"/>
          <w:highlight w:val="none"/>
          <w:shd w:val="clear" w:color="auto" w:fill="auto"/>
        </w:rPr>
        <w:t>、磋商文件组成：采购文件是根据本项目的特点和需求编制，包括以下内容：</w:t>
      </w:r>
    </w:p>
    <w:p w14:paraId="631C2F50">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竞争性磋商公告</w:t>
      </w:r>
    </w:p>
    <w:p w14:paraId="6ECCADC6">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（2）竞争性磋商须知</w:t>
      </w:r>
    </w:p>
    <w:p w14:paraId="4A3EDAC3">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（3）供应商须知</w:t>
      </w:r>
    </w:p>
    <w:p w14:paraId="256EE04A">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（4）评审办法</w:t>
      </w:r>
    </w:p>
    <w:p w14:paraId="7922E591">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lang w:val="en-US" w:eastAsia="zh-CN"/>
        </w:rPr>
        <w:t>施工内容及技术要求</w:t>
      </w:r>
    </w:p>
    <w:p w14:paraId="1A986014">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lang w:val="en-US" w:eastAsia="zh-CN"/>
        </w:rPr>
        <w:t>工程量清单</w:t>
      </w:r>
    </w:p>
    <w:p w14:paraId="43F7418B">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（7）合同协议书</w:t>
      </w:r>
    </w:p>
    <w:p w14:paraId="1CF3900D">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（8）响应文件格式</w:t>
      </w:r>
    </w:p>
    <w:p w14:paraId="2784CCAC">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val="0"/>
          <w:color w:val="auto"/>
          <w:sz w:val="21"/>
          <w:szCs w:val="21"/>
          <w:highlight w:val="none"/>
          <w:shd w:val="clear" w:color="auto" w:fill="auto"/>
          <w:lang w:val="zh-CN"/>
        </w:rPr>
      </w:pPr>
      <w:r>
        <w:rPr>
          <w:rFonts w:hint="eastAsia" w:ascii="宋体" w:hAnsi="宋体" w:eastAsia="宋体" w:cs="宋体"/>
          <w:b w:val="0"/>
          <w:bCs w:val="0"/>
          <w:color w:val="auto"/>
          <w:sz w:val="21"/>
          <w:szCs w:val="21"/>
          <w:highlight w:val="none"/>
          <w:shd w:val="clear" w:color="auto" w:fill="auto"/>
          <w:lang w:val="en-US" w:eastAsia="zh-CN"/>
        </w:rPr>
        <w:t>7.</w:t>
      </w:r>
      <w:r>
        <w:rPr>
          <w:rFonts w:hint="eastAsia" w:ascii="宋体" w:hAnsi="宋体" w:eastAsia="宋体" w:cs="宋体"/>
          <w:b w:val="0"/>
          <w:bCs w:val="0"/>
          <w:color w:val="auto"/>
          <w:sz w:val="21"/>
          <w:szCs w:val="21"/>
          <w:highlight w:val="none"/>
          <w:shd w:val="clear" w:color="auto" w:fill="auto"/>
          <w:lang w:val="zh-CN"/>
        </w:rPr>
        <w:t>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1160E856">
      <w:pPr>
        <w:keepNext w:val="0"/>
        <w:keepLines w:val="0"/>
        <w:pageBreakBefore w:val="0"/>
        <w:widowControl w:val="0"/>
        <w:kinsoku/>
        <w:wordWrap/>
        <w:overflowPunct/>
        <w:topLinePunct w:val="0"/>
        <w:autoSpaceDE w:val="0"/>
        <w:autoSpaceDN w:val="0"/>
        <w:bidi w:val="0"/>
        <w:adjustRightInd w:val="0"/>
        <w:spacing w:line="400" w:lineRule="exact"/>
        <w:ind w:left="0" w:leftChars="0" w:firstLine="422" w:firstLineChars="200"/>
        <w:textAlignment w:val="auto"/>
        <w:rPr>
          <w:rFonts w:hint="eastAsia" w:ascii="宋体" w:hAnsi="宋体" w:eastAsia="宋体" w:cs="宋体"/>
          <w:b/>
          <w:bCs/>
          <w:color w:val="auto"/>
          <w:sz w:val="21"/>
          <w:szCs w:val="21"/>
          <w:highlight w:val="none"/>
          <w:shd w:val="clear" w:color="auto" w:fill="auto"/>
          <w:lang w:val="zh-CN"/>
        </w:rPr>
      </w:pPr>
      <w:r>
        <w:rPr>
          <w:rFonts w:hint="eastAsia" w:ascii="宋体" w:hAnsi="宋体" w:eastAsia="宋体" w:cs="宋体"/>
          <w:b/>
          <w:bCs/>
          <w:color w:val="auto"/>
          <w:sz w:val="21"/>
          <w:szCs w:val="21"/>
          <w:highlight w:val="none"/>
          <w:shd w:val="clear" w:color="auto" w:fill="auto"/>
          <w:lang w:val="en-US" w:eastAsia="zh-CN"/>
        </w:rPr>
        <w:t>8</w:t>
      </w:r>
      <w:r>
        <w:rPr>
          <w:rFonts w:hint="eastAsia" w:ascii="宋体" w:hAnsi="宋体" w:eastAsia="宋体" w:cs="宋体"/>
          <w:b/>
          <w:bCs/>
          <w:color w:val="auto"/>
          <w:sz w:val="21"/>
          <w:szCs w:val="21"/>
          <w:highlight w:val="none"/>
          <w:shd w:val="clear" w:color="auto" w:fill="auto"/>
          <w:lang w:val="zh-CN"/>
        </w:rPr>
        <w:t>、磋商文件的澄清或修改</w:t>
      </w:r>
    </w:p>
    <w:p w14:paraId="260713A6">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1、在竞争性磋商响应文件截止时间前，采购代理机构可以视采购具体情况，延长竞争性磋商响应文件递交截止时间和磋商时间并在财政部门指定的媒体上发布变更公告，同时将变更时间通知所有获取竞争性磋商文件的供应商。</w:t>
      </w:r>
    </w:p>
    <w:p w14:paraId="0ED5D0D8">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2、提交响应文件截止之间前，采购人或采购代理机构有权对已发出的磋商文件进行必要的澄清或修改，澄清或修改的内容作为磋商文件的组成部分。澄清或修改的内容可能影响响应文件编制的，采购代理机构应在提交响应文件截止时间至少5日前，通知所有获得磋商文件的供应商；不足5日的，采购代理机构应当顺延提交响应文件截止时间。</w:t>
      </w:r>
    </w:p>
    <w:p w14:paraId="387163E1">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w:t>
      </w:r>
      <w:r>
        <w:rPr>
          <w:rFonts w:hint="eastAsia" w:ascii="宋体" w:hAnsi="宋体" w:eastAsia="宋体" w:cs="宋体"/>
          <w:b w:val="0"/>
          <w:bCs/>
          <w:color w:val="auto"/>
          <w:sz w:val="21"/>
          <w:szCs w:val="21"/>
          <w:highlight w:val="none"/>
          <w:shd w:val="clear" w:color="auto" w:fill="auto"/>
          <w:lang w:val="en-US" w:eastAsia="zh-CN"/>
        </w:rPr>
        <w:t>3</w:t>
      </w:r>
      <w:r>
        <w:rPr>
          <w:rFonts w:hint="eastAsia" w:ascii="宋体" w:hAnsi="宋体" w:eastAsia="宋体" w:cs="宋体"/>
          <w:b w:val="0"/>
          <w:bCs/>
          <w:color w:val="auto"/>
          <w:sz w:val="21"/>
          <w:szCs w:val="21"/>
          <w:highlight w:val="none"/>
          <w:shd w:val="clear" w:color="auto" w:fill="auto"/>
          <w:lang w:val="zh-CN"/>
        </w:rPr>
        <w:t>、任何要求对磋商文件进行澄清的磋商供应商，均应在响应文件递交截止时间3天前，通知采购代理机构,由代理机构汇总后统一进行答复，并通知所有参与竞争性磋商的供应商。</w:t>
      </w:r>
    </w:p>
    <w:p w14:paraId="149FD1D4">
      <w:pPr>
        <w:keepNext w:val="0"/>
        <w:keepLines w:val="0"/>
        <w:pageBreakBefore w:val="0"/>
        <w:widowControl w:val="0"/>
        <w:kinsoku/>
        <w:wordWrap/>
        <w:overflowPunct/>
        <w:topLinePunct w:val="0"/>
        <w:bidi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8.4、当竞争性磋商文件的澄清、修改、补充等在同一内容的表述上不一致时，以最后发出的文件为准。所有补充文件将作为竞争性磋商文件的组成部分，对所有供应商具有约束力。</w:t>
      </w:r>
    </w:p>
    <w:p w14:paraId="2C631669">
      <w:pPr>
        <w:keepNext w:val="0"/>
        <w:keepLines w:val="0"/>
        <w:pageBreakBefore w:val="0"/>
        <w:widowControl w:val="0"/>
        <w:kinsoku/>
        <w:wordWrap/>
        <w:overflowPunct/>
        <w:topLinePunct w:val="0"/>
        <w:bidi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8.5、供应商若对磋商文件有任何疑问，可以向采购代理机构提出询问。否则，视为同意磋商文件的一切条款和要求并承担由此引起的一切法律责任。凡因供应商对磋商文件阅读不深、理解不透、误解、疏漏、或因市场行情了解不清造成的后果和风险均由供应商自负。</w:t>
      </w:r>
    </w:p>
    <w:p w14:paraId="56E3BE37">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w:t>
      </w:r>
      <w:r>
        <w:rPr>
          <w:rFonts w:hint="eastAsia" w:ascii="宋体" w:hAnsi="宋体" w:eastAsia="宋体" w:cs="宋体"/>
          <w:b w:val="0"/>
          <w:bCs/>
          <w:color w:val="auto"/>
          <w:sz w:val="21"/>
          <w:szCs w:val="21"/>
          <w:highlight w:val="none"/>
          <w:shd w:val="clear" w:color="auto" w:fill="auto"/>
          <w:lang w:val="en-US" w:eastAsia="zh-CN"/>
        </w:rPr>
        <w:t>6</w:t>
      </w:r>
      <w:r>
        <w:rPr>
          <w:rFonts w:hint="eastAsia" w:ascii="宋体" w:hAnsi="宋体" w:eastAsia="宋体" w:cs="宋体"/>
          <w:b w:val="0"/>
          <w:bCs/>
          <w:color w:val="auto"/>
          <w:sz w:val="21"/>
          <w:szCs w:val="21"/>
          <w:highlight w:val="none"/>
          <w:shd w:val="clear" w:color="auto" w:fill="auto"/>
          <w:lang w:val="zh-CN"/>
        </w:rPr>
        <w:t>、竞争性磋商文件的解释权归采购代理机构所有。如发现竞争性磋商文件内容中与现行的法律法规不相符合的情况，以现行的法律法规为准；竞争性磋商文件中某个或多个条款依我国法律、法规被认定为非法、无效或不可执行的,该无效条款的无效、失效和不可执行,不影响亦不损害其他条款的有效性、生效性和可执行性。</w:t>
      </w:r>
    </w:p>
    <w:p w14:paraId="239A4A58">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8.7</w:t>
      </w:r>
      <w:r>
        <w:rPr>
          <w:rFonts w:hint="eastAsia" w:ascii="宋体" w:hAnsi="宋体" w:eastAsia="宋体" w:cs="宋体"/>
          <w:b w:val="0"/>
          <w:bCs/>
          <w:color w:val="auto"/>
          <w:sz w:val="21"/>
          <w:szCs w:val="21"/>
          <w:highlight w:val="none"/>
          <w:shd w:val="clear" w:color="auto" w:fill="auto"/>
          <w:lang w:val="zh-CN"/>
        </w:rPr>
        <w:t>请各供应商在提交</w:t>
      </w:r>
      <w:r>
        <w:rPr>
          <w:rFonts w:hint="eastAsia" w:ascii="宋体" w:hAnsi="宋体" w:cs="宋体"/>
          <w:b w:val="0"/>
          <w:bCs/>
          <w:color w:val="auto"/>
          <w:sz w:val="21"/>
          <w:szCs w:val="21"/>
          <w:highlight w:val="none"/>
          <w:shd w:val="clear" w:color="auto" w:fill="auto"/>
          <w:lang w:val="en-US" w:eastAsia="zh-CN"/>
        </w:rPr>
        <w:t>磋商响应</w:t>
      </w:r>
      <w:r>
        <w:rPr>
          <w:rFonts w:hint="eastAsia" w:ascii="宋体" w:hAnsi="宋体" w:eastAsia="宋体" w:cs="宋体"/>
          <w:b w:val="0"/>
          <w:bCs/>
          <w:color w:val="auto"/>
          <w:sz w:val="21"/>
          <w:szCs w:val="21"/>
          <w:highlight w:val="none"/>
          <w:shd w:val="clear" w:color="auto" w:fill="auto"/>
          <w:lang w:val="zh-CN"/>
        </w:rPr>
        <w:t>文件截止时间之前，务必自行关注下列地址发布的变更公告，采购</w:t>
      </w:r>
      <w:r>
        <w:rPr>
          <w:rFonts w:hint="eastAsia" w:ascii="宋体" w:hAnsi="宋体" w:cs="宋体"/>
          <w:b w:val="0"/>
          <w:bCs/>
          <w:color w:val="auto"/>
          <w:sz w:val="21"/>
          <w:szCs w:val="21"/>
          <w:highlight w:val="none"/>
          <w:shd w:val="clear" w:color="auto" w:fill="auto"/>
          <w:lang w:val="en-US" w:eastAsia="zh-CN"/>
        </w:rPr>
        <w:t>代理</w:t>
      </w:r>
      <w:r>
        <w:rPr>
          <w:rFonts w:hint="eastAsia" w:ascii="宋体" w:hAnsi="宋体" w:eastAsia="宋体" w:cs="宋体"/>
          <w:b w:val="0"/>
          <w:bCs/>
          <w:color w:val="auto"/>
          <w:sz w:val="21"/>
          <w:szCs w:val="21"/>
          <w:highlight w:val="none"/>
          <w:shd w:val="clear" w:color="auto" w:fill="auto"/>
          <w:lang w:val="zh-CN"/>
        </w:rPr>
        <w:t>机构不再另行通知，因供应商未及时关注所造或的一切后果由供应商自行承担：</w:t>
      </w:r>
    </w:p>
    <w:p w14:paraId="0852950A">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zh-CN"/>
        </w:rPr>
        <w:t>（1）[陕西省政府采购网(</w:t>
      </w:r>
      <w:r>
        <w:rPr>
          <w:rFonts w:hint="eastAsia" w:ascii="宋体" w:hAnsi="宋体" w:eastAsia="宋体" w:cs="宋体"/>
          <w:b w:val="0"/>
          <w:bCs/>
          <w:color w:val="auto"/>
          <w:sz w:val="21"/>
          <w:szCs w:val="21"/>
          <w:highlight w:val="none"/>
          <w:shd w:val="clear" w:color="auto" w:fill="auto"/>
          <w:lang w:val="zh-CN"/>
        </w:rPr>
        <w:fldChar w:fldCharType="begin"/>
      </w:r>
      <w:r>
        <w:rPr>
          <w:rFonts w:hint="eastAsia" w:ascii="宋体" w:hAnsi="宋体" w:eastAsia="宋体" w:cs="宋体"/>
          <w:b w:val="0"/>
          <w:bCs/>
          <w:color w:val="auto"/>
          <w:sz w:val="21"/>
          <w:szCs w:val="21"/>
          <w:highlight w:val="none"/>
          <w:shd w:val="clear" w:color="auto" w:fill="auto"/>
          <w:lang w:val="zh-CN"/>
        </w:rPr>
        <w:instrText xml:space="preserve"> HYPERLINK "https://www.ccgp-shaanxi.gov.cn" </w:instrText>
      </w:r>
      <w:r>
        <w:rPr>
          <w:rFonts w:hint="eastAsia" w:ascii="宋体" w:hAnsi="宋体" w:eastAsia="宋体" w:cs="宋体"/>
          <w:b w:val="0"/>
          <w:bCs/>
          <w:color w:val="auto"/>
          <w:sz w:val="21"/>
          <w:szCs w:val="21"/>
          <w:highlight w:val="none"/>
          <w:shd w:val="clear" w:color="auto" w:fill="auto"/>
          <w:lang w:val="zh-CN"/>
        </w:rPr>
        <w:fldChar w:fldCharType="separate"/>
      </w:r>
      <w:r>
        <w:rPr>
          <w:rFonts w:hint="eastAsia" w:ascii="宋体" w:hAnsi="宋体" w:eastAsia="宋体" w:cs="宋体"/>
          <w:b w:val="0"/>
          <w:bCs/>
          <w:color w:val="auto"/>
          <w:sz w:val="21"/>
          <w:szCs w:val="21"/>
          <w:highlight w:val="none"/>
          <w:shd w:val="clear" w:color="auto" w:fill="auto"/>
          <w:lang w:val="zh-CN"/>
        </w:rPr>
        <w:t>www.ccgp-shaanxi.gov.cn</w:t>
      </w:r>
      <w:r>
        <w:rPr>
          <w:rFonts w:hint="eastAsia" w:ascii="宋体" w:hAnsi="宋体" w:eastAsia="宋体" w:cs="宋体"/>
          <w:b w:val="0"/>
          <w:bCs/>
          <w:color w:val="auto"/>
          <w:sz w:val="21"/>
          <w:szCs w:val="21"/>
          <w:highlight w:val="none"/>
          <w:shd w:val="clear" w:color="auto" w:fill="auto"/>
          <w:lang w:val="zh-CN"/>
        </w:rPr>
        <w:fldChar w:fldCharType="end"/>
      </w:r>
      <w:r>
        <w:rPr>
          <w:rFonts w:hint="eastAsia" w:ascii="宋体" w:hAnsi="宋体" w:eastAsia="宋体" w:cs="宋体"/>
          <w:b w:val="0"/>
          <w:bCs/>
          <w:color w:val="auto"/>
          <w:sz w:val="21"/>
          <w:szCs w:val="21"/>
          <w:highlight w:val="none"/>
          <w:shd w:val="clear" w:color="auto" w:fill="auto"/>
          <w:lang w:val="zh-CN"/>
        </w:rPr>
        <w:t>)]中的[首页&gt;市县采购信息公告]；</w:t>
      </w:r>
    </w:p>
    <w:p w14:paraId="5E38C799">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zh-CN"/>
        </w:rPr>
        <w:t>（2）[全国公共资源交易网（陕西省咸阳市)(xy.sxggzyjy.cn)]中的[首页&gt;交易大厅&gt; 政府采购]。</w:t>
      </w:r>
    </w:p>
    <w:p w14:paraId="55ABE4C6">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zh-CN"/>
        </w:rPr>
      </w:pPr>
      <w:r>
        <w:rPr>
          <w:rFonts w:hint="eastAsia" w:ascii="宋体" w:hAnsi="宋体" w:eastAsia="宋体" w:cs="宋体"/>
          <w:b/>
          <w:bCs w:val="0"/>
          <w:color w:val="auto"/>
          <w:sz w:val="21"/>
          <w:szCs w:val="21"/>
          <w:highlight w:val="none"/>
          <w:shd w:val="clear" w:color="auto" w:fill="auto"/>
          <w:lang w:val="en-US" w:eastAsia="zh-CN"/>
        </w:rPr>
        <w:t>9、</w:t>
      </w:r>
      <w:r>
        <w:rPr>
          <w:rFonts w:hint="eastAsia" w:ascii="宋体" w:hAnsi="宋体" w:eastAsia="宋体" w:cs="宋体"/>
          <w:b/>
          <w:bCs w:val="0"/>
          <w:color w:val="auto"/>
          <w:sz w:val="21"/>
          <w:szCs w:val="21"/>
          <w:highlight w:val="none"/>
          <w:shd w:val="clear" w:color="auto" w:fill="auto"/>
          <w:lang w:val="zh-CN"/>
        </w:rPr>
        <w:t>备选磋商方案</w:t>
      </w:r>
    </w:p>
    <w:p w14:paraId="6D594623">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zh-CN"/>
        </w:rPr>
        <w:t>本项目不得提供备选方案。</w:t>
      </w:r>
    </w:p>
    <w:p w14:paraId="4AA26396">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shd w:val="clear" w:color="auto" w:fill="auto"/>
          <w:lang w:val="zh-CN" w:eastAsia="zh-CN"/>
        </w:rPr>
      </w:pPr>
      <w:bookmarkStart w:id="12" w:name="_Toc25075"/>
      <w:bookmarkStart w:id="13" w:name="_Toc28235"/>
      <w:bookmarkStart w:id="14" w:name="_Toc27170"/>
      <w:r>
        <w:rPr>
          <w:rFonts w:hint="eastAsia" w:ascii="宋体" w:hAnsi="宋体" w:eastAsia="宋体" w:cs="宋体"/>
          <w:b/>
          <w:color w:val="auto"/>
          <w:sz w:val="28"/>
          <w:szCs w:val="28"/>
          <w:highlight w:val="none"/>
          <w:shd w:val="clear" w:color="auto" w:fill="auto"/>
          <w:lang w:val="en-US" w:eastAsia="zh-CN"/>
        </w:rPr>
        <w:t>C、</w:t>
      </w:r>
      <w:r>
        <w:rPr>
          <w:rFonts w:hint="eastAsia" w:ascii="宋体" w:hAnsi="宋体" w:eastAsia="宋体" w:cs="宋体"/>
          <w:b/>
          <w:color w:val="auto"/>
          <w:sz w:val="28"/>
          <w:szCs w:val="28"/>
          <w:highlight w:val="none"/>
          <w:shd w:val="clear" w:color="auto" w:fill="auto"/>
          <w:lang w:val="zh-CN" w:eastAsia="zh-CN"/>
        </w:rPr>
        <w:t>竞争性磋商</w:t>
      </w:r>
      <w:r>
        <w:rPr>
          <w:rFonts w:hint="eastAsia" w:ascii="宋体" w:hAnsi="宋体" w:eastAsia="宋体" w:cs="宋体"/>
          <w:b/>
          <w:color w:val="auto"/>
          <w:sz w:val="28"/>
          <w:szCs w:val="28"/>
          <w:highlight w:val="none"/>
          <w:shd w:val="clear" w:color="auto" w:fill="auto"/>
          <w:lang w:val="en-US" w:eastAsia="zh-CN"/>
        </w:rPr>
        <w:t>响应</w:t>
      </w:r>
      <w:r>
        <w:rPr>
          <w:rFonts w:hint="eastAsia" w:ascii="宋体" w:hAnsi="宋体" w:eastAsia="宋体" w:cs="宋体"/>
          <w:b/>
          <w:color w:val="auto"/>
          <w:sz w:val="28"/>
          <w:szCs w:val="28"/>
          <w:highlight w:val="none"/>
          <w:shd w:val="clear" w:color="auto" w:fill="auto"/>
          <w:lang w:val="zh-CN" w:eastAsia="zh-CN"/>
        </w:rPr>
        <w:t>文件</w:t>
      </w:r>
      <w:bookmarkEnd w:id="12"/>
      <w:bookmarkEnd w:id="13"/>
      <w:bookmarkEnd w:id="14"/>
    </w:p>
    <w:p w14:paraId="0042C7C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en-US" w:eastAsia="zh-CN"/>
        </w:rPr>
      </w:pPr>
      <w:r>
        <w:rPr>
          <w:rFonts w:hint="eastAsia" w:ascii="宋体" w:hAnsi="宋体" w:eastAsia="宋体" w:cs="宋体"/>
          <w:b/>
          <w:bCs w:val="0"/>
          <w:color w:val="auto"/>
          <w:sz w:val="21"/>
          <w:szCs w:val="21"/>
          <w:highlight w:val="none"/>
          <w:shd w:val="clear" w:color="auto" w:fill="auto"/>
          <w:lang w:val="en-US" w:eastAsia="zh-CN"/>
        </w:rPr>
        <w:t>10、</w:t>
      </w:r>
      <w:r>
        <w:rPr>
          <w:rFonts w:hint="eastAsia" w:ascii="宋体" w:hAnsi="宋体" w:eastAsia="宋体" w:cs="宋体"/>
          <w:b/>
          <w:bCs w:val="0"/>
          <w:color w:val="auto"/>
          <w:sz w:val="21"/>
          <w:szCs w:val="21"/>
          <w:highlight w:val="none"/>
          <w:shd w:val="clear" w:color="auto" w:fill="auto"/>
          <w:lang w:val="zh-CN"/>
        </w:rPr>
        <w:t>磋商</w:t>
      </w:r>
      <w:r>
        <w:rPr>
          <w:rFonts w:hint="eastAsia" w:ascii="宋体" w:hAnsi="宋体" w:eastAsia="宋体" w:cs="宋体"/>
          <w:b/>
          <w:bCs w:val="0"/>
          <w:color w:val="auto"/>
          <w:sz w:val="21"/>
          <w:szCs w:val="21"/>
          <w:highlight w:val="none"/>
          <w:shd w:val="clear" w:color="auto" w:fill="auto"/>
          <w:lang w:val="en-US" w:eastAsia="zh-CN"/>
        </w:rPr>
        <w:t>响应文件编制的原则</w:t>
      </w:r>
    </w:p>
    <w:p w14:paraId="2924BEB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10.1、供应商应在认真阅读磋商文件所有内容的基础上，按照磋商文件的要求编制完整的响应文件。</w:t>
      </w:r>
      <w:r>
        <w:rPr>
          <w:rFonts w:hint="eastAsia" w:ascii="宋体" w:hAnsi="宋体" w:eastAsia="宋体" w:cs="宋体"/>
          <w:b w:val="0"/>
          <w:bCs/>
          <w:color w:val="auto"/>
          <w:sz w:val="21"/>
          <w:szCs w:val="21"/>
          <w:highlight w:val="none"/>
          <w:shd w:val="clear" w:color="auto" w:fill="auto"/>
          <w:lang w:val="zh-CN"/>
        </w:rPr>
        <w:t>磋商响应文件参考给定格式编制，对磋商文件要求做出实质性响应。磋商供应商可根据情况自行扩展，但不得随意删减格式要求内容。</w:t>
      </w:r>
    </w:p>
    <w:p w14:paraId="5F953EA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10.2、供应商必须保证响应文件所提供的全部资料真实可靠，并接受对其中任何资料进一步审查的要求。</w:t>
      </w:r>
    </w:p>
    <w:p w14:paraId="5656B36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10.3、响应文件须对磋商文件中的内容做出实质性和完整的响应，否则其投标将被拒绝。</w:t>
      </w:r>
    </w:p>
    <w:p w14:paraId="0C45007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en-US" w:eastAsia="zh-CN"/>
        </w:rPr>
      </w:pPr>
      <w:r>
        <w:rPr>
          <w:rFonts w:hint="eastAsia" w:ascii="宋体" w:hAnsi="宋体" w:eastAsia="宋体" w:cs="宋体"/>
          <w:b/>
          <w:bCs w:val="0"/>
          <w:color w:val="auto"/>
          <w:sz w:val="21"/>
          <w:szCs w:val="21"/>
          <w:highlight w:val="none"/>
          <w:shd w:val="clear" w:color="auto" w:fill="auto"/>
          <w:lang w:val="en-US" w:eastAsia="zh-CN"/>
        </w:rPr>
        <w:t>11、</w:t>
      </w:r>
      <w:r>
        <w:rPr>
          <w:rFonts w:hint="eastAsia" w:ascii="宋体" w:hAnsi="宋体" w:eastAsia="宋体" w:cs="宋体"/>
          <w:b/>
          <w:bCs w:val="0"/>
          <w:color w:val="auto"/>
          <w:sz w:val="21"/>
          <w:szCs w:val="21"/>
          <w:highlight w:val="none"/>
          <w:lang w:val="en-US" w:eastAsia="zh-CN"/>
        </w:rPr>
        <w:t>磋商响应文件</w:t>
      </w:r>
      <w:r>
        <w:rPr>
          <w:rFonts w:hint="eastAsia" w:ascii="宋体" w:hAnsi="宋体" w:eastAsia="宋体" w:cs="宋体"/>
          <w:b/>
          <w:bCs w:val="0"/>
          <w:color w:val="auto"/>
          <w:sz w:val="21"/>
          <w:szCs w:val="21"/>
          <w:highlight w:val="none"/>
          <w:shd w:val="clear" w:color="auto" w:fill="auto"/>
          <w:lang w:val="en-US" w:eastAsia="zh-CN"/>
        </w:rPr>
        <w:t>的式样</w:t>
      </w:r>
    </w:p>
    <w:p w14:paraId="7005D71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11.1、语言</w:t>
      </w:r>
    </w:p>
    <w:p w14:paraId="12AFCC4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招标活动的所有文件、资料、函电文字均使用简体中文，确需提交用其他语言形成的资料，必须翻译成简体中文，如有差异，以简体中文为准。</w:t>
      </w:r>
    </w:p>
    <w:p w14:paraId="4D55B9F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eastAsia="zh-CN"/>
        </w:rPr>
      </w:pPr>
      <w:r>
        <w:rPr>
          <w:rFonts w:hint="eastAsia" w:ascii="宋体" w:hAnsi="宋体" w:eastAsia="宋体" w:cs="宋体"/>
          <w:b w:val="0"/>
          <w:bCs/>
          <w:color w:val="auto"/>
          <w:sz w:val="21"/>
          <w:szCs w:val="21"/>
          <w:highlight w:val="none"/>
          <w:shd w:val="clear" w:color="auto" w:fill="auto"/>
          <w:lang w:val="en-US" w:eastAsia="zh-CN"/>
        </w:rPr>
        <w:t>11.2、</w:t>
      </w:r>
      <w:r>
        <w:rPr>
          <w:rFonts w:hint="eastAsia" w:ascii="宋体" w:hAnsi="宋体" w:eastAsia="宋体" w:cs="宋体"/>
          <w:b w:val="0"/>
          <w:bCs/>
          <w:color w:val="auto"/>
          <w:sz w:val="21"/>
          <w:szCs w:val="21"/>
          <w:highlight w:val="none"/>
          <w:shd w:val="clear" w:color="auto" w:fill="auto"/>
          <w:lang w:val="zh-CN" w:eastAsia="zh-CN"/>
        </w:rPr>
        <w:t>磋商响应文件计量单位</w:t>
      </w:r>
    </w:p>
    <w:p w14:paraId="7D2516E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eastAsia="zh-CN"/>
        </w:rPr>
      </w:pPr>
      <w:r>
        <w:rPr>
          <w:rFonts w:hint="eastAsia" w:ascii="宋体" w:hAnsi="宋体" w:eastAsia="宋体" w:cs="宋体"/>
          <w:b w:val="0"/>
          <w:bCs/>
          <w:color w:val="auto"/>
          <w:sz w:val="21"/>
          <w:szCs w:val="21"/>
          <w:highlight w:val="none"/>
          <w:shd w:val="clear" w:color="auto" w:fill="auto"/>
          <w:lang w:val="zh-CN" w:eastAsia="zh-CN"/>
        </w:rPr>
        <w:t>磋商响应文件中所使用的计量单位，除有特殊要求外，均采用国家法定计量单位。</w:t>
      </w:r>
    </w:p>
    <w:p w14:paraId="730E7699">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zh-CN"/>
        </w:rPr>
      </w:pPr>
      <w:r>
        <w:rPr>
          <w:rFonts w:hint="eastAsia" w:ascii="宋体" w:hAnsi="宋体" w:eastAsia="宋体" w:cs="宋体"/>
          <w:b/>
          <w:bCs w:val="0"/>
          <w:color w:val="auto"/>
          <w:sz w:val="21"/>
          <w:szCs w:val="21"/>
          <w:highlight w:val="none"/>
          <w:shd w:val="clear" w:color="auto" w:fill="auto"/>
          <w:lang w:val="en-US" w:eastAsia="zh-CN"/>
        </w:rPr>
        <w:t>12、</w:t>
      </w:r>
      <w:r>
        <w:rPr>
          <w:rFonts w:hint="eastAsia" w:ascii="宋体" w:hAnsi="宋体" w:eastAsia="宋体" w:cs="宋体"/>
          <w:b/>
          <w:bCs w:val="0"/>
          <w:color w:val="auto"/>
          <w:sz w:val="21"/>
          <w:szCs w:val="21"/>
          <w:highlight w:val="none"/>
          <w:shd w:val="clear" w:color="auto" w:fill="auto"/>
          <w:lang w:val="zh-CN"/>
        </w:rPr>
        <w:t>磋商响应文件的组成</w:t>
      </w:r>
    </w:p>
    <w:p w14:paraId="243C177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12.1、格式内容：</w:t>
      </w:r>
    </w:p>
    <w:p w14:paraId="143F2D8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w:t>
      </w:r>
      <w:r>
        <w:rPr>
          <w:rFonts w:hint="default" w:ascii="宋体" w:hAnsi="宋体" w:eastAsia="宋体" w:cs="宋体"/>
          <w:b w:val="0"/>
          <w:bCs/>
          <w:color w:val="auto"/>
          <w:sz w:val="21"/>
          <w:szCs w:val="21"/>
          <w:highlight w:val="none"/>
          <w:shd w:val="clear" w:color="auto" w:fill="auto"/>
          <w:lang w:val="en-US" w:eastAsia="zh-CN"/>
        </w:rPr>
        <w:t>磋商响应函</w:t>
      </w:r>
    </w:p>
    <w:p w14:paraId="04F5680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（2）</w:t>
      </w:r>
      <w:r>
        <w:rPr>
          <w:rFonts w:hint="default" w:ascii="宋体" w:hAnsi="宋体" w:eastAsia="宋体" w:cs="宋体"/>
          <w:b w:val="0"/>
          <w:bCs/>
          <w:color w:val="auto"/>
          <w:sz w:val="21"/>
          <w:szCs w:val="21"/>
          <w:highlight w:val="none"/>
          <w:shd w:val="clear" w:color="auto" w:fill="auto"/>
          <w:lang w:val="en-US" w:eastAsia="zh-CN"/>
        </w:rPr>
        <w:t>磋商报价一览表</w:t>
      </w:r>
    </w:p>
    <w:p w14:paraId="0AA6EB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（3）</w:t>
      </w:r>
      <w:r>
        <w:rPr>
          <w:rFonts w:hint="default" w:ascii="宋体" w:hAnsi="宋体" w:eastAsia="宋体" w:cs="宋体"/>
          <w:b w:val="0"/>
          <w:bCs/>
          <w:color w:val="auto"/>
          <w:sz w:val="21"/>
          <w:szCs w:val="21"/>
          <w:highlight w:val="none"/>
          <w:shd w:val="clear" w:color="auto" w:fill="auto"/>
          <w:lang w:val="en-US" w:eastAsia="zh-CN"/>
        </w:rPr>
        <w:t>资格证明文件</w:t>
      </w:r>
    </w:p>
    <w:p w14:paraId="622DC43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（4）</w:t>
      </w:r>
      <w:r>
        <w:rPr>
          <w:rFonts w:hint="default" w:ascii="宋体" w:hAnsi="宋体" w:eastAsia="宋体" w:cs="宋体"/>
          <w:b w:val="0"/>
          <w:bCs/>
          <w:color w:val="auto"/>
          <w:sz w:val="21"/>
          <w:szCs w:val="21"/>
          <w:highlight w:val="none"/>
          <w:shd w:val="clear" w:color="auto" w:fill="auto"/>
          <w:lang w:val="en-US" w:eastAsia="zh-CN"/>
        </w:rPr>
        <w:t>商务响应偏离表</w:t>
      </w:r>
    </w:p>
    <w:p w14:paraId="31DBD49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（5）</w:t>
      </w:r>
      <w:r>
        <w:rPr>
          <w:rFonts w:hint="default" w:ascii="宋体" w:hAnsi="宋体" w:eastAsia="宋体" w:cs="宋体"/>
          <w:b w:val="0"/>
          <w:bCs/>
          <w:color w:val="auto"/>
          <w:sz w:val="21"/>
          <w:szCs w:val="21"/>
          <w:highlight w:val="none"/>
          <w:shd w:val="clear" w:color="auto" w:fill="auto"/>
          <w:lang w:val="en-US" w:eastAsia="zh-CN"/>
        </w:rPr>
        <w:t>企业近三年内类似业绩证明</w:t>
      </w:r>
    </w:p>
    <w:p w14:paraId="326137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（6）</w:t>
      </w:r>
      <w:r>
        <w:rPr>
          <w:rFonts w:hint="default" w:ascii="宋体" w:hAnsi="宋体" w:eastAsia="宋体" w:cs="宋体"/>
          <w:b w:val="0"/>
          <w:bCs/>
          <w:color w:val="auto"/>
          <w:sz w:val="21"/>
          <w:szCs w:val="21"/>
          <w:highlight w:val="none"/>
          <w:shd w:val="clear" w:color="auto" w:fill="auto"/>
          <w:lang w:val="en-US" w:eastAsia="zh-CN"/>
        </w:rPr>
        <w:t>施工组织设计</w:t>
      </w:r>
    </w:p>
    <w:p w14:paraId="43EA317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（7）</w:t>
      </w:r>
      <w:r>
        <w:rPr>
          <w:rFonts w:hint="default" w:ascii="宋体" w:hAnsi="宋体" w:eastAsia="宋体" w:cs="宋体"/>
          <w:b w:val="0"/>
          <w:bCs/>
          <w:color w:val="auto"/>
          <w:sz w:val="21"/>
          <w:szCs w:val="21"/>
          <w:highlight w:val="none"/>
          <w:shd w:val="clear" w:color="auto" w:fill="auto"/>
          <w:lang w:val="en-US" w:eastAsia="zh-CN"/>
        </w:rPr>
        <w:t>陕西省政府采购供应商拒绝政府采购领域商业贿赂承诺书</w:t>
      </w:r>
    </w:p>
    <w:p w14:paraId="535E0B8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（8）</w:t>
      </w:r>
      <w:r>
        <w:rPr>
          <w:rFonts w:hint="default" w:ascii="宋体" w:hAnsi="宋体" w:eastAsia="宋体" w:cs="宋体"/>
          <w:b w:val="0"/>
          <w:bCs/>
          <w:color w:val="auto"/>
          <w:sz w:val="21"/>
          <w:szCs w:val="21"/>
          <w:highlight w:val="none"/>
          <w:shd w:val="clear" w:color="auto" w:fill="auto"/>
          <w:lang w:val="en-US" w:eastAsia="zh-CN"/>
        </w:rPr>
        <w:t>其他资料（如有）</w:t>
      </w:r>
    </w:p>
    <w:p w14:paraId="593666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cs="宋体"/>
          <w:b w:val="0"/>
          <w:bCs/>
          <w:color w:val="auto"/>
          <w:sz w:val="21"/>
          <w:szCs w:val="21"/>
          <w:highlight w:val="none"/>
          <w:shd w:val="clear" w:color="auto" w:fill="auto"/>
          <w:lang w:val="en-US" w:eastAsia="zh-CN"/>
        </w:rPr>
        <w:t>本项目</w:t>
      </w:r>
      <w:r>
        <w:rPr>
          <w:rFonts w:hint="eastAsia" w:ascii="宋体" w:hAnsi="宋体" w:eastAsia="宋体" w:cs="宋体"/>
          <w:b w:val="0"/>
          <w:bCs/>
          <w:color w:val="auto"/>
          <w:sz w:val="21"/>
          <w:szCs w:val="21"/>
          <w:highlight w:val="none"/>
          <w:shd w:val="clear" w:color="auto" w:fill="auto"/>
          <w:lang w:val="zh-CN"/>
        </w:rPr>
        <w:t>的最小单元为“包号”，供应商可根据自身的资质情况和经营范围对本次项目进行磋商，不得将其子目再行分解或只对本次项目中的品目进行不完全磋商，任何不完全的响应将会被拒绝。</w:t>
      </w:r>
    </w:p>
    <w:p w14:paraId="662E97E6">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13</w:t>
      </w:r>
      <w:r>
        <w:rPr>
          <w:rFonts w:hint="eastAsia" w:ascii="宋体" w:hAnsi="宋体" w:eastAsia="宋体" w:cs="宋体"/>
          <w:b/>
          <w:color w:val="auto"/>
          <w:sz w:val="21"/>
          <w:szCs w:val="21"/>
          <w:highlight w:val="none"/>
        </w:rPr>
        <w:t>、竞争性磋商响应文件格式</w:t>
      </w:r>
    </w:p>
    <w:p w14:paraId="3C60DD5E">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供应商应按照竞争性磋商文件中第</w:t>
      </w:r>
      <w:r>
        <w:rPr>
          <w:rFonts w:hint="eastAsia" w:ascii="宋体" w:hAnsi="宋体" w:eastAsia="宋体" w:cs="宋体"/>
          <w:b w:val="0"/>
          <w:bCs/>
          <w:color w:val="auto"/>
          <w:sz w:val="21"/>
          <w:szCs w:val="21"/>
          <w:highlight w:val="none"/>
          <w:lang w:val="en-US" w:eastAsia="zh-CN"/>
        </w:rPr>
        <w:t>八</w:t>
      </w:r>
      <w:r>
        <w:rPr>
          <w:rFonts w:hint="eastAsia" w:ascii="宋体" w:hAnsi="宋体" w:eastAsia="宋体" w:cs="宋体"/>
          <w:b w:val="0"/>
          <w:bCs/>
          <w:color w:val="auto"/>
          <w:sz w:val="21"/>
          <w:szCs w:val="21"/>
          <w:highlight w:val="none"/>
        </w:rPr>
        <w:t>章“响应文件格式”所提供的格式和要求制作竞争性磋商响应文件，明确表达磋商意愿，详细说明磋商方案、承诺及价格。</w:t>
      </w:r>
    </w:p>
    <w:p w14:paraId="26BB0BE7">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按竞争性磋商文件第</w:t>
      </w:r>
      <w:r>
        <w:rPr>
          <w:rFonts w:hint="eastAsia" w:ascii="宋体" w:hAnsi="宋体" w:eastAsia="宋体" w:cs="宋体"/>
          <w:b w:val="0"/>
          <w:bCs/>
          <w:color w:val="auto"/>
          <w:sz w:val="21"/>
          <w:szCs w:val="21"/>
          <w:highlight w:val="none"/>
          <w:lang w:val="en-US" w:eastAsia="zh-CN"/>
        </w:rPr>
        <w:t>五章</w:t>
      </w:r>
      <w:r>
        <w:rPr>
          <w:rFonts w:hint="eastAsia" w:ascii="宋体" w:hAnsi="宋体" w:eastAsia="宋体" w:cs="宋体"/>
          <w:color w:val="auto"/>
          <w:sz w:val="21"/>
          <w:szCs w:val="21"/>
          <w:highlight w:val="none"/>
          <w:lang w:val="en-US" w:eastAsia="zh-CN"/>
        </w:rPr>
        <w:t>施工内容及技术要求</w:t>
      </w:r>
      <w:r>
        <w:rPr>
          <w:rFonts w:hint="eastAsia" w:ascii="宋体" w:hAnsi="宋体" w:eastAsia="宋体" w:cs="宋体"/>
          <w:b w:val="0"/>
          <w:bCs/>
          <w:color w:val="auto"/>
          <w:sz w:val="21"/>
          <w:szCs w:val="21"/>
          <w:highlight w:val="none"/>
        </w:rPr>
        <w:t>及要求和第</w:t>
      </w:r>
      <w:r>
        <w:rPr>
          <w:rFonts w:hint="eastAsia" w:ascii="宋体" w:hAnsi="宋体" w:eastAsia="宋体" w:cs="宋体"/>
          <w:b w:val="0"/>
          <w:bCs/>
          <w:color w:val="auto"/>
          <w:sz w:val="21"/>
          <w:szCs w:val="21"/>
          <w:highlight w:val="none"/>
          <w:lang w:val="en-US" w:eastAsia="zh-CN"/>
        </w:rPr>
        <w:t>八</w:t>
      </w:r>
      <w:r>
        <w:rPr>
          <w:rFonts w:hint="eastAsia" w:ascii="宋体" w:hAnsi="宋体" w:eastAsia="宋体" w:cs="宋体"/>
          <w:b w:val="0"/>
          <w:bCs/>
          <w:color w:val="auto"/>
          <w:sz w:val="21"/>
          <w:szCs w:val="21"/>
          <w:highlight w:val="none"/>
        </w:rPr>
        <w:t>章提供的格式和要求编写其竞争性磋商响应文件，供应商不得缺少或留空任何竞争性磋商文件要求填写的表格或提交的资料。</w:t>
      </w:r>
    </w:p>
    <w:p w14:paraId="5AD310F7">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14、</w:t>
      </w:r>
      <w:r>
        <w:rPr>
          <w:rFonts w:hint="eastAsia" w:ascii="宋体" w:hAnsi="宋体" w:eastAsia="宋体" w:cs="宋体"/>
          <w:b/>
          <w:color w:val="auto"/>
          <w:sz w:val="21"/>
          <w:szCs w:val="21"/>
          <w:highlight w:val="none"/>
          <w:lang w:val="zh-CN"/>
        </w:rPr>
        <w:t>磋商报价：</w:t>
      </w:r>
    </w:p>
    <w:p w14:paraId="53F5645D">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14.1、</w:t>
      </w:r>
      <w:r>
        <w:rPr>
          <w:rFonts w:hint="eastAsia" w:ascii="宋体" w:hAnsi="宋体" w:eastAsia="宋体" w:cs="宋体"/>
          <w:b w:val="0"/>
          <w:bCs/>
          <w:color w:val="auto"/>
          <w:sz w:val="21"/>
          <w:szCs w:val="21"/>
          <w:highlight w:val="none"/>
        </w:rPr>
        <w:t>供应商要按报价表内容填写</w:t>
      </w:r>
      <w:r>
        <w:rPr>
          <w:rFonts w:hint="eastAsia" w:ascii="宋体" w:hAnsi="宋体" w:eastAsia="宋体" w:cs="宋体"/>
          <w:b w:val="0"/>
          <w:bCs/>
          <w:color w:val="auto"/>
          <w:sz w:val="21"/>
          <w:szCs w:val="21"/>
          <w:highlight w:val="none"/>
          <w:lang w:val="en-US" w:eastAsia="zh-CN"/>
        </w:rPr>
        <w:t>工期</w:t>
      </w:r>
      <w:r>
        <w:rPr>
          <w:rFonts w:hint="eastAsia" w:ascii="宋体" w:hAnsi="宋体" w:eastAsia="宋体" w:cs="宋体"/>
          <w:b w:val="0"/>
          <w:bCs/>
          <w:color w:val="auto"/>
          <w:sz w:val="21"/>
          <w:szCs w:val="21"/>
          <w:highlight w:val="none"/>
        </w:rPr>
        <w:t>、总价等内容。</w:t>
      </w:r>
    </w:p>
    <w:p w14:paraId="7933D358">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14.2、供应商磋商报价汇总表中的价格均包括完成该工程的分部分项工程费、措施费、其他项目费用、利润、成本、规费、税金和供应商必须的其他费用以及合同中明示或暗示的所有风险、责任和义务等全部费用。</w:t>
      </w:r>
    </w:p>
    <w:p w14:paraId="5FB7CFF6">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14.3、本项目为固定总价，一次包死。交钥匙工程。</w:t>
      </w:r>
    </w:p>
    <w:p w14:paraId="54E0624E">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14.4、供应商可自行到工地踏勘，以充分了解施工现场地理位置、环境情况、道路、存储空间、装卸限制以及任何其他足以影响磋商报价的情况，任何因忽视或误解工地情况而导致的索赔或工期延长申请将不被批准。凡因供应商对磋商文件阅读疏忽或误解，或因对施工现场、施工环境、市场行情等了解不清而造成的后果和风险，由供应商负责。在施工期间，要协调施工现场周边社会关系，不得以协调不力而影响工程进度，所发生的一切费用应在报价时加以考虑。</w:t>
      </w:r>
    </w:p>
    <w:p w14:paraId="1C620510">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14.5、</w:t>
      </w:r>
      <w:r>
        <w:rPr>
          <w:rFonts w:hint="eastAsia" w:ascii="宋体" w:hAnsi="宋体" w:eastAsia="宋体" w:cs="宋体"/>
          <w:b w:val="0"/>
          <w:bCs/>
          <w:color w:val="auto"/>
          <w:sz w:val="21"/>
          <w:szCs w:val="21"/>
          <w:highlight w:val="none"/>
          <w:lang w:val="zh-CN"/>
        </w:rPr>
        <w:t>磋商报价不因市场因素、政府政策调整、费率调整和税收变化等而作任何调整，磋商单位应充分考虑到各种风险因素。</w:t>
      </w:r>
    </w:p>
    <w:p w14:paraId="700452D2">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14.6</w:t>
      </w:r>
      <w:r>
        <w:rPr>
          <w:rFonts w:hint="eastAsia" w:ascii="宋体" w:hAnsi="宋体" w:eastAsia="宋体" w:cs="宋体"/>
          <w:color w:val="auto"/>
          <w:sz w:val="21"/>
          <w:szCs w:val="21"/>
          <w:highlight w:val="none"/>
          <w:lang w:val="zh-CN" w:eastAsia="zh-CN"/>
        </w:rPr>
        <w:t>、凡因供应商对采购文件阅读不深、</w:t>
      </w:r>
      <w:r>
        <w:rPr>
          <w:rFonts w:hint="eastAsia" w:ascii="宋体" w:hAnsi="宋体" w:eastAsia="宋体" w:cs="宋体"/>
          <w:color w:val="auto"/>
          <w:sz w:val="21"/>
          <w:szCs w:val="21"/>
          <w:highlight w:val="none"/>
          <w:lang w:val="en-US" w:eastAsia="zh-CN"/>
        </w:rPr>
        <w:t>理解不透、</w:t>
      </w:r>
      <w:r>
        <w:rPr>
          <w:rFonts w:hint="eastAsia" w:ascii="宋体" w:hAnsi="宋体" w:eastAsia="宋体" w:cs="宋体"/>
          <w:color w:val="auto"/>
          <w:sz w:val="21"/>
          <w:szCs w:val="21"/>
          <w:highlight w:val="none"/>
          <w:lang w:val="zh-CN" w:eastAsia="zh-CN"/>
        </w:rPr>
        <w:t>误解、疏漏、</w:t>
      </w:r>
      <w:r>
        <w:rPr>
          <w:rFonts w:hint="eastAsia" w:ascii="宋体" w:hAnsi="宋体" w:eastAsia="宋体" w:cs="宋体"/>
          <w:color w:val="auto"/>
          <w:sz w:val="21"/>
          <w:szCs w:val="21"/>
          <w:highlight w:val="none"/>
          <w:lang w:val="en-US" w:eastAsia="zh-CN"/>
        </w:rPr>
        <w:t>或因市场行情了解不清造成的后果和风险均由供应商自负。</w:t>
      </w:r>
    </w:p>
    <w:p w14:paraId="04615F18">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14.7</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磋商报价货币：人民币，单位:元。</w:t>
      </w:r>
    </w:p>
    <w:p w14:paraId="75691748">
      <w:pPr>
        <w:keepNext w:val="0"/>
        <w:keepLines w:val="0"/>
        <w:pageBreakBefore w:val="0"/>
        <w:widowControl w:val="0"/>
        <w:kinsoku/>
        <w:wordWrap/>
        <w:overflowPunct/>
        <w:topLinePunct w:val="0"/>
        <w:bidi w:val="0"/>
        <w:snapToGrid/>
        <w:spacing w:line="400" w:lineRule="exact"/>
        <w:ind w:left="0" w:leftChars="0"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14.8</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本次磋商采取二次报价，即：磋商响应文件中的磋商总报价为第一次报价；在磋商供应商初审合格后，第一次报价为有效报价。通过初审的各供应商单位与磋商小组进行背靠背磋商后，在规定时间内，提交第二次报价，第二次报价即为最终报价。</w:t>
      </w:r>
    </w:p>
    <w:p w14:paraId="4B2CE9AE">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14.9</w:t>
      </w:r>
      <w:r>
        <w:rPr>
          <w:rFonts w:hint="eastAsia" w:ascii="宋体" w:hAnsi="宋体" w:eastAsia="宋体" w:cs="宋体"/>
          <w:color w:val="auto"/>
          <w:sz w:val="21"/>
          <w:szCs w:val="21"/>
          <w:highlight w:val="none"/>
          <w:lang w:val="zh-CN" w:eastAsia="zh-CN"/>
        </w:rPr>
        <w:t>、磋商后所确定的成交价格，在合同执行过程中，不得以任何理由变更。</w:t>
      </w:r>
    </w:p>
    <w:p w14:paraId="7939D07F">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14.10、</w:t>
      </w:r>
      <w:r>
        <w:rPr>
          <w:rFonts w:hint="eastAsia" w:ascii="宋体" w:hAnsi="宋体" w:eastAsia="宋体" w:cs="宋体"/>
          <w:color w:val="auto"/>
          <w:sz w:val="21"/>
          <w:szCs w:val="21"/>
          <w:highlight w:val="none"/>
          <w:lang w:val="zh-CN" w:eastAsia="zh-CN"/>
        </w:rPr>
        <w:t>供应商不得以低于成本的报价参加磋商。若磋商小组认为某个供应商的报价明显低于其他通过符合性审查的供应商的报价，有可能影响产品质量或者不能诚信履约的，应当要求其在磋商现场合理的时间内提供书面说明，必要时提交相关证明材料；供应商不能证明其报价合理性的，磋商小组应将其作为无效投标处理。</w:t>
      </w:r>
    </w:p>
    <w:p w14:paraId="6F2B2BE0">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14.11</w:t>
      </w:r>
      <w:r>
        <w:rPr>
          <w:rFonts w:hint="eastAsia" w:ascii="宋体" w:hAnsi="宋体" w:eastAsia="宋体" w:cs="宋体"/>
          <w:color w:val="auto"/>
          <w:sz w:val="21"/>
          <w:szCs w:val="21"/>
          <w:highlight w:val="none"/>
          <w:lang w:val="zh-CN" w:eastAsia="zh-CN"/>
        </w:rPr>
        <w:t>、第一次报价超出采购预算的供应商不进入下一步磋商程序。</w:t>
      </w:r>
    </w:p>
    <w:p w14:paraId="5AC5A7D6">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14.12</w:t>
      </w:r>
      <w:r>
        <w:rPr>
          <w:rFonts w:hint="eastAsia" w:ascii="宋体" w:hAnsi="宋体" w:eastAsia="宋体" w:cs="宋体"/>
          <w:color w:val="auto"/>
          <w:sz w:val="21"/>
          <w:szCs w:val="21"/>
          <w:highlight w:val="none"/>
          <w:lang w:val="zh-CN" w:eastAsia="zh-CN"/>
        </w:rPr>
        <w:t>、本项目不公开任何一次报价。</w:t>
      </w:r>
    </w:p>
    <w:p w14:paraId="1FF653EF">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1</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zh-CN" w:eastAsia="zh-CN"/>
        </w:rPr>
        <w:t>、证明供应商合格的资格证明文件</w:t>
      </w:r>
    </w:p>
    <w:p w14:paraId="376CCD81">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供应商应按照竞争性磋商须知的要求，在竞争性磋商响应文件中提交合格的资格证明文件。如果资格证明文件不全或不合格的，其磋商响应文件将被作无效文件处理。</w:t>
      </w:r>
    </w:p>
    <w:p w14:paraId="43FCA50D">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1</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eastAsia="zh-CN"/>
        </w:rPr>
        <w:t>保证金</w:t>
      </w:r>
    </w:p>
    <w:p w14:paraId="2A64CB2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.1、磋商保证金：本项目</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磋商保证金。</w:t>
      </w:r>
    </w:p>
    <w:p w14:paraId="2568FF9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.2、履约保证金：本项目</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履约保证金</w:t>
      </w:r>
      <w:r>
        <w:rPr>
          <w:rFonts w:hint="eastAsia" w:ascii="宋体" w:hAnsi="宋体" w:cs="宋体"/>
          <w:color w:val="auto"/>
          <w:sz w:val="21"/>
          <w:szCs w:val="21"/>
          <w:highlight w:val="none"/>
          <w:lang w:val="zh-CN" w:eastAsia="zh-CN"/>
        </w:rPr>
        <w:t>。</w:t>
      </w:r>
    </w:p>
    <w:p w14:paraId="7A87F341">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17</w:t>
      </w:r>
      <w:r>
        <w:rPr>
          <w:rFonts w:hint="eastAsia" w:ascii="宋体" w:hAnsi="宋体" w:eastAsia="宋体" w:cs="宋体"/>
          <w:b/>
          <w:color w:val="auto"/>
          <w:sz w:val="21"/>
          <w:szCs w:val="21"/>
          <w:highlight w:val="none"/>
          <w:lang w:val="zh-CN"/>
        </w:rPr>
        <w:t>、</w:t>
      </w:r>
      <w:r>
        <w:rPr>
          <w:rFonts w:hint="eastAsia" w:ascii="宋体" w:hAnsi="宋体" w:eastAsia="宋体" w:cs="宋体"/>
          <w:b/>
          <w:color w:val="auto"/>
          <w:sz w:val="21"/>
          <w:szCs w:val="21"/>
          <w:highlight w:val="none"/>
        </w:rPr>
        <w:t>磋商有效期</w:t>
      </w:r>
    </w:p>
    <w:p w14:paraId="26A933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17.1、</w:t>
      </w:r>
      <w:r>
        <w:rPr>
          <w:rFonts w:hint="eastAsia" w:ascii="宋体" w:hAnsi="宋体" w:eastAsia="宋体" w:cs="宋体"/>
          <w:color w:val="auto"/>
          <w:sz w:val="21"/>
          <w:szCs w:val="21"/>
          <w:highlight w:val="none"/>
          <w:lang w:val="zh-CN"/>
        </w:rPr>
        <w:t>磋商有效期见</w:t>
      </w:r>
      <w:r>
        <w:rPr>
          <w:rFonts w:hint="eastAsia" w:ascii="宋体" w:hAnsi="宋体" w:eastAsia="宋体" w:cs="宋体"/>
          <w:color w:val="auto"/>
          <w:sz w:val="21"/>
          <w:szCs w:val="21"/>
          <w:highlight w:val="none"/>
          <w:lang w:val="en-US" w:eastAsia="zh-CN"/>
        </w:rPr>
        <w:t>竞争性磋商须知</w:t>
      </w:r>
      <w:r>
        <w:rPr>
          <w:rFonts w:hint="eastAsia" w:ascii="宋体" w:hAnsi="宋体" w:eastAsia="宋体" w:cs="宋体"/>
          <w:color w:val="auto"/>
          <w:sz w:val="21"/>
          <w:szCs w:val="21"/>
          <w:highlight w:val="none"/>
          <w:lang w:val="zh-CN"/>
        </w:rPr>
        <w:t>。磋商有效期短于此规定期限的磋商，将按无效磋商处理。</w:t>
      </w:r>
    </w:p>
    <w:p w14:paraId="4371CD3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en-US" w:eastAsia="zh-CN"/>
        </w:rPr>
        <w:t>17.2、在特殊情况下，在原磋商有效期期满之前，采购代理机构可向供应商提出延长磋商有效期的要求。供应商可以拒绝采购代理机构的这种要求。同意延长的供应商既不能要求也不允许修改其竞争性磋商响应文件。</w:t>
      </w:r>
    </w:p>
    <w:p w14:paraId="49925C15">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en-US" w:eastAsia="zh-CN"/>
        </w:rPr>
        <w:t>17.3、</w:t>
      </w:r>
      <w:r>
        <w:rPr>
          <w:rFonts w:hint="eastAsia" w:ascii="宋体" w:hAnsi="宋体" w:eastAsia="宋体" w:cs="宋体"/>
          <w:b/>
          <w:color w:val="auto"/>
          <w:sz w:val="21"/>
          <w:szCs w:val="21"/>
          <w:highlight w:val="none"/>
          <w:lang w:val="zh-CN"/>
        </w:rPr>
        <w:t>磋商响应文件有效期为自磋商截止日起90日历天，成交供应商的磋商响应文件有效期自动延长至合同执行完毕。</w:t>
      </w:r>
    </w:p>
    <w:p w14:paraId="796A7A30">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18</w:t>
      </w:r>
      <w:r>
        <w:rPr>
          <w:rFonts w:hint="eastAsia" w:ascii="宋体" w:hAnsi="宋体" w:eastAsia="宋体" w:cs="宋体"/>
          <w:b/>
          <w:color w:val="auto"/>
          <w:sz w:val="21"/>
          <w:szCs w:val="21"/>
          <w:highlight w:val="none"/>
          <w:lang w:val="zh-CN"/>
        </w:rPr>
        <w:t>、磋商响应文件</w:t>
      </w:r>
    </w:p>
    <w:p w14:paraId="29F69BEB">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18.1</w:t>
      </w:r>
      <w:r>
        <w:rPr>
          <w:rFonts w:hint="eastAsia" w:ascii="宋体" w:hAnsi="宋体" w:eastAsia="宋体" w:cs="宋体"/>
          <w:b/>
          <w:bCs/>
          <w:color w:val="auto"/>
          <w:sz w:val="21"/>
          <w:szCs w:val="21"/>
          <w:highlight w:val="none"/>
          <w:lang w:val="en-US" w:eastAsia="zh-CN"/>
        </w:rPr>
        <w:t>电子</w:t>
      </w:r>
      <w:r>
        <w:rPr>
          <w:rFonts w:hint="eastAsia" w:ascii="宋体" w:hAnsi="宋体" w:cs="宋体"/>
          <w:b/>
          <w:bCs/>
          <w:color w:val="auto"/>
          <w:sz w:val="21"/>
          <w:szCs w:val="21"/>
          <w:highlight w:val="none"/>
          <w:lang w:val="en-US" w:eastAsia="zh-CN"/>
        </w:rPr>
        <w:t>磋商响应</w:t>
      </w:r>
      <w:r>
        <w:rPr>
          <w:rFonts w:hint="eastAsia" w:ascii="宋体" w:hAnsi="宋体" w:eastAsia="宋体" w:cs="宋体"/>
          <w:b/>
          <w:bCs/>
          <w:color w:val="auto"/>
          <w:sz w:val="21"/>
          <w:szCs w:val="21"/>
          <w:highlight w:val="none"/>
          <w:lang w:val="en-US" w:eastAsia="zh-CN"/>
        </w:rPr>
        <w:t>文件</w:t>
      </w:r>
    </w:p>
    <w:p w14:paraId="26D7A2F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编制电子</w:t>
      </w:r>
      <w:r>
        <w:rPr>
          <w:rFonts w:hint="eastAsia" w:ascii="宋体" w:hAnsi="宋体" w:cs="宋体"/>
          <w:b w:val="0"/>
          <w:bCs w:val="0"/>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文件时，应使用最新发布的电子招标文件及专用制作工具进行编制。并使用 CA（数字认证证书）对电子投标文件进行签章、加密、递交及开标时解密等投标相关操作</w:t>
      </w:r>
    </w:p>
    <w:p w14:paraId="2745C17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18.1.1 </w:t>
      </w:r>
      <w:r>
        <w:rPr>
          <w:rFonts w:hint="eastAsia" w:ascii="宋体" w:hAnsi="宋体" w:eastAsia="宋体" w:cs="宋体"/>
          <w:color w:val="auto"/>
          <w:sz w:val="21"/>
          <w:szCs w:val="21"/>
          <w:highlight w:val="none"/>
          <w:lang w:val="en-US" w:eastAsia="zh-CN"/>
        </w:rPr>
        <w:t>制作电子磋商响应文件。供应商须在“全国公共资源交易中心平台（陕西省）（</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"https://www.sxggzyjy.cn/"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www.sxggzyjy.cn/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）”的“服务指南”栏目“下载专区”中，免费下载“陕西省公共资源交易 平台政府采购电子标书制作工具，并升级至最新版本，使用该客户端制作电子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 xml:space="preserve">文件，制作扩展名为“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.SXSTF”的电子投标文件。”</w:t>
      </w:r>
    </w:p>
    <w:p w14:paraId="3CEEB7D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18.1.2</w:t>
      </w:r>
      <w:r>
        <w:rPr>
          <w:rFonts w:hint="eastAsia" w:ascii="宋体" w:hAnsi="宋体" w:eastAsia="宋体" w:cs="宋体"/>
          <w:color w:val="auto"/>
          <w:sz w:val="21"/>
          <w:szCs w:val="21"/>
          <w:highlight w:val="none"/>
          <w:lang w:val="en-US" w:eastAsia="zh-CN"/>
        </w:rPr>
        <w:t>供应商应随时留意可能发布的变更公告，公告中如注明本项目有变更文件，则应从“项目流程·〉答疑文件下载”下载更新后的电子</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文件（*.SXSCF），使用旧版电子</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文件制作的电子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文件（*.SXSTF），系统将拒绝接收。</w:t>
      </w:r>
    </w:p>
    <w:p w14:paraId="7B7CC34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18.1.3 </w:t>
      </w:r>
      <w:r>
        <w:rPr>
          <w:rFonts w:hint="eastAsia" w:ascii="宋体" w:hAnsi="宋体" w:eastAsia="宋体" w:cs="宋体"/>
          <w:color w:val="auto"/>
          <w:sz w:val="21"/>
          <w:szCs w:val="21"/>
          <w:highlight w:val="none"/>
          <w:lang w:val="en-US" w:eastAsia="zh-CN"/>
        </w:rPr>
        <w:t>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文件中需要法定代表人签字或盖章的地方，请使用“法人 CA”进行签章；需要加盖供应商公章的地方，请使用“企业 CA”进行盖章。加密和解密应当使用同一CA</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否则将会导致解密失败。如因供应商自身原因（加密和解密使用的CA 锁不一致、沿用旧版</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文件编制</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文件、供应商拒绝解密、逾期提交电子投标文件等） 造成无法解密</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文件的；电子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文件无法打开的均按无效投标对待。</w:t>
      </w:r>
    </w:p>
    <w:p w14:paraId="37ABA6A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kern w:val="1"/>
          <w:sz w:val="21"/>
          <w:szCs w:val="21"/>
          <w:highlight w:val="none"/>
        </w:rPr>
      </w:pPr>
      <w:r>
        <w:rPr>
          <w:rFonts w:hint="eastAsia" w:ascii="宋体" w:hAnsi="宋体" w:cs="宋体"/>
          <w:b/>
          <w:color w:val="auto"/>
          <w:kern w:val="1"/>
          <w:sz w:val="21"/>
          <w:szCs w:val="21"/>
          <w:highlight w:val="none"/>
          <w:lang w:val="en-US" w:eastAsia="zh-CN"/>
        </w:rPr>
        <w:t xml:space="preserve">18.2 </w:t>
      </w:r>
      <w:r>
        <w:rPr>
          <w:rFonts w:hint="eastAsia" w:ascii="宋体" w:hAnsi="宋体" w:eastAsia="宋体" w:cs="宋体"/>
          <w:b/>
          <w:color w:val="auto"/>
          <w:kern w:val="1"/>
          <w:sz w:val="21"/>
          <w:szCs w:val="21"/>
          <w:highlight w:val="none"/>
        </w:rPr>
        <w:t>纸质</w:t>
      </w:r>
      <w:r>
        <w:rPr>
          <w:rFonts w:hint="eastAsia" w:ascii="宋体" w:hAnsi="宋体" w:eastAsia="宋体" w:cs="宋体"/>
          <w:b/>
          <w:color w:val="auto"/>
          <w:kern w:val="1"/>
          <w:sz w:val="21"/>
          <w:szCs w:val="21"/>
          <w:highlight w:val="none"/>
          <w:lang w:val="en-US" w:eastAsia="zh-CN"/>
        </w:rPr>
        <w:t>磋商响应</w:t>
      </w:r>
      <w:r>
        <w:rPr>
          <w:rFonts w:hint="eastAsia" w:ascii="宋体" w:hAnsi="宋体" w:eastAsia="宋体" w:cs="宋体"/>
          <w:b/>
          <w:color w:val="auto"/>
          <w:kern w:val="1"/>
          <w:sz w:val="21"/>
          <w:szCs w:val="21"/>
          <w:highlight w:val="none"/>
        </w:rPr>
        <w:t>文件</w:t>
      </w:r>
    </w:p>
    <w:p w14:paraId="04E8E57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val="zh-CN" w:eastAsia="zh-CN"/>
        </w:rPr>
        <w:t>磋商供应商应</w:t>
      </w:r>
      <w:r>
        <w:rPr>
          <w:rFonts w:hint="eastAsia" w:ascii="宋体" w:hAnsi="宋体" w:eastAsia="宋体" w:cs="宋体"/>
          <w:color w:val="auto"/>
          <w:sz w:val="21"/>
          <w:szCs w:val="21"/>
          <w:highlight w:val="none"/>
          <w:lang w:val="zh-CN"/>
        </w:rPr>
        <w:t>填写全称，同时加盖磋商供应商单位印章。</w:t>
      </w:r>
    </w:p>
    <w:p w14:paraId="4DC581E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磋商响应文件中需签字的地方按竞争性磋商文件要求签字，需盖章的地方按竞争性磋商文件要求盖章。</w:t>
      </w:r>
    </w:p>
    <w:p w14:paraId="597EA5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2.3</w:t>
      </w:r>
      <w:r>
        <w:rPr>
          <w:rFonts w:hint="eastAsia" w:ascii="宋体" w:hAnsi="宋体" w:eastAsia="宋体" w:cs="宋体"/>
          <w:b/>
          <w:color w:val="auto"/>
          <w:kern w:val="1"/>
          <w:sz w:val="21"/>
          <w:szCs w:val="21"/>
          <w:highlight w:val="none"/>
        </w:rPr>
        <w:t>磋商响应文件（正本1份、副本</w:t>
      </w:r>
      <w:r>
        <w:rPr>
          <w:rFonts w:hint="eastAsia" w:ascii="宋体" w:hAnsi="宋体" w:eastAsia="宋体" w:cs="宋体"/>
          <w:b/>
          <w:color w:val="auto"/>
          <w:kern w:val="1"/>
          <w:sz w:val="21"/>
          <w:szCs w:val="21"/>
          <w:highlight w:val="none"/>
          <w:lang w:val="en-US" w:eastAsia="zh-CN"/>
        </w:rPr>
        <w:t>2</w:t>
      </w:r>
      <w:r>
        <w:rPr>
          <w:rFonts w:hint="eastAsia" w:ascii="宋体" w:hAnsi="宋体" w:eastAsia="宋体" w:cs="宋体"/>
          <w:b/>
          <w:color w:val="auto"/>
          <w:kern w:val="1"/>
          <w:sz w:val="21"/>
          <w:szCs w:val="21"/>
          <w:highlight w:val="none"/>
        </w:rPr>
        <w:t>份</w:t>
      </w:r>
      <w:r>
        <w:rPr>
          <w:rFonts w:hint="eastAsia" w:ascii="宋体" w:hAnsi="宋体" w:eastAsia="宋体" w:cs="宋体"/>
          <w:b/>
          <w:color w:val="auto"/>
          <w:kern w:val="1"/>
          <w:sz w:val="21"/>
          <w:szCs w:val="21"/>
          <w:highlight w:val="none"/>
          <w:lang w:eastAsia="zh-CN"/>
        </w:rPr>
        <w:t>、</w:t>
      </w:r>
      <w:r>
        <w:rPr>
          <w:rFonts w:hint="eastAsia" w:ascii="宋体" w:hAnsi="宋体" w:eastAsia="宋体" w:cs="宋体"/>
          <w:b/>
          <w:color w:val="auto"/>
          <w:kern w:val="1"/>
          <w:sz w:val="21"/>
          <w:szCs w:val="21"/>
          <w:highlight w:val="none"/>
          <w:lang w:val="en-US" w:eastAsia="zh-CN"/>
        </w:rPr>
        <w:t>电子文件U盘</w:t>
      </w:r>
      <w:r>
        <w:rPr>
          <w:rFonts w:hint="eastAsia" w:ascii="宋体" w:hAnsi="宋体" w:cs="宋体"/>
          <w:b/>
          <w:color w:val="auto"/>
          <w:kern w:val="1"/>
          <w:sz w:val="21"/>
          <w:szCs w:val="21"/>
          <w:highlight w:val="none"/>
          <w:lang w:val="en-US" w:eastAsia="zh-CN"/>
        </w:rPr>
        <w:t>2</w:t>
      </w:r>
      <w:r>
        <w:rPr>
          <w:rFonts w:hint="eastAsia" w:ascii="宋体" w:hAnsi="宋体" w:eastAsia="宋体" w:cs="宋体"/>
          <w:b/>
          <w:color w:val="auto"/>
          <w:kern w:val="1"/>
          <w:sz w:val="21"/>
          <w:szCs w:val="21"/>
          <w:highlight w:val="none"/>
          <w:lang w:val="en-US" w:eastAsia="zh-CN"/>
        </w:rPr>
        <w:t>份</w:t>
      </w:r>
      <w:r>
        <w:rPr>
          <w:rFonts w:hint="eastAsia" w:ascii="宋体" w:hAnsi="宋体" w:eastAsia="宋体" w:cs="宋体"/>
          <w:b/>
          <w:color w:val="auto"/>
          <w:kern w:val="1"/>
          <w:sz w:val="21"/>
          <w:szCs w:val="21"/>
          <w:highlight w:val="none"/>
        </w:rPr>
        <w:t>）</w:t>
      </w:r>
      <w:r>
        <w:rPr>
          <w:rFonts w:hint="eastAsia" w:ascii="宋体" w:hAnsi="宋体" w:eastAsia="宋体" w:cs="宋体"/>
          <w:color w:val="auto"/>
          <w:kern w:val="1"/>
          <w:sz w:val="21"/>
          <w:szCs w:val="21"/>
          <w:highlight w:val="none"/>
        </w:rPr>
        <w:t>，正、副本须用A4幅面纸张打印或用不褪色的蓝（黑）墨水填写，并清楚标明“正本”“副本”字样，并各自装订成册。</w:t>
      </w:r>
    </w:p>
    <w:p w14:paraId="56B5EA5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18.</w:t>
      </w:r>
      <w:r>
        <w:rPr>
          <w:rFonts w:hint="eastAsia" w:ascii="宋体" w:hAnsi="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lang w:val="zh-CN"/>
        </w:rPr>
        <w:t>电子文件</w:t>
      </w:r>
      <w:r>
        <w:rPr>
          <w:rFonts w:hint="eastAsia" w:ascii="宋体" w:hAnsi="宋体" w:eastAsia="宋体" w:cs="宋体"/>
          <w:b/>
          <w:bCs/>
          <w:color w:val="auto"/>
          <w:sz w:val="21"/>
          <w:szCs w:val="21"/>
          <w:highlight w:val="none"/>
          <w:lang w:val="zh-CN" w:eastAsia="zh-CN"/>
        </w:rPr>
        <w:t>包含广联达版</w:t>
      </w:r>
      <w:r>
        <w:rPr>
          <w:rFonts w:hint="eastAsia" w:ascii="宋体" w:hAnsi="宋体" w:eastAsia="宋体" w:cs="宋体"/>
          <w:b/>
          <w:bCs/>
          <w:color w:val="auto"/>
          <w:sz w:val="21"/>
          <w:szCs w:val="21"/>
          <w:highlight w:val="none"/>
          <w:lang w:val="en-US" w:eastAsia="zh-CN"/>
        </w:rPr>
        <w:t>投标报价文件</w:t>
      </w:r>
      <w:r>
        <w:rPr>
          <w:rFonts w:hint="eastAsia" w:ascii="宋体" w:hAnsi="宋体" w:eastAsia="宋体" w:cs="宋体"/>
          <w:b/>
          <w:bCs/>
          <w:color w:val="auto"/>
          <w:sz w:val="21"/>
          <w:szCs w:val="21"/>
          <w:highlight w:val="none"/>
          <w:lang w:val="zh-CN" w:eastAsia="zh-CN"/>
        </w:rPr>
        <w:t>、投标文件电子版；投标文件电子版</w:t>
      </w:r>
      <w:r>
        <w:rPr>
          <w:rFonts w:hint="eastAsia" w:ascii="宋体" w:hAnsi="宋体" w:eastAsia="宋体" w:cs="宋体"/>
          <w:b/>
          <w:bCs/>
          <w:color w:val="auto"/>
          <w:sz w:val="21"/>
          <w:szCs w:val="21"/>
          <w:highlight w:val="none"/>
          <w:lang w:val="zh-CN"/>
        </w:rPr>
        <w:t>制作要求，电子文件与纸质正本竞争性磋商响应文件的内容应保持一致，具有同等法律效力，包含PDF格式和WORD格式，采用PDF格式的，有盖章和签字的文字页、证件等扫描文件一起编辑到PDF格式文件中，尤其是有盖章和签字的页不能遗漏，采用U盘刻录。</w:t>
      </w:r>
    </w:p>
    <w:p w14:paraId="2223349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2.5</w:t>
      </w:r>
      <w:r>
        <w:rPr>
          <w:rFonts w:hint="eastAsia" w:ascii="宋体" w:hAnsi="宋体" w:eastAsia="宋体" w:cs="宋体"/>
          <w:color w:val="auto"/>
          <w:sz w:val="21"/>
          <w:szCs w:val="21"/>
          <w:highlight w:val="none"/>
          <w:lang w:val="zh-CN"/>
        </w:rPr>
        <w:t>磋商响应文件除各供应商对错处做必要修改外，不得行间插字、涂改和增删，如有修改错漏处，必须由供应商法定代表人（或其委托代理人）签字或盖章。</w:t>
      </w:r>
    </w:p>
    <w:p w14:paraId="603A0FC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因字迹潦草或表达不清所引起的后果由磋商供应商负责。</w:t>
      </w:r>
    </w:p>
    <w:p w14:paraId="63696EB7">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19、踏勘和磋商预备会</w:t>
      </w:r>
    </w:p>
    <w:p w14:paraId="1696793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19.1、本项目不组织统一踏勘。</w:t>
      </w:r>
    </w:p>
    <w:p w14:paraId="780AAA1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1"/>
          <w:szCs w:val="21"/>
          <w:highlight w:val="none"/>
          <w:lang w:val="en-US" w:eastAsia="zh-CN"/>
        </w:rPr>
        <w:t>19.2、本项目不召开磋商预备会，磋商供应商如有疑问，请在规定时间内提交至代理机构。</w:t>
      </w:r>
    </w:p>
    <w:p w14:paraId="40A2572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15" w:name="_Toc392236633"/>
      <w:bookmarkStart w:id="16" w:name="_Toc10117"/>
      <w:bookmarkStart w:id="17" w:name="_Toc5363"/>
      <w:bookmarkStart w:id="18" w:name="_Toc7524491"/>
      <w:bookmarkStart w:id="19" w:name="_Toc24902"/>
      <w:bookmarkStart w:id="20" w:name="_Toc23618"/>
      <w:bookmarkStart w:id="21" w:name="_Toc5005"/>
      <w:bookmarkStart w:id="22" w:name="_Toc22633"/>
      <w:bookmarkStart w:id="23" w:name="_Toc17826"/>
      <w:bookmarkStart w:id="24" w:name="_Toc29488"/>
      <w:bookmarkStart w:id="25" w:name="_Toc14243"/>
      <w:bookmarkStart w:id="26" w:name="_Toc233435938"/>
      <w:bookmarkStart w:id="27" w:name="_Toc13486"/>
      <w:bookmarkStart w:id="28" w:name="_Toc386965846"/>
      <w:r>
        <w:rPr>
          <w:rFonts w:hint="eastAsia" w:ascii="宋体" w:hAnsi="宋体" w:eastAsia="宋体" w:cs="宋体"/>
          <w:b/>
          <w:color w:val="auto"/>
          <w:sz w:val="28"/>
          <w:szCs w:val="28"/>
          <w:highlight w:val="none"/>
          <w:lang w:val="zh-CN" w:eastAsia="zh-CN"/>
        </w:rPr>
        <w:t>D、响应文件的递交</w:t>
      </w:r>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413F26E5">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lang w:val="zh-CN"/>
        </w:rPr>
        <w:t>、</w:t>
      </w:r>
      <w:r>
        <w:rPr>
          <w:rFonts w:hint="eastAsia" w:ascii="宋体" w:hAnsi="宋体" w:eastAsia="宋体" w:cs="宋体"/>
          <w:b/>
          <w:bCs w:val="0"/>
          <w:color w:val="auto"/>
          <w:sz w:val="21"/>
          <w:szCs w:val="21"/>
          <w:highlight w:val="none"/>
          <w:lang w:val="zh-CN"/>
        </w:rPr>
        <w:t>磋商响应文件</w:t>
      </w:r>
      <w:r>
        <w:rPr>
          <w:rFonts w:hint="eastAsia" w:ascii="宋体" w:hAnsi="宋体" w:cs="宋体"/>
          <w:b/>
          <w:bCs w:val="0"/>
          <w:color w:val="auto"/>
          <w:sz w:val="21"/>
          <w:szCs w:val="21"/>
          <w:highlight w:val="none"/>
          <w:lang w:val="en-US" w:eastAsia="zh-CN"/>
        </w:rPr>
        <w:t>的</w:t>
      </w:r>
      <w:r>
        <w:rPr>
          <w:rFonts w:hint="eastAsia" w:ascii="宋体" w:hAnsi="宋体" w:eastAsia="宋体" w:cs="宋体"/>
          <w:b/>
          <w:bCs w:val="0"/>
          <w:color w:val="auto"/>
          <w:sz w:val="21"/>
          <w:szCs w:val="21"/>
          <w:highlight w:val="none"/>
          <w:lang w:val="zh-CN"/>
        </w:rPr>
        <w:t>递交</w:t>
      </w:r>
    </w:p>
    <w:p w14:paraId="4EEF66E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20.1</w:t>
      </w:r>
      <w:r>
        <w:rPr>
          <w:rFonts w:hint="eastAsia" w:ascii="宋体" w:hAnsi="宋体" w:eastAsia="宋体" w:cs="宋体"/>
          <w:color w:val="auto"/>
          <w:sz w:val="21"/>
          <w:szCs w:val="21"/>
          <w:highlight w:val="none"/>
          <w:lang w:val="en-US" w:eastAsia="zh-CN"/>
        </w:rPr>
        <w:t>递交电子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文件。登录全国公共资源交易中心平台（陕西省）（</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"https://www.sxggzyjy.cn/"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www.sxggzyjy.cn/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），选择“电子交易平台—陕西公共资源交易系统—企业端”进行登录，登录后选择“交易中标供应商”身份进入，进入菜单“采购业务—我的项目——项目流程 ——上传响应文件”，上传加密的电子投标文件。上传成功后，电子化平台将予以记录。</w:t>
      </w:r>
    </w:p>
    <w:p w14:paraId="0A1901C8">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21、磋商截止时间</w:t>
      </w:r>
    </w:p>
    <w:p w14:paraId="0E567A5B">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21.1、所有响应文件都必须按“竞争性磋商公告”中规定的统一递交响应文件时间送达“竞争性磋商公告”中规定的递交地址。</w:t>
      </w:r>
    </w:p>
    <w:p w14:paraId="003933D9">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21.2、出现因磋商文件的修改推迟投标截止日期时，则按修改通知规定的时间递交。</w:t>
      </w:r>
    </w:p>
    <w:p w14:paraId="294AB00A">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21.3、在响应文件递交截止时间之后递交的任何响应文件及资料将被拒绝接收。</w:t>
      </w:r>
    </w:p>
    <w:p w14:paraId="5B05E2E3">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21.4、拒绝接受以电报、电话、传真、电子邮件形式的投标。</w:t>
      </w:r>
    </w:p>
    <w:p w14:paraId="32BF636A">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22</w:t>
      </w:r>
      <w:r>
        <w:rPr>
          <w:rFonts w:hint="eastAsia" w:ascii="宋体" w:hAnsi="宋体" w:eastAsia="宋体" w:cs="宋体"/>
          <w:b/>
          <w:bCs/>
          <w:color w:val="auto"/>
          <w:sz w:val="21"/>
          <w:szCs w:val="21"/>
          <w:highlight w:val="none"/>
          <w:lang w:val="zh-CN"/>
        </w:rPr>
        <w:t>、</w:t>
      </w:r>
      <w:r>
        <w:rPr>
          <w:rFonts w:hint="eastAsia" w:ascii="宋体" w:hAnsi="宋体" w:eastAsia="宋体" w:cs="宋体"/>
          <w:b/>
          <w:color w:val="auto"/>
          <w:kern w:val="1"/>
          <w:sz w:val="21"/>
          <w:szCs w:val="21"/>
          <w:highlight w:val="none"/>
        </w:rPr>
        <w:t>磋商响应文件的修改</w:t>
      </w:r>
      <w:r>
        <w:rPr>
          <w:rFonts w:hint="eastAsia" w:ascii="宋体" w:hAnsi="宋体" w:eastAsia="宋体" w:cs="宋体"/>
          <w:b/>
          <w:color w:val="auto"/>
          <w:kern w:val="1"/>
          <w:sz w:val="21"/>
          <w:szCs w:val="21"/>
          <w:highlight w:val="none"/>
          <w:lang w:val="en-US" w:eastAsia="zh-CN"/>
        </w:rPr>
        <w:t>与</w:t>
      </w:r>
      <w:r>
        <w:rPr>
          <w:rFonts w:hint="eastAsia" w:ascii="宋体" w:hAnsi="宋体" w:eastAsia="宋体" w:cs="宋体"/>
          <w:b/>
          <w:color w:val="auto"/>
          <w:kern w:val="1"/>
          <w:sz w:val="21"/>
          <w:szCs w:val="21"/>
          <w:highlight w:val="none"/>
        </w:rPr>
        <w:t>撤回</w:t>
      </w:r>
    </w:p>
    <w:p w14:paraId="7418BE8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22.1 磋商响应</w:t>
      </w:r>
      <w:r>
        <w:rPr>
          <w:rFonts w:hint="eastAsia" w:ascii="宋体" w:hAnsi="宋体" w:eastAsia="宋体" w:cs="宋体"/>
          <w:color w:val="auto"/>
          <w:sz w:val="21"/>
          <w:szCs w:val="21"/>
          <w:highlight w:val="none"/>
          <w:lang w:val="en-US" w:eastAsia="zh-CN"/>
        </w:rPr>
        <w:t>文件的撤回、补充和修改</w:t>
      </w:r>
    </w:p>
    <w:p w14:paraId="27A9ACF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供应商在递交</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文件后，且在提交</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文件截止时间前，可以对所提交的</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文件进行撤回、补充或修改。对电子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文件进行补充、修改的，应先从电子交易平台上撤回旧版，再重新提交新版。</w:t>
      </w:r>
    </w:p>
    <w:p w14:paraId="209473CD">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1"/>
          <w:szCs w:val="21"/>
          <w:highlight w:val="none"/>
          <w:lang w:val="en-US" w:eastAsia="zh-CN"/>
        </w:rPr>
        <w:t>22.</w:t>
      </w:r>
      <w:r>
        <w:rPr>
          <w:rFonts w:hint="eastAsia" w:ascii="宋体" w:hAnsi="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zh-CN" w:eastAsia="zh-CN"/>
        </w:rPr>
        <w:t>在磋商截止时间之后，供应商不得对其磋商响应文件做任何修改或撤回。</w:t>
      </w:r>
    </w:p>
    <w:p w14:paraId="635ABA1B">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29" w:name="_Toc14052"/>
      <w:bookmarkStart w:id="30" w:name="_Toc30329"/>
      <w:bookmarkStart w:id="31" w:name="_Toc20231"/>
      <w:r>
        <w:rPr>
          <w:rFonts w:hint="eastAsia" w:ascii="宋体" w:hAnsi="宋体" w:eastAsia="宋体" w:cs="宋体"/>
          <w:b/>
          <w:color w:val="auto"/>
          <w:sz w:val="28"/>
          <w:szCs w:val="28"/>
          <w:highlight w:val="none"/>
          <w:lang w:val="zh-CN" w:eastAsia="zh-CN"/>
        </w:rPr>
        <w:t>E、磋商及评审</w:t>
      </w:r>
      <w:bookmarkEnd w:id="29"/>
      <w:bookmarkEnd w:id="30"/>
      <w:bookmarkEnd w:id="31"/>
    </w:p>
    <w:p w14:paraId="5C09F16D">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23、磋商大会</w:t>
      </w:r>
    </w:p>
    <w:p w14:paraId="46EBC3FF">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23.1、采购代理机构按竞争性磋商文件规定的时间、地点组织磋商。</w:t>
      </w:r>
    </w:p>
    <w:p w14:paraId="24BBF9FA">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23.2、磋商大会由采购代理机构主持，采购人代表、磋商供应商等相关人员参加。</w:t>
      </w:r>
    </w:p>
    <w:p w14:paraId="02D84F96">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24、评审程序</w:t>
      </w:r>
    </w:p>
    <w:p w14:paraId="1AB71E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按照竞争性磋商响应文件初审、澄清有关问题、分别磋商、二次报价、比较与评审、推荐成交候选人名单的工作程序进行评审。在上一步评审中被认定为无效磋商者，不进入下一步的评审。</w:t>
      </w:r>
    </w:p>
    <w:p w14:paraId="54E8377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25、评审组织及评审原则</w:t>
      </w:r>
    </w:p>
    <w:p w14:paraId="6C18114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53A6DE5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25.2、竞争性磋商文件和竞争性磋商响应文件是评审的依据。在评审中，不得改变竞争性磋商文件中规定的评审标准、方法和成交条件。</w:t>
      </w:r>
    </w:p>
    <w:p w14:paraId="295502D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25.3、在评审期间，对竞争性磋商响应文件中含义不明确、同类问题表述不一致或者有明显文字和计算错误的内容，磋商小组可以（由磋商小组专家签字）要求供应商作出必要的澄清、说明或者纠正。供应商的澄清、说明或者补正不得超出竞争性磋商响应文件的范围或者改变竞争性磋商响应文件的实质性内容。</w:t>
      </w:r>
    </w:p>
    <w:p w14:paraId="06AC142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25.4、如果供应商在澄清规定期限内，未能答复或拒绝答复磋商小组提出的澄清要求，将由磋商小组根据其竞争性磋商响应文件按最大风险进行评审。</w:t>
      </w:r>
    </w:p>
    <w:p w14:paraId="40378AF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25.5、磋商过程中的实质性变动：</w:t>
      </w:r>
    </w:p>
    <w:p w14:paraId="3633FB2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F63B2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（2）对竞争性磋商文件做出的实质性变动是磋商文件的有效组成部分，磋商小组应当及时通知所有参加磋商的供应商。</w:t>
      </w:r>
    </w:p>
    <w:p w14:paraId="23D558E8">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、竞争性磋商响应文件的资格性审查</w:t>
      </w:r>
    </w:p>
    <w:p w14:paraId="4D40E09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开标结束后，采购人依据法律法规和磋商文件的规定，对响应文件中的供应商资格证明文件进行审查，以确定供应商是否具备磋商资格。</w:t>
      </w:r>
    </w:p>
    <w:p w14:paraId="09307A5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出现下列情形的，响应文件将被视为无效：</w:t>
      </w:r>
    </w:p>
    <w:p w14:paraId="5134AB5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（1）不具备磋商文件中规定的资格要求的；</w:t>
      </w:r>
    </w:p>
    <w:p w14:paraId="7D1F5C7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（2）未按磋商文件要求提供资格证明文件，或未按磋商文件要求加盖公章的；</w:t>
      </w:r>
    </w:p>
    <w:p w14:paraId="2808FDF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（3）监标人认为供应商的资格证明文件存在疑点，需提供更清晰有效的证明文件，供应商不能在规定时限内提供符合磋商文件要求的证明文件的。</w:t>
      </w:r>
    </w:p>
    <w:p w14:paraId="23D8392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资格审查结束后，监标人应当对审查结果进行签字确认，并告知有关供应商未通过审查的原因。</w:t>
      </w:r>
    </w:p>
    <w:p w14:paraId="21490EB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通过资格审查的供应商不足3家的，不得进行符合性审查，应予以废标。</w:t>
      </w:r>
    </w:p>
    <w:p w14:paraId="5FE3AAA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关于信用记录的查询和使用</w:t>
      </w:r>
    </w:p>
    <w:p w14:paraId="5A6D8D5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供应商不得为列入信用中国(www.creditchina.gov.cn)的重大税收违法案件当事人名单记录或中国执行信息公开网（http://zxgk.court.gov.cn/shixin/）的失信被执行人名单记录或中国政府采购网(www.ccgp.gov.cn)的政府采购严重违法失信行为记录名单</w:t>
      </w:r>
      <w:r>
        <w:rPr>
          <w:rFonts w:hint="eastAsia" w:ascii="宋体" w:hAnsi="宋体" w:eastAsia="宋体" w:cs="宋体"/>
          <w:color w:val="auto"/>
          <w:sz w:val="21"/>
          <w:szCs w:val="21"/>
          <w:highlight w:val="none"/>
          <w:lang w:eastAsia="zh-CN"/>
        </w:rPr>
        <w:t>。</w:t>
      </w:r>
    </w:p>
    <w:p w14:paraId="7ABFE6B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（2）供应商在参加政府采购活动前3年内因违法经营被禁止在一定期限内参加政府采购活动，期限届满的，可以参加政府采购活动的，但供应商应提供相关证明材料。</w:t>
      </w:r>
    </w:p>
    <w:p w14:paraId="6D5253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（3）供应商信用记录及企业基本信息查询的时间段为“磋商公告发布之日（含当日）至提交响应文件截止之日（含当日）”。</w:t>
      </w:r>
    </w:p>
    <w:p w14:paraId="27A34C4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A1CE3B5">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注：若供应商在失信行为记录名单中，则其响应文件无效。采购代理机构将打印查询记录作为证据留存。</w:t>
      </w:r>
    </w:p>
    <w:p w14:paraId="3C76B789">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、竞争性磋商响应文件的符合性审查</w:t>
      </w:r>
    </w:p>
    <w:p w14:paraId="5FAFFAD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磋商小组依据磋商文件的规定，对响应文件的有效性、完整性和对磋商文件的响应程度进行审查，以确定是否对磋商文件的全部实质性要求做出响应。</w:t>
      </w:r>
    </w:p>
    <w:p w14:paraId="41291C1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要审查每份响应文件是否实质上响应了磋商文件的要求。实质上没有响应磋商文件要求的响应文件作无效响应处理，磋商小组应告知有关供应商未通过审查的原因。供应商不得通过修正或撤销不符之处而使其成为实质上响应。</w:t>
      </w:r>
    </w:p>
    <w:p w14:paraId="6A046CAC">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评审中，</w:t>
      </w:r>
      <w:r>
        <w:rPr>
          <w:rFonts w:hint="eastAsia" w:ascii="宋体" w:hAnsi="宋体" w:eastAsia="宋体" w:cs="宋体"/>
          <w:b/>
          <w:bCs/>
          <w:color w:val="auto"/>
          <w:sz w:val="21"/>
          <w:szCs w:val="21"/>
          <w:highlight w:val="none"/>
          <w:lang w:val="zh-CN" w:eastAsia="zh-CN"/>
        </w:rPr>
        <w:t>磋商采购响应文件出现下列情况，修正原则为：</w:t>
      </w:r>
    </w:p>
    <w:p w14:paraId="051E3D21">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（1）磋商响应文件内容与第一次磋商报价表对应内容不一致的，以第一次磋商报价表为准；</w:t>
      </w:r>
    </w:p>
    <w:p w14:paraId="6F42CBEA">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报价的大写金额和小写金额不一致的，以大写金额为准；</w:t>
      </w:r>
    </w:p>
    <w:p w14:paraId="5D8EAE9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总价金额与按单价汇总金额不一致的，以单价汇总金额为准；</w:t>
      </w:r>
    </w:p>
    <w:p w14:paraId="45BFA83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单价金额小数点有明显错位的，以总价为准，并修改单价；</w:t>
      </w:r>
    </w:p>
    <w:p w14:paraId="108E3FB6">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磋商响应文件正本与副本不一致的，以正本为准；</w:t>
      </w:r>
    </w:p>
    <w:p w14:paraId="2ECED1E2">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多处内容交叉不符时，以磋商小组评审结果为准；</w:t>
      </w:r>
    </w:p>
    <w:p w14:paraId="64B2BEFF">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eastAsia="zh-CN"/>
        </w:rPr>
        <w:t>文字与图表不符时，以文字为准；</w:t>
      </w:r>
    </w:p>
    <w:p w14:paraId="37ED88C2">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磋商供应商不同意以上修正，则其投标将被拒绝。磋商供应商同意后，按上述规定修正后的报价对磋商供应商起约束作用。</w:t>
      </w:r>
    </w:p>
    <w:p w14:paraId="27BCFAC5">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25.1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DBCBF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eastAsia="zh-CN"/>
        </w:rPr>
        <w:t>凡审查、澄清、评价和比较投标的有关资料及被授标意见等内容，磋商小组成员均不得向磋商供应商及与评标无关的其他人透露。</w:t>
      </w:r>
    </w:p>
    <w:p w14:paraId="36D681F0">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26、竞争性磋商</w:t>
      </w:r>
      <w:r>
        <w:rPr>
          <w:rFonts w:hint="eastAsia" w:ascii="宋体" w:hAnsi="宋体" w:eastAsia="宋体" w:cs="宋体"/>
          <w:b/>
          <w:bCs/>
          <w:color w:val="auto"/>
          <w:sz w:val="21"/>
          <w:szCs w:val="21"/>
          <w:highlight w:val="none"/>
          <w:lang w:val="zh-CN"/>
        </w:rPr>
        <w:t>响应文件的详细审查</w:t>
      </w:r>
    </w:p>
    <w:p w14:paraId="45E4FAE5">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.1、经磋商确定最终采购需求和提交最后报价的供应商后，磋商小组采用综合评分法对提交最后报价的供应商的响应文件和最后报价进行综合评分。</w:t>
      </w:r>
    </w:p>
    <w:p w14:paraId="4128D126">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.2、综合评分法是指响应文件满足磋商文件全部实质性要求且按评审因素的量化指标评审得分最高的供应商为成交候选供应商的评审方法。磋商文件中没有规定的评审标准不得作为评审依据。</w:t>
      </w:r>
    </w:p>
    <w:p w14:paraId="00410A1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3、磋商小组各成员应独立对每个有效响应文件进行评价、打分，然后汇总每个供应商每项评分因素的得分，并根据综合评分情况，按照评审得分由高到低顺序推荐成交候选供应商，并编写评审报告。评审得分相同的，按照最后报价由低到高的顺序推荐。评审得分且最后报价相同的，按照技术方案得分由高到低顺序推荐。</w:t>
      </w:r>
    </w:p>
    <w:p w14:paraId="3116D1F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4、评审报告应当由磋商小组全体人员签字认可。对评审报告有异议的磋商小组成员，应当在报告上签署不同意见并说明理由，由磋商小组记录相关情况。磋商小组成员拒绝在报告上签字又不说明其不同意见和理由的，视为同意评审报告。</w:t>
      </w:r>
    </w:p>
    <w:p w14:paraId="35D4D61F">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27、</w:t>
      </w:r>
      <w:r>
        <w:rPr>
          <w:rFonts w:hint="eastAsia" w:ascii="宋体" w:hAnsi="宋体" w:eastAsia="宋体" w:cs="宋体"/>
          <w:b/>
          <w:bCs/>
          <w:color w:val="auto"/>
          <w:sz w:val="21"/>
          <w:szCs w:val="21"/>
          <w:highlight w:val="none"/>
          <w:lang w:val="zh-CN"/>
        </w:rPr>
        <w:t>评审过程的保密</w:t>
      </w:r>
    </w:p>
    <w:p w14:paraId="5D0E57A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磋商小组成员和与评审活动有关的工作人员不得泄露有关竞争性磋商响应文件的评审和比较、成交候选人的推荐以及与评审有关的其他情况。</w:t>
      </w:r>
    </w:p>
    <w:p w14:paraId="78AA409C">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28、</w:t>
      </w:r>
      <w:r>
        <w:rPr>
          <w:rFonts w:hint="eastAsia" w:ascii="宋体" w:hAnsi="宋体" w:eastAsia="宋体" w:cs="宋体"/>
          <w:b/>
          <w:bCs/>
          <w:color w:val="auto"/>
          <w:sz w:val="21"/>
          <w:szCs w:val="21"/>
          <w:highlight w:val="none"/>
          <w:lang w:val="zh-CN"/>
        </w:rPr>
        <w:t>评审方法</w:t>
      </w:r>
    </w:p>
    <w:p w14:paraId="66AB6D93">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ascii="宋体" w:hAnsi="宋体" w:eastAsia="宋体" w:cs="宋体"/>
          <w:color w:val="auto"/>
          <w:sz w:val="21"/>
          <w:szCs w:val="21"/>
          <w:highlight w:val="none"/>
          <w:lang w:val="en-US" w:eastAsia="zh-CN"/>
        </w:rPr>
        <w:t>推荐前三名</w:t>
      </w:r>
      <w:r>
        <w:rPr>
          <w:rFonts w:hint="eastAsia" w:ascii="宋体" w:hAnsi="宋体" w:eastAsia="宋体" w:cs="宋体"/>
          <w:color w:val="auto"/>
          <w:sz w:val="21"/>
          <w:szCs w:val="21"/>
          <w:highlight w:val="none"/>
          <w:lang w:val="zh-CN"/>
        </w:rPr>
        <w:t>成交候选人。</w:t>
      </w:r>
    </w:p>
    <w:p w14:paraId="3BDB9303">
      <w:pPr>
        <w:keepNext w:val="0"/>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lang w:val="zh-CN"/>
        </w:rPr>
        <w:t>、磋商小组组成及职责</w:t>
      </w:r>
    </w:p>
    <w:p w14:paraId="3BDAF725">
      <w:pPr>
        <w:keepNext w:val="0"/>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val="zh-CN"/>
        </w:rPr>
        <w:t>1、为确保评标工作公开、公平、公正，依法成立磋商小组。磋商小组由采购人</w:t>
      </w:r>
      <w:r>
        <w:rPr>
          <w:rFonts w:hint="eastAsia" w:ascii="宋体" w:hAnsi="宋体" w:eastAsia="宋体" w:cs="宋体"/>
          <w:color w:val="auto"/>
          <w:sz w:val="21"/>
          <w:szCs w:val="21"/>
          <w:highlight w:val="none"/>
          <w:lang w:val="en-US" w:eastAsia="zh-CN"/>
        </w:rPr>
        <w:t>代表</w:t>
      </w:r>
      <w:r>
        <w:rPr>
          <w:rFonts w:hint="eastAsia" w:ascii="宋体" w:hAnsi="宋体" w:eastAsia="宋体" w:cs="宋体"/>
          <w:color w:val="auto"/>
          <w:sz w:val="21"/>
          <w:szCs w:val="21"/>
          <w:highlight w:val="none"/>
          <w:lang w:val="zh-CN"/>
        </w:rPr>
        <w:t>及和评审专家共3人以上单数组成，其中评审专家人数不得不少于磋商小组成员总数的三分之二，评审专家在陕西省</w:t>
      </w:r>
      <w:r>
        <w:rPr>
          <w:rFonts w:hint="eastAsia" w:ascii="宋体" w:hAnsi="宋体" w:eastAsia="宋体" w:cs="宋体"/>
          <w:color w:val="auto"/>
          <w:sz w:val="21"/>
          <w:szCs w:val="21"/>
          <w:highlight w:val="none"/>
          <w:lang w:val="en-US" w:eastAsia="zh-CN"/>
        </w:rPr>
        <w:t>政府采购</w:t>
      </w:r>
      <w:r>
        <w:rPr>
          <w:rFonts w:hint="eastAsia" w:ascii="宋体" w:hAnsi="宋体" w:eastAsia="宋体" w:cs="宋体"/>
          <w:color w:val="auto"/>
          <w:sz w:val="21"/>
          <w:szCs w:val="21"/>
          <w:highlight w:val="none"/>
          <w:lang w:val="zh-CN"/>
        </w:rPr>
        <w:t>专家库中随机抽取产生。</w:t>
      </w:r>
    </w:p>
    <w:p w14:paraId="11B17C8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val="zh-CN"/>
        </w:rPr>
        <w:t>2、磋商小组负责具体评审事务，并独立履行下列职责：</w:t>
      </w:r>
    </w:p>
    <w:p w14:paraId="1FE3F00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遵纪守法，客观、公正、廉洁地履行职责，审查磋商响应文件是否符合竞争性磋商文件的要求，并做出评价；</w:t>
      </w:r>
    </w:p>
    <w:p w14:paraId="194F626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要求供应商对磋商响应文件有关事项作出解释或者澄清；</w:t>
      </w:r>
    </w:p>
    <w:p w14:paraId="3BD66395">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按照竞争性磋商文件的要求和磋商办法进行评审，推荐成交候选单位名单，对评审意见承担个人责任；</w:t>
      </w:r>
    </w:p>
    <w:p w14:paraId="7BFA27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对评审过程和结果以及供应商的商业秘密保密；</w:t>
      </w:r>
    </w:p>
    <w:p w14:paraId="2951E35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rPr>
        <w:t>参与磋商结果报告的起草；</w:t>
      </w:r>
    </w:p>
    <w:p w14:paraId="00AD34D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配合采购代理机构答复供应商提出的质疑；</w:t>
      </w:r>
    </w:p>
    <w:p w14:paraId="376C04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配合财政部门的投诉处理工作；</w:t>
      </w:r>
    </w:p>
    <w:p w14:paraId="17DF434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zh-CN"/>
        </w:rPr>
        <w:t>依据政府采购法有关精神，有权对磋商过程中出现的一切问题做出处理决定。</w:t>
      </w:r>
    </w:p>
    <w:p w14:paraId="42369969">
      <w:pPr>
        <w:keepNext w:val="0"/>
        <w:keepLines w:val="0"/>
        <w:pageBreakBefore w:val="0"/>
        <w:widowControl w:val="0"/>
        <w:shd w:val="clear"/>
        <w:kinsoku/>
        <w:wordWrap/>
        <w:overflowPunct/>
        <w:topLinePunct w:val="0"/>
        <w:bidi w:val="0"/>
        <w:snapToGrid/>
        <w:spacing w:line="400" w:lineRule="exact"/>
        <w:ind w:firstLine="420" w:firstLineChars="200"/>
        <w:textAlignment w:val="auto"/>
        <w:rPr>
          <w:rFonts w:hint="eastAsia" w:ascii="宋体" w:hAnsi="宋体" w:eastAsia="宋体" w:cs="宋体"/>
          <w:color w:val="auto"/>
          <w:kern w:val="1"/>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kern w:val="1"/>
          <w:sz w:val="21"/>
          <w:szCs w:val="21"/>
          <w:highlight w:val="none"/>
          <w:lang w:val="en-US" w:eastAsia="zh-CN"/>
        </w:rPr>
        <w:t>3、</w:t>
      </w:r>
      <w:r>
        <w:rPr>
          <w:rFonts w:hint="eastAsia" w:ascii="宋体" w:hAnsi="宋体" w:eastAsia="宋体" w:cs="宋体"/>
          <w:color w:val="auto"/>
          <w:kern w:val="1"/>
          <w:sz w:val="21"/>
          <w:szCs w:val="21"/>
          <w:highlight w:val="none"/>
        </w:rPr>
        <w:t>磋商小组在评审过程中发现供应商有行贿、提供虚假材料或者串通等违法行为的，应当及时向财政部门报告。</w:t>
      </w:r>
    </w:p>
    <w:p w14:paraId="7096580A">
      <w:pPr>
        <w:keepNext w:val="0"/>
        <w:keepLines w:val="0"/>
        <w:pageBreakBefore w:val="0"/>
        <w:widowControl w:val="0"/>
        <w:shd w:val="clear"/>
        <w:kinsoku/>
        <w:wordWrap/>
        <w:overflowPunct/>
        <w:topLinePunct w:val="0"/>
        <w:bidi w:val="0"/>
        <w:snapToGrid/>
        <w:spacing w:line="400" w:lineRule="exact"/>
        <w:ind w:firstLine="420" w:firstLineChars="200"/>
        <w:textAlignment w:val="auto"/>
        <w:rPr>
          <w:rFonts w:hint="eastAsia" w:ascii="宋体" w:hAnsi="宋体" w:eastAsia="宋体" w:cs="宋体"/>
          <w:color w:val="auto"/>
          <w:kern w:val="1"/>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kern w:val="1"/>
          <w:sz w:val="21"/>
          <w:szCs w:val="21"/>
          <w:highlight w:val="none"/>
          <w:lang w:val="en-US" w:eastAsia="zh-CN"/>
        </w:rPr>
        <w:t>4、</w:t>
      </w:r>
      <w:r>
        <w:rPr>
          <w:rFonts w:hint="eastAsia" w:ascii="宋体" w:hAnsi="宋体" w:eastAsia="宋体" w:cs="宋体"/>
          <w:color w:val="auto"/>
          <w:kern w:val="1"/>
          <w:sz w:val="21"/>
          <w:szCs w:val="21"/>
          <w:highlight w:val="none"/>
        </w:rPr>
        <w:t>磋商小组在评审过程中收到非法干涉的，应当及时向财政、监察等部门举报。</w:t>
      </w:r>
    </w:p>
    <w:p w14:paraId="4C9C9BD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29.5、磋商小组成员应当按照客观、公正、审慎的原则，根据磋商文件规定的评审程序、评审方法和评审标准进行独立评审。</w:t>
      </w:r>
    </w:p>
    <w:p w14:paraId="34850ED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lang w:val="zh-CN" w:eastAsia="zh-CN"/>
        </w:rPr>
        <w:t>、磋商小组的职能</w:t>
      </w:r>
    </w:p>
    <w:p w14:paraId="6E34951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eastAsia="zh-CN"/>
        </w:rPr>
        <w:t>1、对供应商响应文件进行审查；</w:t>
      </w:r>
    </w:p>
    <w:p w14:paraId="1E9C777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eastAsia="zh-CN"/>
        </w:rPr>
        <w:t>2、与各供应商就磋商采购响应文件（含澄清、说明或补正的内容）中的磋商报价、技术方案、业绩</w:t>
      </w:r>
      <w:r>
        <w:rPr>
          <w:rFonts w:hint="eastAsia" w:ascii="宋体" w:hAnsi="宋体" w:eastAsia="宋体" w:cs="宋体"/>
          <w:color w:val="auto"/>
          <w:sz w:val="21"/>
          <w:szCs w:val="21"/>
          <w:highlight w:val="none"/>
          <w:lang w:val="en-US" w:eastAsia="zh-CN"/>
        </w:rPr>
        <w:t>及履约能力</w:t>
      </w:r>
      <w:r>
        <w:rPr>
          <w:rFonts w:hint="eastAsia" w:ascii="宋体" w:hAnsi="宋体" w:eastAsia="宋体" w:cs="宋体"/>
          <w:color w:val="auto"/>
          <w:sz w:val="21"/>
          <w:szCs w:val="21"/>
          <w:highlight w:val="none"/>
          <w:lang w:val="zh-CN" w:eastAsia="zh-CN"/>
        </w:rPr>
        <w:t>等进行磋商；</w:t>
      </w:r>
    </w:p>
    <w:p w14:paraId="7306828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3、依据采购文件，并视磋商情况，确定进入最终评审的供应商；</w:t>
      </w:r>
    </w:p>
    <w:p w14:paraId="09BCDEF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4、排序推荐侯选成交供应商；</w:t>
      </w:r>
    </w:p>
    <w:p w14:paraId="32AB57B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5、协商处理磋商过程中出现的其它相关问题。</w:t>
      </w:r>
    </w:p>
    <w:p w14:paraId="08987211">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31</w:t>
      </w:r>
      <w:r>
        <w:rPr>
          <w:rFonts w:hint="eastAsia" w:ascii="宋体" w:hAnsi="宋体" w:eastAsia="宋体" w:cs="宋体"/>
          <w:b/>
          <w:bCs/>
          <w:color w:val="auto"/>
          <w:sz w:val="21"/>
          <w:szCs w:val="21"/>
          <w:highlight w:val="none"/>
          <w:lang w:val="zh-CN"/>
        </w:rPr>
        <w:t>、磋商小组及其成员不得有下列行为</w:t>
      </w:r>
    </w:p>
    <w:p w14:paraId="3EE70F1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31.1、</w:t>
      </w:r>
      <w:r>
        <w:rPr>
          <w:rFonts w:hint="eastAsia" w:ascii="宋体" w:hAnsi="宋体" w:eastAsia="宋体" w:cs="宋体"/>
          <w:color w:val="auto"/>
          <w:sz w:val="21"/>
          <w:szCs w:val="21"/>
          <w:highlight w:val="none"/>
          <w:lang w:val="zh-CN"/>
        </w:rPr>
        <w:t>确定参与评审至评审结束前私自接触供应商；</w:t>
      </w:r>
    </w:p>
    <w:p w14:paraId="3F04151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31.2、</w:t>
      </w:r>
      <w:r>
        <w:rPr>
          <w:rFonts w:hint="eastAsia" w:ascii="宋体" w:hAnsi="宋体" w:eastAsia="宋体" w:cs="宋体"/>
          <w:color w:val="auto"/>
          <w:sz w:val="21"/>
          <w:szCs w:val="21"/>
          <w:highlight w:val="none"/>
          <w:lang w:val="zh-CN"/>
        </w:rPr>
        <w:t>接受供应商提出的与响应文件不一致的澄清或者说明，财政部第87号令第五十一条规定的情形除外；</w:t>
      </w:r>
    </w:p>
    <w:p w14:paraId="4B8E782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31.3、</w:t>
      </w:r>
      <w:r>
        <w:rPr>
          <w:rFonts w:hint="eastAsia" w:ascii="宋体" w:hAnsi="宋体" w:eastAsia="宋体" w:cs="宋体"/>
          <w:color w:val="auto"/>
          <w:sz w:val="21"/>
          <w:szCs w:val="21"/>
          <w:highlight w:val="none"/>
          <w:lang w:val="zh-CN"/>
        </w:rPr>
        <w:t>违反评审纪律发表倾向性意见或者征询采购人的倾向性意见；</w:t>
      </w:r>
    </w:p>
    <w:p w14:paraId="0714A97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31.4、</w:t>
      </w:r>
      <w:r>
        <w:rPr>
          <w:rFonts w:hint="eastAsia" w:ascii="宋体" w:hAnsi="宋体" w:eastAsia="宋体" w:cs="宋体"/>
          <w:color w:val="auto"/>
          <w:sz w:val="21"/>
          <w:szCs w:val="21"/>
          <w:highlight w:val="none"/>
          <w:lang w:val="zh-CN"/>
        </w:rPr>
        <w:t>对需要专业判断的主观评审因素协商评分；</w:t>
      </w:r>
    </w:p>
    <w:p w14:paraId="300768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31.5、</w:t>
      </w:r>
      <w:r>
        <w:rPr>
          <w:rFonts w:hint="eastAsia" w:ascii="宋体" w:hAnsi="宋体" w:eastAsia="宋体" w:cs="宋体"/>
          <w:color w:val="auto"/>
          <w:sz w:val="21"/>
          <w:szCs w:val="21"/>
          <w:highlight w:val="none"/>
          <w:lang w:val="zh-CN"/>
        </w:rPr>
        <w:t>在评审过程中擅离职守，影响评审程序正常进行的；</w:t>
      </w:r>
    </w:p>
    <w:p w14:paraId="41BDD9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31.6、</w:t>
      </w:r>
      <w:r>
        <w:rPr>
          <w:rFonts w:hint="eastAsia" w:ascii="宋体" w:hAnsi="宋体" w:eastAsia="宋体" w:cs="宋体"/>
          <w:color w:val="auto"/>
          <w:sz w:val="21"/>
          <w:szCs w:val="21"/>
          <w:highlight w:val="none"/>
          <w:lang w:val="zh-CN"/>
        </w:rPr>
        <w:t>记录、复制或者带走任何评审资料；</w:t>
      </w:r>
    </w:p>
    <w:p w14:paraId="78572D6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31.7、</w:t>
      </w:r>
      <w:r>
        <w:rPr>
          <w:rFonts w:hint="eastAsia" w:ascii="宋体" w:hAnsi="宋体" w:eastAsia="宋体" w:cs="宋体"/>
          <w:color w:val="auto"/>
          <w:sz w:val="21"/>
          <w:szCs w:val="21"/>
          <w:highlight w:val="none"/>
          <w:lang w:val="zh-CN" w:eastAsia="zh-CN"/>
        </w:rPr>
        <w:t>其他不遵守评审纪律的行为。</w:t>
      </w:r>
    </w:p>
    <w:p w14:paraId="09E452D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磋商小组成员有前五项行为之一的，其评审意见无效，并不得获取评审劳务报酬和报销异地评审差旅费。</w:t>
      </w:r>
    </w:p>
    <w:p w14:paraId="63A2257E">
      <w:pPr>
        <w:pStyle w:val="2"/>
        <w:keepLines w:val="0"/>
        <w:pageBreakBefore w:val="0"/>
        <w:widowControl w:val="0"/>
        <w:kinsoku/>
        <w:wordWrap/>
        <w:overflowPunct/>
        <w:topLinePunct w:val="0"/>
        <w:bidi w:val="0"/>
        <w:spacing w:line="400" w:lineRule="exact"/>
        <w:ind w:firstLine="562" w:firstLineChars="200"/>
        <w:textAlignment w:val="auto"/>
        <w:rPr>
          <w:rFonts w:hint="eastAsia" w:ascii="宋体" w:hAnsi="宋体" w:eastAsia="宋体" w:cs="宋体"/>
          <w:b/>
          <w:color w:val="auto"/>
          <w:sz w:val="28"/>
          <w:szCs w:val="28"/>
          <w:highlight w:val="none"/>
          <w:lang w:val="zh-CN" w:eastAsia="zh-CN"/>
        </w:rPr>
      </w:pPr>
      <w:bookmarkStart w:id="32" w:name="_Toc27212"/>
      <w:bookmarkStart w:id="33" w:name="_Toc24411"/>
      <w:bookmarkStart w:id="34" w:name="_Toc392236645"/>
      <w:bookmarkStart w:id="35" w:name="_Toc2468"/>
      <w:bookmarkStart w:id="36" w:name="_Toc386965858"/>
      <w:bookmarkStart w:id="37" w:name="_Toc5977"/>
      <w:bookmarkStart w:id="38" w:name="_Toc7524503"/>
      <w:bookmarkStart w:id="39" w:name="_Toc233435947"/>
      <w:bookmarkStart w:id="40" w:name="_Toc29664"/>
      <w:bookmarkStart w:id="41" w:name="_Toc2781"/>
      <w:bookmarkStart w:id="42" w:name="_Toc26534"/>
      <w:bookmarkStart w:id="43" w:name="_Toc11589"/>
      <w:bookmarkStart w:id="44" w:name="_Toc18739"/>
      <w:bookmarkStart w:id="45" w:name="_Toc17502"/>
      <w:r>
        <w:rPr>
          <w:rFonts w:hint="eastAsia" w:ascii="宋体" w:hAnsi="宋体" w:eastAsia="宋体" w:cs="宋体"/>
          <w:b/>
          <w:color w:val="auto"/>
          <w:sz w:val="28"/>
          <w:szCs w:val="28"/>
          <w:highlight w:val="none"/>
          <w:lang w:val="zh-CN" w:eastAsia="zh-CN"/>
        </w:rPr>
        <w:t>F</w:t>
      </w:r>
      <w:bookmarkStart w:id="46" w:name="_Hlt491765714"/>
      <w:bookmarkEnd w:id="46"/>
      <w:bookmarkStart w:id="47" w:name="_Hlt497547134"/>
      <w:bookmarkEnd w:id="47"/>
      <w:r>
        <w:rPr>
          <w:rFonts w:hint="eastAsia" w:ascii="宋体" w:hAnsi="宋体" w:eastAsia="宋体" w:cs="宋体"/>
          <w:b/>
          <w:color w:val="auto"/>
          <w:sz w:val="28"/>
          <w:szCs w:val="28"/>
          <w:highlight w:val="none"/>
          <w:lang w:val="zh-CN" w:eastAsia="zh-CN"/>
        </w:rPr>
        <w:t>、</w:t>
      </w:r>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b/>
          <w:color w:val="auto"/>
          <w:sz w:val="28"/>
          <w:szCs w:val="28"/>
          <w:highlight w:val="none"/>
          <w:lang w:val="en-US" w:eastAsia="zh-CN"/>
        </w:rPr>
        <w:t>确定中标</w:t>
      </w:r>
      <w:bookmarkEnd w:id="43"/>
      <w:bookmarkEnd w:id="44"/>
      <w:bookmarkEnd w:id="45"/>
    </w:p>
    <w:p w14:paraId="29265DE1">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32</w:t>
      </w:r>
      <w:r>
        <w:rPr>
          <w:rFonts w:hint="eastAsia" w:ascii="宋体" w:hAnsi="宋体" w:eastAsia="宋体" w:cs="宋体"/>
          <w:b/>
          <w:color w:val="auto"/>
          <w:sz w:val="21"/>
          <w:szCs w:val="21"/>
          <w:highlight w:val="none"/>
          <w:lang w:val="zh-CN"/>
        </w:rPr>
        <w:t>、成交程序</w:t>
      </w:r>
    </w:p>
    <w:p w14:paraId="652A25B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.1、磋商小组根据评审方法的规定对供应商进行评审排序，推荐</w:t>
      </w:r>
      <w:r>
        <w:rPr>
          <w:rFonts w:hint="eastAsia" w:ascii="宋体" w:hAnsi="宋体" w:eastAsia="宋体" w:cs="宋体"/>
          <w:color w:val="auto"/>
          <w:sz w:val="21"/>
          <w:szCs w:val="21"/>
          <w:highlight w:val="none"/>
          <w:lang w:val="en-US" w:eastAsia="zh-CN"/>
        </w:rPr>
        <w:t>前三名</w:t>
      </w:r>
      <w:r>
        <w:rPr>
          <w:rFonts w:hint="eastAsia" w:ascii="宋体" w:hAnsi="宋体" w:eastAsia="宋体" w:cs="宋体"/>
          <w:color w:val="auto"/>
          <w:sz w:val="21"/>
          <w:szCs w:val="21"/>
          <w:highlight w:val="none"/>
          <w:lang w:val="zh-CN"/>
        </w:rPr>
        <w:t>成交候选人，作为评审结果。评审结果由全体磋商小组成员签字确认。</w:t>
      </w:r>
    </w:p>
    <w:p w14:paraId="2F4B2B6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.2、</w:t>
      </w:r>
      <w:r>
        <w:rPr>
          <w:rFonts w:hint="eastAsia" w:ascii="宋体" w:hAnsi="宋体" w:eastAsia="宋体" w:cs="宋体"/>
          <w:color w:val="auto"/>
          <w:highlight w:val="none"/>
          <w:lang w:val="en-US" w:eastAsia="zh-CN"/>
        </w:rPr>
        <w:t>采购代理机构应当在评审结束后2个工作日内将评审报告送采购人确认。采购人应当在收到评审报告后5个工作日内，</w:t>
      </w:r>
      <w:r>
        <w:rPr>
          <w:rFonts w:hint="eastAsia" w:ascii="宋体" w:hAnsi="宋体" w:eastAsia="宋体" w:cs="宋体"/>
          <w:color w:val="auto"/>
          <w:sz w:val="21"/>
          <w:szCs w:val="21"/>
          <w:highlight w:val="none"/>
          <w:lang w:val="zh-CN"/>
        </w:rPr>
        <w:t>根据磋商报告中推荐的成交候选人排列顺序，确定排名第一的为成交供应商。</w:t>
      </w:r>
    </w:p>
    <w:p w14:paraId="7F5A974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1270BB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32</w:t>
      </w:r>
      <w:r>
        <w:rPr>
          <w:rFonts w:hint="eastAsia" w:ascii="宋体" w:hAnsi="宋体" w:eastAsia="宋体" w:cs="宋体"/>
          <w:color w:val="auto"/>
          <w:sz w:val="21"/>
          <w:szCs w:val="21"/>
          <w:highlight w:val="none"/>
          <w:lang w:val="zh-CN"/>
        </w:rPr>
        <w:t>.4、采购人也可以授权磋商小组评审后直接确定成交供应商。</w:t>
      </w:r>
    </w:p>
    <w:p w14:paraId="118B613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.5、采购代理机构应当在成交供应商确定后2个工作日内，在省级以上财政部门指定的政府采购信息发布媒体上公告成交结果，同时向成交供应商发出成交通知书，并将磋商文件随成交结果同时公告。</w:t>
      </w:r>
    </w:p>
    <w:p w14:paraId="6E0AAC1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.6、供应商或者其他利害关系人对评审结果有异议的，应当在法律规定的时间内提出。</w:t>
      </w:r>
    </w:p>
    <w:p w14:paraId="7BB6737E">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33、</w:t>
      </w:r>
      <w:r>
        <w:rPr>
          <w:rFonts w:hint="eastAsia" w:ascii="宋体" w:hAnsi="宋体" w:eastAsia="宋体" w:cs="宋体"/>
          <w:b/>
          <w:color w:val="auto"/>
          <w:sz w:val="21"/>
          <w:szCs w:val="21"/>
          <w:highlight w:val="none"/>
          <w:lang w:val="zh-CN"/>
        </w:rPr>
        <w:t>成交</w:t>
      </w:r>
      <w:r>
        <w:rPr>
          <w:rFonts w:hint="eastAsia" w:ascii="宋体" w:hAnsi="宋体" w:eastAsia="宋体" w:cs="宋体"/>
          <w:b/>
          <w:color w:val="auto"/>
          <w:sz w:val="21"/>
          <w:szCs w:val="21"/>
          <w:highlight w:val="none"/>
          <w:lang w:val="en-US" w:eastAsia="zh-CN"/>
        </w:rPr>
        <w:t>通知</w:t>
      </w:r>
    </w:p>
    <w:p w14:paraId="0E416C3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33.1、采购代理机构向成交供应商发出《成交通知书》。</w:t>
      </w:r>
      <w:r>
        <w:rPr>
          <w:rFonts w:hint="eastAsia" w:ascii="宋体" w:hAnsi="宋体" w:eastAsia="宋体" w:cs="宋体"/>
          <w:b/>
          <w:bCs/>
          <w:color w:val="auto"/>
          <w:sz w:val="21"/>
          <w:szCs w:val="21"/>
          <w:highlight w:val="none"/>
          <w:lang w:val="en-US" w:eastAsia="zh-CN"/>
        </w:rPr>
        <w:t>成交供应商在领取成交通知书时，需提供纸质版</w:t>
      </w:r>
      <w:r>
        <w:rPr>
          <w:rFonts w:hint="eastAsia" w:ascii="宋体" w:hAnsi="宋体" w:cs="宋体"/>
          <w:b/>
          <w:bCs/>
          <w:color w:val="auto"/>
          <w:sz w:val="21"/>
          <w:szCs w:val="21"/>
          <w:highlight w:val="none"/>
          <w:lang w:val="en-US" w:eastAsia="zh-CN"/>
        </w:rPr>
        <w:t>磋商</w:t>
      </w:r>
      <w:r>
        <w:rPr>
          <w:rFonts w:hint="eastAsia" w:ascii="宋体" w:hAnsi="宋体" w:eastAsia="宋体" w:cs="宋体"/>
          <w:b/>
          <w:bCs/>
          <w:color w:val="auto"/>
          <w:sz w:val="21"/>
          <w:szCs w:val="21"/>
          <w:highlight w:val="none"/>
          <w:lang w:val="en-US" w:eastAsia="zh-CN"/>
        </w:rPr>
        <w:t>响应文件正本</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份</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副本</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份</w:t>
      </w:r>
      <w:r>
        <w:rPr>
          <w:rFonts w:hint="eastAsia" w:ascii="宋体" w:hAnsi="宋体" w:cs="宋体"/>
          <w:b/>
          <w:bCs/>
          <w:color w:val="auto"/>
          <w:sz w:val="21"/>
          <w:szCs w:val="21"/>
          <w:highlight w:val="none"/>
          <w:lang w:val="en-US" w:eastAsia="zh-CN"/>
        </w:rPr>
        <w:t>及电子文件U盘2份</w:t>
      </w:r>
      <w:r>
        <w:rPr>
          <w:rFonts w:hint="eastAsia" w:ascii="宋体" w:hAnsi="宋体" w:eastAsia="宋体" w:cs="宋体"/>
          <w:b/>
          <w:bCs/>
          <w:color w:val="auto"/>
          <w:sz w:val="21"/>
          <w:szCs w:val="21"/>
          <w:highlight w:val="none"/>
          <w:lang w:val="en-US" w:eastAsia="zh-CN"/>
        </w:rPr>
        <w:t>。成交供应商领取成交通知书时须携带法定代表人授权书及加盖单位公章的被授权人身份证复印件。</w:t>
      </w:r>
    </w:p>
    <w:p w14:paraId="2AA54133">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33.2、成交通知书对采购人和成交供应商具有同等法律效力。成交通知书发出之后，采购人改变成交结果，或者成交供应商放弃成交，应当承担相应的法律责任。</w:t>
      </w:r>
    </w:p>
    <w:p w14:paraId="3DBC3B4F">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34</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lang w:val="zh-CN" w:eastAsia="zh-CN"/>
        </w:rPr>
        <w:t>合同</w:t>
      </w:r>
      <w:r>
        <w:rPr>
          <w:rFonts w:hint="eastAsia" w:ascii="宋体" w:hAnsi="宋体" w:eastAsia="宋体" w:cs="宋体"/>
          <w:b/>
          <w:bCs/>
          <w:color w:val="auto"/>
          <w:sz w:val="21"/>
          <w:szCs w:val="21"/>
          <w:highlight w:val="none"/>
          <w:lang w:val="en-US" w:eastAsia="zh-CN"/>
        </w:rPr>
        <w:t>的签订</w:t>
      </w:r>
    </w:p>
    <w:p w14:paraId="70A6F61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34.1、采购人应当自成交通知书发出之日起</w:t>
      </w:r>
      <w:r>
        <w:rPr>
          <w:rFonts w:hint="eastAsia" w:ascii="宋体" w:hAnsi="宋体" w:cs="宋体"/>
          <w:b w:val="0"/>
          <w:bCs/>
          <w:color w:val="auto"/>
          <w:sz w:val="21"/>
          <w:szCs w:val="21"/>
          <w:highlight w:val="none"/>
          <w:lang w:val="en-US" w:eastAsia="zh-CN"/>
        </w:rPr>
        <w:t>二十五</w:t>
      </w:r>
      <w:r>
        <w:rPr>
          <w:rFonts w:hint="eastAsia" w:ascii="宋体" w:hAnsi="宋体" w:eastAsia="宋体" w:cs="宋体"/>
          <w:b w:val="0"/>
          <w:bCs/>
          <w:color w:val="auto"/>
          <w:sz w:val="21"/>
          <w:szCs w:val="21"/>
          <w:highlight w:val="none"/>
          <w:lang w:val="en-US" w:eastAsia="zh-CN"/>
        </w:rPr>
        <w:t>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FE2419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34.2、采购人自采购合同签订之日起七个工作日内，将采购合同副本报同级人民政府财政部门备案。</w:t>
      </w:r>
    </w:p>
    <w:p w14:paraId="22BD6F23">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default" w:ascii="宋体" w:hAnsi="宋体" w:eastAsia="宋体" w:cs="宋体"/>
          <w:b/>
          <w:bCs/>
          <w:color w:val="auto"/>
          <w:sz w:val="21"/>
          <w:szCs w:val="21"/>
          <w:highlight w:val="none"/>
          <w:lang w:val="en-US" w:eastAsia="zh-CN"/>
        </w:rPr>
      </w:pPr>
      <w:bookmarkStart w:id="48" w:name="_Toc17542"/>
      <w:r>
        <w:rPr>
          <w:rFonts w:hint="eastAsia" w:ascii="宋体" w:hAnsi="宋体" w:eastAsia="宋体" w:cs="宋体"/>
          <w:b/>
          <w:bCs/>
          <w:color w:val="auto"/>
          <w:sz w:val="21"/>
          <w:szCs w:val="21"/>
          <w:highlight w:val="none"/>
          <w:lang w:val="en-US" w:eastAsia="zh-CN"/>
        </w:rPr>
        <w:t>35、</w:t>
      </w:r>
      <w:r>
        <w:rPr>
          <w:rFonts w:hint="eastAsia" w:ascii="宋体" w:hAnsi="宋体" w:eastAsia="宋体" w:cs="宋体"/>
          <w:b/>
          <w:bCs/>
          <w:color w:val="auto"/>
          <w:sz w:val="21"/>
          <w:szCs w:val="21"/>
          <w:highlight w:val="none"/>
          <w:lang w:val="zh-CN" w:eastAsia="zh-CN"/>
        </w:rPr>
        <w:t>本项目不收取招标代理服务费。</w:t>
      </w:r>
    </w:p>
    <w:p w14:paraId="5A25A793">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49" w:name="_Toc26939"/>
      <w:bookmarkStart w:id="50" w:name="_Toc29347"/>
      <w:r>
        <w:rPr>
          <w:rFonts w:hint="eastAsia" w:ascii="宋体" w:hAnsi="宋体" w:eastAsia="宋体" w:cs="宋体"/>
          <w:b/>
          <w:color w:val="auto"/>
          <w:sz w:val="28"/>
          <w:szCs w:val="28"/>
          <w:highlight w:val="none"/>
          <w:lang w:val="en-US" w:eastAsia="zh-CN"/>
        </w:rPr>
        <w:t>G</w:t>
      </w:r>
      <w:r>
        <w:rPr>
          <w:rFonts w:hint="eastAsia" w:ascii="宋体" w:hAnsi="宋体" w:eastAsia="宋体" w:cs="宋体"/>
          <w:b/>
          <w:color w:val="auto"/>
          <w:sz w:val="28"/>
          <w:szCs w:val="28"/>
          <w:highlight w:val="none"/>
          <w:lang w:val="zh-CN" w:eastAsia="zh-CN"/>
        </w:rPr>
        <w:t>、其它</w:t>
      </w:r>
      <w:bookmarkEnd w:id="48"/>
      <w:bookmarkEnd w:id="49"/>
      <w:bookmarkEnd w:id="50"/>
    </w:p>
    <w:p w14:paraId="7D3673DB">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en-US" w:eastAsia="zh-CN"/>
        </w:rPr>
        <w:t>36</w:t>
      </w:r>
      <w:r>
        <w:rPr>
          <w:rFonts w:hint="eastAsia" w:ascii="宋体" w:hAnsi="宋体" w:eastAsia="宋体" w:cs="宋体"/>
          <w:b/>
          <w:bCs w:val="0"/>
          <w:color w:val="auto"/>
          <w:sz w:val="21"/>
          <w:szCs w:val="21"/>
          <w:highlight w:val="none"/>
          <w:lang w:val="zh-CN"/>
        </w:rPr>
        <w:t>、</w:t>
      </w:r>
      <w:r>
        <w:rPr>
          <w:rFonts w:hint="eastAsia" w:ascii="宋体" w:hAnsi="宋体" w:eastAsia="宋体" w:cs="宋体"/>
          <w:b/>
          <w:bCs w:val="0"/>
          <w:color w:val="auto"/>
          <w:sz w:val="21"/>
          <w:szCs w:val="21"/>
          <w:highlight w:val="none"/>
          <w:lang w:val="en-US" w:eastAsia="zh-CN"/>
        </w:rPr>
        <w:t>磋商开始后，出现下列情形之一的，采购代理机构将终止竞争性磋商采购活动，发布项目终止公告并说明原因，重新开展采购活动</w:t>
      </w:r>
    </w:p>
    <w:p w14:paraId="0F1BADC7">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36.1、</w:t>
      </w:r>
      <w:r>
        <w:rPr>
          <w:rFonts w:hint="eastAsia" w:ascii="宋体" w:hAnsi="宋体" w:eastAsia="宋体" w:cs="宋体"/>
          <w:b w:val="0"/>
          <w:bCs/>
          <w:color w:val="auto"/>
          <w:sz w:val="21"/>
          <w:szCs w:val="21"/>
          <w:highlight w:val="none"/>
          <w:lang w:val="zh-CN"/>
        </w:rPr>
        <w:t>因情况变化，不再符合规定的竞争性磋商采购方式适用情形的；</w:t>
      </w:r>
    </w:p>
    <w:p w14:paraId="08C79A7C">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36.2、</w:t>
      </w:r>
      <w:r>
        <w:rPr>
          <w:rFonts w:hint="eastAsia" w:ascii="宋体" w:hAnsi="宋体" w:eastAsia="宋体" w:cs="宋体"/>
          <w:b w:val="0"/>
          <w:bCs/>
          <w:color w:val="auto"/>
          <w:sz w:val="21"/>
          <w:szCs w:val="21"/>
          <w:highlight w:val="none"/>
          <w:lang w:val="zh-CN"/>
        </w:rPr>
        <w:t>出现影响采购公正的违法、违规行为的；</w:t>
      </w:r>
    </w:p>
    <w:p w14:paraId="43436F5D">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36.3、</w:t>
      </w:r>
      <w:r>
        <w:rPr>
          <w:rFonts w:hint="eastAsia" w:ascii="宋体" w:hAnsi="宋体" w:eastAsia="宋体" w:cs="宋体"/>
          <w:b w:val="0"/>
          <w:bCs/>
          <w:color w:val="auto"/>
          <w:sz w:val="21"/>
          <w:szCs w:val="21"/>
          <w:highlight w:val="none"/>
          <w:lang w:val="zh-CN"/>
        </w:rPr>
        <w:t>在采购过程中符合要求的供应商不足3家的；</w:t>
      </w:r>
    </w:p>
    <w:p w14:paraId="144E4D62">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36.4、</w:t>
      </w:r>
      <w:r>
        <w:rPr>
          <w:rFonts w:hint="eastAsia" w:ascii="宋体" w:hAnsi="宋体" w:eastAsia="宋体" w:cs="宋体"/>
          <w:b w:val="0"/>
          <w:bCs/>
          <w:color w:val="auto"/>
          <w:sz w:val="21"/>
          <w:szCs w:val="21"/>
          <w:highlight w:val="none"/>
          <w:lang w:val="zh-CN"/>
        </w:rPr>
        <w:t>报价未超过采购预算的供应商不足3家的。</w:t>
      </w:r>
    </w:p>
    <w:p w14:paraId="771DF5B1">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废标后，采购代理机构应在财政部门指定采购网上公告，并公告废标的详细理由。</w:t>
      </w:r>
    </w:p>
    <w:p w14:paraId="143EE673">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en-US" w:eastAsia="zh-CN"/>
        </w:rPr>
        <w:t>37、提交最后报价的供应商为2家时，可以继续进行磋商的情形</w:t>
      </w:r>
    </w:p>
    <w:p w14:paraId="47FE7E10">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37.1、市场竞争不充分的科研项目，以及需要扶持的科技成果转化项目；</w:t>
      </w:r>
    </w:p>
    <w:p w14:paraId="49928F45">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37.2、根据陕西省财政厅陕财办采资（2016）53号文件第十八条，在采购过程中符合要求的供应商（社会资本）只有2家的。</w:t>
      </w:r>
    </w:p>
    <w:p w14:paraId="02777173">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38、</w:t>
      </w:r>
      <w:r>
        <w:rPr>
          <w:rFonts w:hint="eastAsia" w:ascii="宋体" w:hAnsi="宋体" w:eastAsia="宋体" w:cs="宋体"/>
          <w:color w:val="auto"/>
          <w:sz w:val="21"/>
          <w:szCs w:val="21"/>
          <w:highlight w:val="none"/>
          <w:lang w:val="zh-CN"/>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5A2092D2">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39</w:t>
      </w:r>
      <w:r>
        <w:rPr>
          <w:rFonts w:hint="eastAsia" w:ascii="宋体" w:hAnsi="宋体" w:eastAsia="宋体" w:cs="宋体"/>
          <w:b/>
          <w:bCs/>
          <w:color w:val="auto"/>
          <w:sz w:val="21"/>
          <w:szCs w:val="21"/>
          <w:highlight w:val="none"/>
          <w:lang w:val="zh-CN"/>
        </w:rPr>
        <w:t>、</w:t>
      </w:r>
      <w:r>
        <w:rPr>
          <w:rFonts w:hint="eastAsia" w:ascii="宋体" w:hAnsi="宋体" w:eastAsia="宋体" w:cs="宋体"/>
          <w:color w:val="auto"/>
          <w:sz w:val="21"/>
          <w:szCs w:val="21"/>
          <w:highlight w:val="none"/>
          <w:lang w:val="zh-CN"/>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巨大的，供应商还应当对超过部分予以赔偿，并依法承担相应法律责任。</w:t>
      </w:r>
    </w:p>
    <w:p w14:paraId="321E1666">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40、履约验收</w:t>
      </w:r>
    </w:p>
    <w:p w14:paraId="0FC6DADA">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40.1、采购合同的履行、违约责任和解决争议的方法等适用《民法典》。采购人按照政府采购合同规定的技术、服务、安全标准组织对供应商履约情况进行验收，并出具验收书。</w:t>
      </w:r>
    </w:p>
    <w:p w14:paraId="5498AD09">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40.2、履约验收的费用及要求详见“供应商须知前附表”。</w:t>
      </w:r>
    </w:p>
    <w:p w14:paraId="2C72DC4E">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41</w:t>
      </w:r>
      <w:r>
        <w:rPr>
          <w:rFonts w:hint="eastAsia" w:ascii="宋体" w:hAnsi="宋体" w:eastAsia="宋体" w:cs="宋体"/>
          <w:b/>
          <w:color w:val="auto"/>
          <w:sz w:val="21"/>
          <w:szCs w:val="21"/>
          <w:highlight w:val="none"/>
          <w:lang w:val="zh-CN"/>
        </w:rPr>
        <w:t>、关于询问、质疑和投诉</w:t>
      </w:r>
    </w:p>
    <w:p w14:paraId="5435B004">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41.1、询问</w:t>
      </w:r>
    </w:p>
    <w:p w14:paraId="404C815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供应商对政府采购活动事项有疑问的，可以向采购人或采购代理机构提出询问。采购人或采购代理机构将在3个工作日内对供应商依法提出的询问作出答复。</w:t>
      </w:r>
    </w:p>
    <w:p w14:paraId="6D79423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根据采购人和采购代理机构签订的《招标代理合同》，针对采购需求（包括采购内容、技术或服务要求、商务要求、合同条款、供应商资格条件）的询问请向采购人提出。</w:t>
      </w:r>
    </w:p>
    <w:p w14:paraId="7D3805FB">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质疑</w:t>
      </w:r>
    </w:p>
    <w:p w14:paraId="72F24B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供应商认为招标文件、采购过程、成交结果使自己的权益受到损害的，可以在知道或者应知其权益受到损害之日起7个工作日内，以书面形式向采购人、采购代理机构提出质疑。</w:t>
      </w:r>
    </w:p>
    <w:p w14:paraId="7B588D5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供应商必须在法定质疑期内一次性提出针对同一采购程序环节的质疑。</w:t>
      </w:r>
    </w:p>
    <w:p w14:paraId="08A12F3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F58D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以联合体形式参加政府采购活动的，其质疑应当由组成联合体的所有供应商共同提出。</w:t>
      </w:r>
    </w:p>
    <w:p w14:paraId="659DD02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供应商提出质疑应当提交质疑函和必要的证明材料。质疑函应当包括下列内容：</w:t>
      </w:r>
    </w:p>
    <w:p w14:paraId="0D4F3F1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供应商的姓名或者名称、地址、邮编、联系人及联系电话；</w:t>
      </w:r>
    </w:p>
    <w:p w14:paraId="0D0A239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质疑项目的名称、编号；</w:t>
      </w:r>
    </w:p>
    <w:p w14:paraId="3480CA9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具体、明确的质疑事项和与质疑事项相关的请求；</w:t>
      </w:r>
    </w:p>
    <w:p w14:paraId="1A7FC23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事实依据；</w:t>
      </w:r>
    </w:p>
    <w:p w14:paraId="1D96589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必要的法律依据；</w:t>
      </w:r>
    </w:p>
    <w:p w14:paraId="25D156F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F.</w:t>
      </w:r>
      <w:r>
        <w:rPr>
          <w:rFonts w:hint="eastAsia" w:ascii="宋体" w:hAnsi="宋体" w:eastAsia="宋体" w:cs="宋体"/>
          <w:color w:val="auto"/>
          <w:sz w:val="21"/>
          <w:szCs w:val="21"/>
          <w:lang w:val="zh-CN"/>
        </w:rPr>
        <w:t>提出质疑的日期。</w:t>
      </w:r>
    </w:p>
    <w:p w14:paraId="0FCE71D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有下列情形之一的，属于无效质疑，采购代理机构和采购人不予受理：</w:t>
      </w:r>
    </w:p>
    <w:p w14:paraId="5DCE3B0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质疑供应商不是参与本次政府采购项目的供应商；</w:t>
      </w:r>
    </w:p>
    <w:p w14:paraId="5560DB73">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质疑供应商与质疑事项不存在利害关系的；</w:t>
      </w:r>
    </w:p>
    <w:p w14:paraId="58567B0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未在法定期限内提出质疑的；</w:t>
      </w:r>
    </w:p>
    <w:p w14:paraId="034376F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质疑未以书面形式提出，或质疑函主要内容构成不完整的；</w:t>
      </w:r>
    </w:p>
    <w:p w14:paraId="5E89233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应当提交授权书而未提交的；</w:t>
      </w:r>
    </w:p>
    <w:p w14:paraId="0F7A1B5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F.</w:t>
      </w:r>
      <w:r>
        <w:rPr>
          <w:rFonts w:hint="eastAsia" w:ascii="宋体" w:hAnsi="宋体" w:eastAsia="宋体" w:cs="宋体"/>
          <w:color w:val="auto"/>
          <w:sz w:val="21"/>
          <w:szCs w:val="21"/>
          <w:lang w:val="zh-CN"/>
        </w:rPr>
        <w:t>以非法手段取得证据、材料的；</w:t>
      </w:r>
    </w:p>
    <w:p w14:paraId="3DD3B4C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G.</w:t>
      </w:r>
      <w:r>
        <w:rPr>
          <w:rFonts w:hint="eastAsia" w:ascii="宋体" w:hAnsi="宋体" w:eastAsia="宋体" w:cs="宋体"/>
          <w:color w:val="auto"/>
          <w:sz w:val="21"/>
          <w:szCs w:val="21"/>
          <w:lang w:val="zh-CN"/>
        </w:rPr>
        <w:t>质疑答复后，同一质疑人就同一事项或同一采购程序环节再次提出质疑的；</w:t>
      </w:r>
    </w:p>
    <w:p w14:paraId="701DA13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H.</w:t>
      </w:r>
      <w:r>
        <w:rPr>
          <w:rFonts w:hint="eastAsia" w:ascii="宋体" w:hAnsi="宋体" w:eastAsia="宋体" w:cs="宋体"/>
          <w:color w:val="auto"/>
          <w:sz w:val="21"/>
          <w:szCs w:val="21"/>
          <w:lang w:val="zh-CN"/>
        </w:rPr>
        <w:t>不符合法律、法规、规章和政府采购监管机构规定的其他条件的。</w:t>
      </w:r>
    </w:p>
    <w:p w14:paraId="585AE45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质疑答复</w:t>
      </w:r>
    </w:p>
    <w:p w14:paraId="5D8FBBB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采购人或采购代理机构在收到质疑函后7个工作日内作出答复，并以书面形式通知质疑供应商和其他有关供应商。</w:t>
      </w:r>
    </w:p>
    <w:p w14:paraId="24A5120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质疑供应商对采购人、采购代理机构的答复不满意，或者采购人、采购代理机构未在规定时间内作出答复的，可以在答复期满后15个工作日内向同级人民政府财政部门提起投诉。</w:t>
      </w:r>
    </w:p>
    <w:p w14:paraId="0E2DB841">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CN"/>
        </w:rPr>
        <w:t>其他需要说明的事项</w:t>
      </w:r>
    </w:p>
    <w:p w14:paraId="3443A5A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质疑函须按财政部《质疑函范本》给定的格式进行填写，范本下载详见〔财政部国库司（gks.mof.gov.cn）〕网站〖首页·政府采购管理〗栏目中的《政府采购供应商质疑函范本》。《政府采购供应商质疑函范本》链接地址：</w:t>
      </w:r>
    </w:p>
    <w:p w14:paraId="1CAE1DA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http://gks.mof.gov.cn/ztztz/zhengfucaigouguanli/201802/t20180201_2804589.htm</w:t>
      </w:r>
    </w:p>
    <w:p w14:paraId="4D1C068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接收质疑函的方式：书面形式</w:t>
      </w:r>
    </w:p>
    <w:p w14:paraId="2A399E8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联系部门：</w:t>
      </w:r>
      <w:r>
        <w:rPr>
          <w:rFonts w:hint="eastAsia" w:ascii="宋体" w:hAnsi="宋体" w:eastAsia="宋体" w:cs="宋体"/>
          <w:color w:val="auto"/>
          <w:sz w:val="21"/>
          <w:szCs w:val="21"/>
          <w:lang w:val="en-US" w:eastAsia="zh-CN"/>
        </w:rPr>
        <w:t>泾阳县政府采购中心</w:t>
      </w:r>
    </w:p>
    <w:p w14:paraId="3A3D48E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联系电话：见供应商须知前附表</w:t>
      </w:r>
    </w:p>
    <w:p w14:paraId="4EDB07D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通讯地址：咸阳市泾阳县中心街402号</w:t>
      </w:r>
    </w:p>
    <w:p w14:paraId="2B4F0C21">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val="zh-CN"/>
        </w:rPr>
        <w:t>、投诉</w:t>
      </w:r>
    </w:p>
    <w:p w14:paraId="7BB52F6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1）质疑人对代理机构或采购人的答复不满意，以及代理机构或采购人未在规定时间内做出答复的，可以在答复期满后15个工作日内向监管机构提出投诉。</w:t>
      </w:r>
    </w:p>
    <w:p w14:paraId="65D44EA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2）供应商投诉的事项不得超出已质疑事项的范围。供应商提出投诉时，应当提交投诉书和必要的证明材料，并按财政部《投诉书范本》给定的格式进行填写。</w:t>
      </w:r>
    </w:p>
    <w:p w14:paraId="34C9793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投诉书范本地址：http://download.ccgp.gov.cn/2018/tousushufanben.zip</w:t>
      </w:r>
    </w:p>
    <w:p w14:paraId="469EEA58">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42、恶意质疑、投诉的法律后果</w:t>
      </w:r>
    </w:p>
    <w:p w14:paraId="5DC0773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1）对捏造事实、提供虚假材料进行质疑、投诉的行为予以严肃处理：</w:t>
      </w:r>
    </w:p>
    <w:p w14:paraId="415E48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5B8BC49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2）对捏造事实诬告陷害他人、诽谤他人的法律适用：</w:t>
      </w:r>
    </w:p>
    <w:p w14:paraId="24632E1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14:paraId="30683DE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《中华人民共和国刑法》第246条【侮辱罪、诽谤罪】以暴力或者其他方法公然侮辱他人或者捏造事实诽谤他人，情节严重的，处三年以下有期徒刑、拘役、管制或者剥夺政治权。</w:t>
      </w:r>
    </w:p>
    <w:p w14:paraId="3B219404">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en-US" w:eastAsia="zh-CN"/>
        </w:rPr>
        <w:t>43、</w:t>
      </w:r>
      <w:r>
        <w:rPr>
          <w:rFonts w:hint="eastAsia" w:ascii="宋体" w:hAnsi="宋体" w:eastAsia="宋体" w:cs="宋体"/>
          <w:b/>
          <w:bCs/>
          <w:color w:val="auto"/>
          <w:sz w:val="21"/>
          <w:szCs w:val="21"/>
          <w:lang w:val="zh-CN"/>
        </w:rPr>
        <w:t>其他</w:t>
      </w:r>
    </w:p>
    <w:p w14:paraId="4DCB271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.1、</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步骤为：初步评审---综合评审推荐</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候选人。</w:t>
      </w:r>
    </w:p>
    <w:p w14:paraId="3A9F6FB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zh-CN" w:eastAsia="zh-CN"/>
        </w:rPr>
        <w:t>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招标。</w:t>
      </w:r>
    </w:p>
    <w:p w14:paraId="643DDCE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zh-CN"/>
        </w:rPr>
        <w:t>投标截止后投标人不足三家或者通过资格审查或符合性审查的投标人不足三家的，除采购任务取消情形外，按照以下方式处理：招标文件存在不合理条款或者招标程序不符合规定的，采购人、采购代理机构改正后依法重新招标；招标文件没有不合理条款、招标程序符合规定，需要采用其他采购方式采购的，采购人应当依法报财政部门批准。中标人拒绝与采购人签订合同的，采购人可以按照</w:t>
      </w:r>
      <w:r>
        <w:rPr>
          <w:rFonts w:hint="eastAsia" w:ascii="宋体" w:hAnsi="宋体" w:eastAsia="宋体" w:cs="宋体"/>
          <w:color w:val="auto"/>
          <w:sz w:val="21"/>
          <w:szCs w:val="21"/>
          <w:lang w:val="zh-CN" w:eastAsia="zh-CN"/>
        </w:rPr>
        <w:t>评标结果</w:t>
      </w:r>
      <w:r>
        <w:rPr>
          <w:rFonts w:hint="eastAsia" w:ascii="宋体" w:hAnsi="宋体" w:eastAsia="宋体" w:cs="宋体"/>
          <w:color w:val="auto"/>
          <w:sz w:val="21"/>
          <w:szCs w:val="21"/>
          <w:lang w:val="zh-CN"/>
        </w:rPr>
        <w:t>报告推荐的中标候选人名单排序，确定下一候选人为中标</w:t>
      </w:r>
      <w:r>
        <w:rPr>
          <w:rFonts w:hint="eastAsia" w:ascii="宋体" w:hAnsi="宋体" w:eastAsia="宋体" w:cs="宋体"/>
          <w:color w:val="auto"/>
          <w:sz w:val="21"/>
          <w:szCs w:val="21"/>
          <w:lang w:val="zh-CN" w:eastAsia="zh-CN"/>
        </w:rPr>
        <w:t>供应商</w:t>
      </w:r>
      <w:r>
        <w:rPr>
          <w:rFonts w:hint="eastAsia" w:ascii="宋体" w:hAnsi="宋体" w:eastAsia="宋体" w:cs="宋体"/>
          <w:color w:val="auto"/>
          <w:sz w:val="21"/>
          <w:szCs w:val="21"/>
          <w:lang w:val="zh-CN"/>
        </w:rPr>
        <w:t>，也可以重新开展政府采购活动。</w:t>
      </w:r>
    </w:p>
    <w:p w14:paraId="74E68CF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.4、</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确定后，</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无正当理由拖延或拒签合同的，或未能按照规定的时间提供履约保证金，采购人有权取消其</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资格，并按评审顺序重新确定</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供应商。给采购人造成损失的，应当承担赔偿责任，并依法承担相应法律责任。</w:t>
      </w:r>
    </w:p>
    <w:p w14:paraId="62DB9A6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.5、</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开始到</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确定前，评标委员会、采购人及有关人员要严格遵循保密原则，任何一方不得向与评审无关的单位和人员透露与</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有关的其它供应商的技术资料、价格及其它信息。否则，按《中华人民共和国政府采购法》、《中华人民共和国政府采购法实施条例》及有关法律、法规的法律规定进行相应的处罚。</w:t>
      </w:r>
    </w:p>
    <w:p w14:paraId="600C0859">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en-US" w:eastAsia="zh-CN"/>
        </w:rPr>
        <w:t>44、</w:t>
      </w:r>
      <w:r>
        <w:rPr>
          <w:rFonts w:hint="eastAsia" w:ascii="宋体" w:hAnsi="宋体" w:eastAsia="宋体" w:cs="宋体"/>
          <w:b/>
          <w:bCs/>
          <w:color w:val="auto"/>
          <w:sz w:val="21"/>
          <w:szCs w:val="21"/>
          <w:lang w:val="zh-CN"/>
        </w:rPr>
        <w:t>信用担保及信用融资</w:t>
      </w:r>
    </w:p>
    <w:p w14:paraId="2D0C37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w:t>
      </w:r>
      <w:r>
        <w:rPr>
          <w:rFonts w:hint="eastAsia" w:ascii="宋体" w:hAnsi="宋体" w:eastAsia="宋体" w:cs="宋体"/>
          <w:color w:val="auto"/>
          <w:sz w:val="21"/>
          <w:szCs w:val="21"/>
          <w:lang w:val="zh-CN"/>
        </w:rPr>
        <w:t>.1、陕西省政府采购信用担保及信用融资政策：</w:t>
      </w:r>
    </w:p>
    <w:p w14:paraId="7BDDE7D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44.1.1、</w:t>
      </w:r>
      <w:r>
        <w:rPr>
          <w:rFonts w:hint="eastAsia" w:ascii="宋体" w:hAnsi="宋体" w:eastAsia="宋体" w:cs="宋体"/>
          <w:color w:val="auto"/>
          <w:sz w:val="21"/>
          <w:szCs w:val="21"/>
          <w:lang w:val="zh-CN"/>
        </w:rPr>
        <w:t>为支持和促进中小企业发展，进一步发挥政府采购政策功能作用，有效缓解中小企业融资难等问题，根据财政部财库〔2011〕124号文件的精神，陕西省财政厅</w:t>
      </w:r>
      <w:r>
        <w:rPr>
          <w:rFonts w:hint="eastAsia" w:ascii="宋体" w:hAnsi="宋体" w:cs="宋体"/>
          <w:color w:val="auto"/>
          <w:sz w:val="21"/>
          <w:szCs w:val="21"/>
          <w:lang w:val="zh-CN"/>
        </w:rPr>
        <w:t>制定</w:t>
      </w:r>
      <w:r>
        <w:rPr>
          <w:rFonts w:hint="eastAsia" w:ascii="宋体" w:hAnsi="宋体" w:eastAsia="宋体" w:cs="宋体"/>
          <w:color w:val="auto"/>
          <w:sz w:val="21"/>
          <w:szCs w:val="21"/>
          <w:lang w:val="zh-CN"/>
        </w:rPr>
        <w:t>了《陕西省政府采购信用担保试点工作实施方案（试行）》，为参与陕西省政府采购项目的供应商提供政府采购信用担保，并按照程序确定了合作的担保机构。供应商在缴纳投标保证金及中标供应商缴纳履约保证金时可自愿选择通过担保机构保函的形式缴纳。</w:t>
      </w:r>
    </w:p>
    <w:p w14:paraId="59FCEFB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44.1.2、</w:t>
      </w:r>
      <w:r>
        <w:rPr>
          <w:rFonts w:hint="eastAsia" w:ascii="宋体" w:hAnsi="宋体" w:eastAsia="宋体" w:cs="宋体"/>
          <w:color w:val="auto"/>
          <w:sz w:val="21"/>
          <w:szCs w:val="21"/>
          <w:lang w:val="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82C5B4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lang w:val="en-US" w:eastAsia="zh-CN"/>
        </w:rPr>
        <w:t>44</w:t>
      </w:r>
      <w:r>
        <w:rPr>
          <w:rFonts w:hint="eastAsia" w:ascii="宋体" w:hAnsi="宋体" w:eastAsia="宋体" w:cs="宋体"/>
          <w:color w:val="auto"/>
          <w:sz w:val="21"/>
          <w:szCs w:val="21"/>
          <w:lang w:val="zh-CN"/>
        </w:rPr>
        <w:t>.2、成交人如果需要融资贷款服务需求的，可凭成交通知书、政府采购合同等相关资料，按照文件规定的相关政策、业务流程申请办理，具体规定可</w:t>
      </w:r>
      <w:r>
        <w:rPr>
          <w:rFonts w:hint="eastAsia" w:ascii="宋体" w:hAnsi="宋体" w:cs="宋体"/>
          <w:color w:val="auto"/>
          <w:sz w:val="21"/>
          <w:szCs w:val="21"/>
          <w:lang w:val="zh-CN"/>
        </w:rPr>
        <w:t>登录</w:t>
      </w:r>
      <w:r>
        <w:rPr>
          <w:rFonts w:hint="eastAsia" w:ascii="宋体" w:hAnsi="宋体" w:eastAsia="宋体" w:cs="宋体"/>
          <w:color w:val="auto"/>
          <w:sz w:val="21"/>
          <w:szCs w:val="21"/>
          <w:lang w:val="zh-CN"/>
        </w:rPr>
        <w:t>陕西省政府采购信用融资平台（http://www.ccgp-shaanxi.gov.cn/zcdservice/zcd/shanxi/）查询了解。</w:t>
      </w:r>
    </w:p>
    <w:p w14:paraId="7696B5CF">
      <w:pPr>
        <w:pStyle w:val="20"/>
        <w:keepNext w:val="0"/>
        <w:keepLines w:val="0"/>
        <w:pageBreakBefore w:val="0"/>
        <w:widowControl w:val="0"/>
        <w:kinsoku/>
        <w:wordWrap/>
        <w:overflowPunct/>
        <w:topLinePunct w:val="0"/>
        <w:bidi w:val="0"/>
        <w:spacing w:line="400" w:lineRule="exact"/>
        <w:ind w:firstLine="422" w:firstLineChars="200"/>
        <w:textAlignment w:val="auto"/>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45、特殊情形下的应急处置 </w:t>
      </w:r>
    </w:p>
    <w:p w14:paraId="30039660">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.1  在开启、评审过程中，如因停电、断网、电子化系统故障等特殊原因导致电子化开、评审无法正常进行时，将视响应文件解密情况特殊处理。 </w:t>
      </w:r>
    </w:p>
    <w:p w14:paraId="19451E4B">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.2  开启时响应文件未解密的，将另行确定时间继续完成开启程序； </w:t>
      </w:r>
    </w:p>
    <w:p w14:paraId="17B9E7C4">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.3  开启后响应文件已解密但评审结论未形成的，按相关主管部门要求执行； </w:t>
      </w:r>
    </w:p>
    <w:p w14:paraId="52019C2D">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.4  开启后响应文件已解密且评审结论已形成的，待特殊情况排除后，继续完成评审活动。</w:t>
      </w:r>
    </w:p>
    <w:p w14:paraId="011FA42C">
      <w:pPr>
        <w:rPr>
          <w:rFonts w:hint="default" w:ascii="宋体" w:hAnsi="宋体" w:eastAsia="宋体" w:cs="宋体"/>
          <w:color w:val="auto"/>
          <w:kern w:val="2"/>
          <w:sz w:val="21"/>
          <w:szCs w:val="21"/>
          <w:lang w:val="en-US" w:eastAsia="zh-CN" w:bidi="ar-SA"/>
        </w:rPr>
        <w:sectPr>
          <w:footerReference r:id="rId16" w:type="first"/>
          <w:headerReference r:id="rId14" w:type="default"/>
          <w:footerReference r:id="rId15" w:type="default"/>
          <w:pgSz w:w="11906" w:h="16838"/>
          <w:pgMar w:top="1417" w:right="1418" w:bottom="1417" w:left="1417" w:header="851" w:footer="992" w:gutter="0"/>
          <w:pgNumType w:fmt="decimal"/>
          <w:cols w:space="720" w:num="1"/>
          <w:docGrid w:type="lines" w:linePitch="312" w:charSpace="0"/>
        </w:sectPr>
      </w:pPr>
    </w:p>
    <w:p w14:paraId="6B7CAA92">
      <w:pPr>
        <w:pStyle w:val="2"/>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36"/>
          <w:szCs w:val="36"/>
          <w:highlight w:val="none"/>
          <w:lang w:val="en-US" w:eastAsia="zh-CN"/>
        </w:rPr>
      </w:pPr>
      <w:bookmarkStart w:id="51" w:name="_Toc22326"/>
      <w:r>
        <w:rPr>
          <w:rFonts w:hint="eastAsia" w:ascii="宋体" w:hAnsi="宋体" w:eastAsia="宋体" w:cs="宋体"/>
          <w:b/>
          <w:bCs/>
          <w:color w:val="auto"/>
          <w:sz w:val="36"/>
          <w:szCs w:val="36"/>
          <w:highlight w:val="none"/>
          <w:lang w:val="en-US" w:eastAsia="zh-CN"/>
        </w:rPr>
        <w:t>第四章 评审办法</w:t>
      </w:r>
      <w:bookmarkEnd w:id="51"/>
    </w:p>
    <w:p w14:paraId="5539B864">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color w:val="auto"/>
          <w:sz w:val="21"/>
          <w:szCs w:val="21"/>
          <w:highlight w:val="none"/>
        </w:rPr>
      </w:pPr>
      <w:bookmarkStart w:id="52" w:name="_Toc492476967"/>
      <w:r>
        <w:rPr>
          <w:rFonts w:hint="eastAsia" w:ascii="宋体" w:hAnsi="宋体" w:eastAsia="宋体" w:cs="宋体"/>
          <w:b/>
          <w:color w:val="auto"/>
          <w:sz w:val="21"/>
          <w:szCs w:val="21"/>
          <w:highlight w:val="none"/>
        </w:rPr>
        <w:t>1、评审方法</w:t>
      </w:r>
    </w:p>
    <w:p w14:paraId="33648103">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按照《中华人民共和国政府采购法》及实施条例和关于印发《政府采购竞争性磋商采购方式管理暂行办法》的通知（财库〔2014〕214号）</w:t>
      </w:r>
      <w:r>
        <w:rPr>
          <w:rFonts w:hint="eastAsia" w:ascii="宋体" w:hAnsi="宋体" w:eastAsia="宋体" w:cs="宋体"/>
          <w:color w:val="auto"/>
          <w:spacing w:val="4"/>
          <w:sz w:val="21"/>
          <w:szCs w:val="21"/>
          <w:highlight w:val="none"/>
        </w:rPr>
        <w:t>的规定，本次评标采用综合评分法，即在最大限度地满足</w:t>
      </w:r>
      <w:r>
        <w:rPr>
          <w:rFonts w:hint="eastAsia" w:ascii="宋体" w:hAnsi="宋体" w:eastAsia="宋体" w:cs="宋体"/>
          <w:color w:val="auto"/>
          <w:spacing w:val="4"/>
          <w:sz w:val="21"/>
          <w:szCs w:val="21"/>
          <w:highlight w:val="none"/>
          <w:lang w:eastAsia="zh-CN"/>
        </w:rPr>
        <w:t>竞争性磋商文件</w:t>
      </w:r>
      <w:r>
        <w:rPr>
          <w:rFonts w:hint="eastAsia" w:ascii="宋体" w:hAnsi="宋体" w:eastAsia="宋体" w:cs="宋体"/>
          <w:color w:val="auto"/>
          <w:spacing w:val="4"/>
          <w:sz w:val="21"/>
          <w:szCs w:val="21"/>
          <w:highlight w:val="none"/>
        </w:rPr>
        <w:t>实质性要求前提下，按照</w:t>
      </w:r>
      <w:r>
        <w:rPr>
          <w:rFonts w:hint="eastAsia" w:ascii="宋体" w:hAnsi="宋体" w:eastAsia="宋体" w:cs="宋体"/>
          <w:color w:val="auto"/>
          <w:spacing w:val="4"/>
          <w:sz w:val="21"/>
          <w:szCs w:val="21"/>
          <w:highlight w:val="none"/>
          <w:lang w:eastAsia="zh-CN"/>
        </w:rPr>
        <w:t>竞争性磋商文件</w:t>
      </w:r>
      <w:r>
        <w:rPr>
          <w:rFonts w:hint="eastAsia" w:ascii="宋体" w:hAnsi="宋体" w:eastAsia="宋体" w:cs="宋体"/>
          <w:color w:val="auto"/>
          <w:spacing w:val="4"/>
          <w:sz w:val="21"/>
          <w:szCs w:val="21"/>
          <w:highlight w:val="none"/>
        </w:rPr>
        <w:t>中规定的各项因素和相应的权重分值进行综合评审后，以总得分最高的供应商作为成交候选人并依次排序（最低报价不是成交的唯一标准）。</w:t>
      </w:r>
    </w:p>
    <w:p w14:paraId="09176E36">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2、评审标准</w:t>
      </w:r>
    </w:p>
    <w:p w14:paraId="1821C878">
      <w:pPr>
        <w:keepNext w:val="0"/>
        <w:keepLines w:val="0"/>
        <w:pageBreakBefore w:val="0"/>
        <w:widowControl w:val="0"/>
        <w:tabs>
          <w:tab w:val="left" w:pos="0"/>
        </w:tabs>
        <w:kinsoku/>
        <w:wordWrap/>
        <w:overflowPunct/>
        <w:topLinePunct w:val="0"/>
        <w:bidi w:val="0"/>
        <w:adjustRightInd w:val="0"/>
        <w:snapToGrid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2.1、初步评审标准</w:t>
      </w:r>
    </w:p>
    <w:p w14:paraId="0A54FC02">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资格性审查标准：见附件1〖资格性审查表〗</w:t>
      </w:r>
    </w:p>
    <w:p w14:paraId="1121277F">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符合性审查标准：见附件</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〖符合性审查表〗</w:t>
      </w:r>
    </w:p>
    <w:p w14:paraId="0CEE1F2B">
      <w:pPr>
        <w:keepNext w:val="0"/>
        <w:keepLines w:val="0"/>
        <w:pageBreakBefore w:val="0"/>
        <w:widowControl w:val="0"/>
        <w:tabs>
          <w:tab w:val="left" w:pos="0"/>
        </w:tabs>
        <w:kinsoku/>
        <w:wordWrap/>
        <w:overflowPunct/>
        <w:topLinePunct w:val="0"/>
        <w:bidi w:val="0"/>
        <w:adjustRightInd w:val="0"/>
        <w:snapToGrid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2.2、分值构成与评分标准</w:t>
      </w:r>
    </w:p>
    <w:p w14:paraId="48F3BC93">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价格：见附件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w:t>
      </w:r>
    </w:p>
    <w:p w14:paraId="3E2CEFB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技术</w:t>
      </w:r>
      <w:r>
        <w:rPr>
          <w:rFonts w:hint="eastAsia" w:ascii="宋体" w:hAnsi="宋体" w:eastAsia="宋体" w:cs="宋体"/>
          <w:bCs/>
          <w:color w:val="auto"/>
          <w:sz w:val="21"/>
          <w:szCs w:val="21"/>
          <w:highlight w:val="none"/>
        </w:rPr>
        <w:t>方案：见附件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w:t>
      </w:r>
    </w:p>
    <w:p w14:paraId="4BD430C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（3）业绩及履约能力</w:t>
      </w:r>
      <w:r>
        <w:rPr>
          <w:rFonts w:hint="eastAsia" w:ascii="宋体" w:hAnsi="宋体" w:eastAsia="宋体" w:cs="宋体"/>
          <w:bCs/>
          <w:color w:val="auto"/>
          <w:sz w:val="21"/>
          <w:szCs w:val="21"/>
          <w:highlight w:val="none"/>
        </w:rPr>
        <w:t>：见附件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〖评标因素及权重分值表〗</w:t>
      </w:r>
    </w:p>
    <w:p w14:paraId="2FF05BC3">
      <w:pPr>
        <w:keepNext w:val="0"/>
        <w:keepLines w:val="0"/>
        <w:pageBreakBefore w:val="0"/>
        <w:widowControl w:val="0"/>
        <w:kinsoku/>
        <w:wordWrap/>
        <w:overflowPunct/>
        <w:topLinePunct w:val="0"/>
        <w:bidi w:val="0"/>
        <w:spacing w:line="360" w:lineRule="exact"/>
        <w:ind w:firstLine="438" w:firstLineChars="200"/>
        <w:textAlignment w:val="auto"/>
        <w:rPr>
          <w:rFonts w:hint="eastAsia" w:ascii="宋体" w:hAnsi="宋体" w:eastAsia="宋体" w:cs="宋体"/>
          <w:b/>
          <w:color w:val="auto"/>
          <w:spacing w:val="4"/>
          <w:sz w:val="21"/>
          <w:szCs w:val="21"/>
          <w:highlight w:val="none"/>
        </w:rPr>
      </w:pPr>
      <w:r>
        <w:rPr>
          <w:rFonts w:hint="eastAsia" w:ascii="宋体" w:hAnsi="宋体" w:eastAsia="宋体" w:cs="宋体"/>
          <w:b/>
          <w:color w:val="auto"/>
          <w:spacing w:val="4"/>
          <w:sz w:val="21"/>
          <w:szCs w:val="21"/>
          <w:highlight w:val="none"/>
        </w:rPr>
        <w:t>3、评审程序</w:t>
      </w:r>
    </w:p>
    <w:p w14:paraId="474B1816">
      <w:pPr>
        <w:pStyle w:val="28"/>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初审、澄清有关问题、分别磋商、二次报价、比较与评审、推荐成交候选人名单。在上一步评审中被认定为无效磋商者，不进入下一步的评审。</w:t>
      </w:r>
    </w:p>
    <w:p w14:paraId="7A3562C5">
      <w:pPr>
        <w:keepNext w:val="0"/>
        <w:keepLines w:val="0"/>
        <w:pageBreakBefore w:val="0"/>
        <w:widowControl w:val="0"/>
        <w:kinsoku/>
        <w:wordWrap/>
        <w:overflowPunct/>
        <w:topLinePunct w:val="0"/>
        <w:bidi w:val="0"/>
        <w:spacing w:line="360" w:lineRule="exact"/>
        <w:ind w:firstLine="438" w:firstLineChars="200"/>
        <w:textAlignment w:val="auto"/>
        <w:rPr>
          <w:rFonts w:hint="eastAsia" w:ascii="宋体" w:hAnsi="宋体" w:eastAsia="宋体" w:cs="宋体"/>
          <w:b/>
          <w:bCs/>
          <w:color w:val="auto"/>
          <w:spacing w:val="4"/>
          <w:sz w:val="21"/>
          <w:szCs w:val="21"/>
          <w:highlight w:val="none"/>
        </w:rPr>
      </w:pPr>
      <w:r>
        <w:rPr>
          <w:rFonts w:hint="eastAsia" w:ascii="宋体" w:hAnsi="宋体" w:eastAsia="宋体" w:cs="宋体"/>
          <w:b/>
          <w:bCs/>
          <w:color w:val="auto"/>
          <w:spacing w:val="4"/>
          <w:sz w:val="21"/>
          <w:szCs w:val="21"/>
          <w:highlight w:val="none"/>
        </w:rPr>
        <w:t>3.1、对</w:t>
      </w:r>
      <w:r>
        <w:rPr>
          <w:rFonts w:hint="eastAsia" w:ascii="宋体" w:hAnsi="宋体" w:eastAsia="宋体" w:cs="宋体"/>
          <w:b/>
          <w:bCs/>
          <w:color w:val="auto"/>
          <w:spacing w:val="4"/>
          <w:sz w:val="21"/>
          <w:szCs w:val="21"/>
          <w:highlight w:val="none"/>
          <w:lang w:eastAsia="zh-CN"/>
        </w:rPr>
        <w:t>竞争性磋商响应文件</w:t>
      </w:r>
      <w:r>
        <w:rPr>
          <w:rFonts w:hint="eastAsia" w:ascii="宋体" w:hAnsi="宋体" w:eastAsia="宋体" w:cs="宋体"/>
          <w:b/>
          <w:bCs/>
          <w:color w:val="auto"/>
          <w:spacing w:val="4"/>
          <w:sz w:val="21"/>
          <w:szCs w:val="21"/>
          <w:highlight w:val="none"/>
        </w:rPr>
        <w:t>的初审</w:t>
      </w:r>
    </w:p>
    <w:p w14:paraId="7D81B51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资格性审查：采购人将依据本章附件1规定的评审标准对</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进行资格性审查。有一项不符合评审标准的，将被视为未实质性响应</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，其</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将按无效文件处理。</w:t>
      </w:r>
    </w:p>
    <w:p w14:paraId="070624B8">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符合性审查：磋商小组根据本章附件</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规定的评审标准对</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进行符合性评审。有一项不符合评审标准的，将被视为未实质性响应</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，其</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将按无效文件处理。</w:t>
      </w:r>
    </w:p>
    <w:p w14:paraId="6035EDF2">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在资格性审查阶段，不符合</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要求的，不得进入符合性审查，在符合性审查时未通过的，不得进入后续评审环节。</w:t>
      </w:r>
    </w:p>
    <w:p w14:paraId="5FD1D790">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w:t>
      </w:r>
      <w:r>
        <w:rPr>
          <w:rFonts w:hint="eastAsia" w:ascii="宋体" w:hAnsi="宋体" w:eastAsia="宋体" w:cs="宋体"/>
          <w:b/>
          <w:bCs/>
          <w:color w:val="auto"/>
          <w:sz w:val="21"/>
          <w:szCs w:val="21"/>
          <w:highlight w:val="none"/>
          <w:lang w:eastAsia="zh-CN"/>
        </w:rPr>
        <w:t>竞争性磋商响应文件</w:t>
      </w:r>
      <w:r>
        <w:rPr>
          <w:rFonts w:hint="eastAsia" w:ascii="宋体" w:hAnsi="宋体" w:eastAsia="宋体" w:cs="宋体"/>
          <w:b/>
          <w:bCs/>
          <w:color w:val="auto"/>
          <w:sz w:val="21"/>
          <w:szCs w:val="21"/>
          <w:highlight w:val="none"/>
        </w:rPr>
        <w:t>的澄清</w:t>
      </w:r>
    </w:p>
    <w:p w14:paraId="4A08AEE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在评审期间,根据磋商小组的需要，要求供应商对其竞争性磋商响应文件进行澄清，有关澄清的要求和答复不得寻求、提供或允许对磋商价格等实质性内容做任何更改。</w:t>
      </w:r>
    </w:p>
    <w:p w14:paraId="448ED92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lang w:val="zh-CN"/>
        </w:rPr>
        <w:t>供应商应进行澄清或说明不得超出竞争性磋商响应文件的范围或改变竞争性磋商响应文件的实质性内容。</w:t>
      </w:r>
    </w:p>
    <w:p w14:paraId="09C18D4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rPr>
        <w:t>磋商小组所有成员集中与单一供应商分别进行磋商，并给予参加磋商的供应商平等的磋商机会。在磋商过程中，磋商小组可以根据竞争性磋商文件和磋商情况实质性变动采购需求中的技术、服务要求以及合同草案条款，但不得变动竞争性磋商文件中的其他内容。实质性变动的内容，须经采购人代表确认。对竞争性磋商文件作出的实质性变动是竞争性磋商文件的有效组成部分，磋商小组应当及时通知所有参加磋商的供应商。</w:t>
      </w:r>
    </w:p>
    <w:p w14:paraId="619FE890">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3.3</w:t>
      </w:r>
      <w:r>
        <w:rPr>
          <w:rFonts w:hint="eastAsia" w:ascii="宋体" w:hAnsi="宋体" w:eastAsia="宋体" w:cs="宋体"/>
          <w:b/>
          <w:color w:val="auto"/>
          <w:sz w:val="21"/>
          <w:szCs w:val="21"/>
        </w:rPr>
        <w:t>、出现下列情况之一者（但不限于），按无效文件处理：</w:t>
      </w:r>
    </w:p>
    <w:p w14:paraId="478212F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供应商没有经过正常渠道</w:t>
      </w:r>
      <w:r>
        <w:rPr>
          <w:rFonts w:hint="eastAsia" w:ascii="宋体" w:hAnsi="宋体" w:eastAsia="宋体" w:cs="宋体"/>
          <w:color w:val="auto"/>
          <w:sz w:val="21"/>
          <w:szCs w:val="21"/>
          <w:highlight w:val="none"/>
          <w:lang w:val="en-US" w:eastAsia="zh-CN"/>
        </w:rPr>
        <w:t>获取采购</w:t>
      </w:r>
      <w:r>
        <w:rPr>
          <w:rFonts w:hint="eastAsia" w:ascii="宋体" w:hAnsi="宋体" w:eastAsia="宋体" w:cs="宋体"/>
          <w:color w:val="auto"/>
          <w:sz w:val="21"/>
          <w:szCs w:val="21"/>
          <w:highlight w:val="none"/>
          <w:lang w:val="zh-CN" w:eastAsia="zh-CN"/>
        </w:rPr>
        <w:t>文件，或供应商的名称与报名</w:t>
      </w:r>
      <w:r>
        <w:rPr>
          <w:rFonts w:hint="eastAsia" w:ascii="宋体" w:hAnsi="宋体" w:eastAsia="宋体" w:cs="宋体"/>
          <w:color w:val="auto"/>
          <w:sz w:val="21"/>
          <w:szCs w:val="21"/>
          <w:highlight w:val="none"/>
          <w:lang w:val="en-US" w:eastAsia="zh-CN"/>
        </w:rPr>
        <w:t>时登记的</w:t>
      </w:r>
      <w:r>
        <w:rPr>
          <w:rFonts w:hint="eastAsia" w:ascii="宋体" w:hAnsi="宋体" w:eastAsia="宋体" w:cs="宋体"/>
          <w:color w:val="auto"/>
          <w:sz w:val="21"/>
          <w:szCs w:val="21"/>
          <w:highlight w:val="none"/>
          <w:lang w:val="zh-CN" w:eastAsia="zh-CN"/>
        </w:rPr>
        <w:t>供应商单位名称不符；</w:t>
      </w:r>
    </w:p>
    <w:p w14:paraId="71C6E4E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（2）供应商磋商响应文件的有效性和符合性不符合竞争性磋商文件要求的；</w:t>
      </w:r>
    </w:p>
    <w:p w14:paraId="3767F03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（3）供应商有串通投标、弄虚作假（包括但不限于虚假资质、虚假证明、虚假应答等）、行贿等违法行为的；</w:t>
      </w:r>
    </w:p>
    <w:p w14:paraId="740D97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（4）响应文件附加了采购人难以接受的条件或条款的；</w:t>
      </w:r>
    </w:p>
    <w:p w14:paraId="1D28C62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（5）在政府采购或其他重大项目履约过程中有不良记录，未能按期履约的；</w:t>
      </w:r>
    </w:p>
    <w:p w14:paraId="00FD77B3">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（6）磋商报价与市场价格偏离较大、低于成本、形成不正当竞争的；</w:t>
      </w:r>
    </w:p>
    <w:p w14:paraId="0FA76FE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（7）磋商报价子目出现漏项或报价数量与要求不符的；</w:t>
      </w:r>
    </w:p>
    <w:p w14:paraId="1E26474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（8）提供虚假技术性能指标的。</w:t>
      </w:r>
    </w:p>
    <w:p w14:paraId="4A73A0D9">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 xml:space="preserve">供应商拒绝对电子响应文件进行解密的； </w:t>
      </w:r>
    </w:p>
    <w:p w14:paraId="484D9DBA">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 xml:space="preserve">因供应商自身原因（如解密时使用的 CA 锁与制作电子响应文件使用的 CA 锁不一致、或沿用旧版竞争性磋商文件编制响应文件等情形），导致在规定时间内无法解密响应文件的； </w:t>
      </w:r>
    </w:p>
    <w:p w14:paraId="7D54C57F">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（11）</w:t>
      </w:r>
      <w:r>
        <w:rPr>
          <w:rFonts w:hint="eastAsia" w:ascii="宋体" w:hAnsi="宋体" w:eastAsia="宋体" w:cs="宋体"/>
          <w:color w:val="auto"/>
          <w:kern w:val="2"/>
          <w:sz w:val="21"/>
          <w:szCs w:val="21"/>
          <w:highlight w:val="none"/>
          <w:lang w:val="en-US" w:eastAsia="zh-CN" w:bidi="ar-SA"/>
        </w:rPr>
        <w:t xml:space="preserve">上传的电子响应文件无法打开的； </w:t>
      </w:r>
    </w:p>
    <w:p w14:paraId="22118D6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政府采购法律法规规定的其他无效情形。</w:t>
      </w:r>
    </w:p>
    <w:p w14:paraId="305EBAB1">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4、有下列情形之一的，视为</w:t>
      </w:r>
      <w:r>
        <w:rPr>
          <w:rFonts w:hint="eastAsia" w:ascii="宋体" w:hAnsi="宋体" w:eastAsia="宋体" w:cs="宋体"/>
          <w:b/>
          <w:color w:val="auto"/>
          <w:sz w:val="21"/>
          <w:szCs w:val="21"/>
          <w:lang w:val="en-US" w:eastAsia="zh-CN"/>
        </w:rPr>
        <w:t>供应商</w:t>
      </w:r>
      <w:r>
        <w:rPr>
          <w:rFonts w:hint="eastAsia" w:ascii="宋体" w:hAnsi="宋体" w:eastAsia="宋体" w:cs="宋体"/>
          <w:b/>
          <w:color w:val="auto"/>
          <w:sz w:val="21"/>
          <w:szCs w:val="21"/>
        </w:rPr>
        <w:t>串通投标，</w:t>
      </w:r>
      <w:r>
        <w:rPr>
          <w:rFonts w:hint="eastAsia" w:ascii="宋体" w:hAnsi="宋体" w:eastAsia="宋体" w:cs="宋体"/>
          <w:b/>
          <w:color w:val="auto"/>
          <w:sz w:val="21"/>
          <w:szCs w:val="21"/>
          <w:lang w:val="en-US" w:eastAsia="zh-CN"/>
        </w:rPr>
        <w:t>磋商小组</w:t>
      </w:r>
      <w:r>
        <w:rPr>
          <w:rFonts w:hint="eastAsia" w:ascii="宋体" w:hAnsi="宋体" w:eastAsia="宋体" w:cs="宋体"/>
          <w:b/>
          <w:color w:val="auto"/>
          <w:sz w:val="21"/>
          <w:szCs w:val="21"/>
        </w:rPr>
        <w:t>应当认定其投标无效：</w:t>
      </w:r>
    </w:p>
    <w:p w14:paraId="0C4A2EA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文件由同一单位或者个人编制；</w:t>
      </w:r>
    </w:p>
    <w:p w14:paraId="11C2AA71">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委托同一单位或者个人办理投标事宜；</w:t>
      </w:r>
    </w:p>
    <w:p w14:paraId="13DD740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文件载明的项目管理成员或者联系人员为同一人；</w:t>
      </w:r>
    </w:p>
    <w:p w14:paraId="1DBD8DA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文件异常一致或者</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报价呈规律性差异；</w:t>
      </w:r>
    </w:p>
    <w:p w14:paraId="6039FDB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文件相互混装。</w:t>
      </w:r>
    </w:p>
    <w:p w14:paraId="099E50CF">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3.5、有下列情形之一的，属于不合格供应商，其投标或成交资格将被取消：</w:t>
      </w:r>
    </w:p>
    <w:p w14:paraId="28321041">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（1）提供虚假材料谋取成交；</w:t>
      </w:r>
    </w:p>
    <w:p w14:paraId="635EC492">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（2）采取不正当手段诋毁、排挤其他</w:t>
      </w:r>
      <w:r>
        <w:rPr>
          <w:rFonts w:hint="eastAsia" w:ascii="宋体" w:hAnsi="宋体" w:eastAsia="宋体" w:cs="宋体"/>
          <w:color w:val="auto"/>
          <w:sz w:val="21"/>
          <w:szCs w:val="21"/>
          <w:highlight w:val="none"/>
          <w:lang w:val="zh-CN"/>
        </w:rPr>
        <w:t>供应商</w:t>
      </w:r>
      <w:r>
        <w:rPr>
          <w:rFonts w:hint="eastAsia" w:ascii="宋体" w:hAnsi="宋体" w:eastAsia="宋体" w:cs="宋体"/>
          <w:color w:val="auto"/>
          <w:sz w:val="21"/>
          <w:szCs w:val="21"/>
          <w:highlight w:val="none"/>
          <w:lang w:val="en-US" w:eastAsia="zh-CN"/>
        </w:rPr>
        <w:t>；</w:t>
      </w:r>
    </w:p>
    <w:p w14:paraId="254C991C">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（3）与采购人、采购代理机构、其他</w:t>
      </w:r>
      <w:r>
        <w:rPr>
          <w:rFonts w:hint="eastAsia" w:ascii="宋体" w:hAnsi="宋体" w:eastAsia="宋体" w:cs="宋体"/>
          <w:color w:val="auto"/>
          <w:sz w:val="21"/>
          <w:szCs w:val="21"/>
          <w:highlight w:val="none"/>
          <w:lang w:val="zh-CN"/>
        </w:rPr>
        <w:t>供应商</w:t>
      </w:r>
      <w:r>
        <w:rPr>
          <w:rFonts w:hint="eastAsia" w:ascii="宋体" w:hAnsi="宋体" w:eastAsia="宋体" w:cs="宋体"/>
          <w:color w:val="auto"/>
          <w:sz w:val="21"/>
          <w:szCs w:val="21"/>
          <w:highlight w:val="none"/>
          <w:lang w:val="en-US" w:eastAsia="zh-CN"/>
        </w:rPr>
        <w:t>恶意串通；</w:t>
      </w:r>
    </w:p>
    <w:p w14:paraId="574815EF">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（4）向采购人、采购代理机构、磋商小组成员行贿或者提供其他不正当利益；</w:t>
      </w:r>
    </w:p>
    <w:p w14:paraId="1DE23E87">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（5）在招标过程中与采购人、采购代理机构进行协商投标；</w:t>
      </w:r>
    </w:p>
    <w:p w14:paraId="2C2E7FC5">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（6）拒绝有关部门的监督检查或者向监督检查部门提供虚假情况。</w:t>
      </w:r>
    </w:p>
    <w:p w14:paraId="7638F61E">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4、磋商：</w:t>
      </w:r>
      <w:r>
        <w:rPr>
          <w:rFonts w:hint="eastAsia" w:ascii="宋体" w:hAnsi="宋体" w:eastAsia="宋体" w:cs="宋体"/>
          <w:color w:val="auto"/>
          <w:sz w:val="21"/>
          <w:szCs w:val="21"/>
          <w:highlight w:val="none"/>
        </w:rPr>
        <w:t>磋商小组所有成员集中与单一供应商分别进行磋商，并要求供应商在规定的时间内提交最后报价。在磋商过程中，磋商小组可以根据</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和磋商情况实质性变动采购需求中的技术、服务要求以及合同草案条款，但不得变动</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中的其它内容。实质性变动得内容，需经采购人代表确认。</w:t>
      </w:r>
    </w:p>
    <w:p w14:paraId="415EEA1D">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5、综合评审：</w:t>
      </w:r>
      <w:r>
        <w:rPr>
          <w:rFonts w:hint="eastAsia" w:ascii="宋体" w:hAnsi="宋体" w:eastAsia="宋体" w:cs="宋体"/>
          <w:color w:val="auto"/>
          <w:sz w:val="21"/>
          <w:szCs w:val="21"/>
          <w:highlight w:val="none"/>
        </w:rPr>
        <w:t>对于经初审合格的所有供应商，由磋商小组各成员依据</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和最终报价，按照下列《</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》规定的内容独立进行综合评价、比较打分，然后汇总每个供应商的得分，从高到低依次排序，推荐成交候选人。</w:t>
      </w:r>
    </w:p>
    <w:p w14:paraId="278A1C46">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6、</w:t>
      </w:r>
      <w:r>
        <w:rPr>
          <w:rFonts w:hint="eastAsia" w:ascii="宋体" w:hAnsi="宋体" w:eastAsia="宋体" w:cs="宋体"/>
          <w:b/>
          <w:bCs/>
          <w:color w:val="auto"/>
          <w:sz w:val="21"/>
          <w:szCs w:val="21"/>
          <w:highlight w:val="none"/>
          <w:lang w:val="zh-CN"/>
        </w:rPr>
        <w:t>评审内容、原则及标准（满分100分）</w:t>
      </w:r>
    </w:p>
    <w:p w14:paraId="1B66361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.1、磋商小组将遵循公开、公平、公正和择优的原则，对所有供应商的竞争性磋商响应文件评审，都采用相同的程序和标准。</w:t>
      </w:r>
    </w:p>
    <w:p w14:paraId="649BED3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.2、评审过程的保密：在竞争性磋商响应文件的评审、比较、成交候选单位推荐以及授予合同的过程中，供应商向采购人和磋商小组施加影响的任何行为，都将会导致其报价被拒绝。</w:t>
      </w:r>
    </w:p>
    <w:p w14:paraId="45F2231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.3、评审原则和办法：</w:t>
      </w:r>
    </w:p>
    <w:p w14:paraId="50DD90E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综合评分法：即在最大限度地满足竞争性磋商文件实质性要求前提下，按照竞争性磋商文件中规定的各项因素进行综合评审后，以评审总得分顺序推荐成交候选单位。</w:t>
      </w:r>
    </w:p>
    <w:p w14:paraId="39F84F3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zh-CN"/>
        </w:rPr>
        <w:t>磋商小组各专家独立评分，按评审后综合得分由高到低顺序排列，推荐成交候选单位。得分相同的，按磋商报价由低到高顺序排列，得分且磋商报价相同的，比较技术指标得分，此技术得分高者排在前。</w:t>
      </w:r>
    </w:p>
    <w:p w14:paraId="04ACFB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zh-CN"/>
        </w:rPr>
        <w:t>专家评分超过得分界限或未按照本办法规定时，该专家的该项评分作废，不计入汇总；计算采用插入法，数字均保留二位小数，第三位“四舍五入”；评审过程中，若出现本办法以外的特殊情况时，将暂停评审，有关情况待磋商小组确定后，再行评定。</w:t>
      </w:r>
    </w:p>
    <w:p w14:paraId="3D52D8F8">
      <w:pPr>
        <w:pStyle w:val="16"/>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p>
    <w:p w14:paraId="1FE5977B">
      <w:pPr>
        <w:pStyle w:val="16"/>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附件1：</w:t>
      </w:r>
      <w:r>
        <w:rPr>
          <w:rFonts w:hint="default" w:ascii="宋体" w:hAnsi="宋体" w:eastAsia="宋体" w:cs="宋体"/>
          <w:b/>
          <w:bCs/>
          <w:color w:val="auto"/>
          <w:kern w:val="2"/>
          <w:sz w:val="21"/>
          <w:szCs w:val="21"/>
          <w:lang w:val="en-US" w:eastAsia="zh-CN" w:bidi="ar-SA"/>
        </w:rPr>
        <w:t>资格性</w:t>
      </w:r>
      <w:r>
        <w:rPr>
          <w:rFonts w:hint="eastAsia" w:ascii="宋体" w:hAnsi="宋体" w:eastAsia="宋体" w:cs="宋体"/>
          <w:b/>
          <w:bCs/>
          <w:color w:val="auto"/>
          <w:kern w:val="2"/>
          <w:sz w:val="21"/>
          <w:szCs w:val="21"/>
          <w:lang w:val="en-US" w:eastAsia="zh-CN" w:bidi="ar-SA"/>
        </w:rPr>
        <w:t>审查</w:t>
      </w:r>
      <w:r>
        <w:rPr>
          <w:rFonts w:hint="default" w:ascii="宋体" w:hAnsi="宋体" w:eastAsia="宋体" w:cs="宋体"/>
          <w:color w:val="auto"/>
          <w:kern w:val="2"/>
          <w:sz w:val="21"/>
          <w:szCs w:val="21"/>
          <w:lang w:val="en-US" w:eastAsia="zh-CN" w:bidi="ar-SA"/>
        </w:rPr>
        <w:t>。依据法律法规和竞争性磋商文件的规定，对磋商响应文件中的资格证明文件进行审查，以确定各供应商是否具备投标资格。</w:t>
      </w:r>
    </w:p>
    <w:tbl>
      <w:tblPr>
        <w:tblStyle w:val="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378"/>
        <w:gridCol w:w="6010"/>
        <w:gridCol w:w="1161"/>
      </w:tblGrid>
      <w:tr w14:paraId="2DFD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94" w:type="pct"/>
            <w:noWrap w:val="0"/>
            <w:vAlign w:val="center"/>
          </w:tcPr>
          <w:p w14:paraId="5766D5C8">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742" w:type="pct"/>
            <w:noWrap w:val="0"/>
            <w:vAlign w:val="center"/>
          </w:tcPr>
          <w:p w14:paraId="5177DE34">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评审因素</w:t>
            </w:r>
          </w:p>
        </w:tc>
        <w:tc>
          <w:tcPr>
            <w:tcW w:w="3236" w:type="pct"/>
            <w:noWrap w:val="0"/>
            <w:vAlign w:val="center"/>
          </w:tcPr>
          <w:p w14:paraId="57C9D017">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项目内容</w:t>
            </w:r>
          </w:p>
        </w:tc>
        <w:tc>
          <w:tcPr>
            <w:tcW w:w="625" w:type="pct"/>
            <w:noWrap w:val="0"/>
            <w:vAlign w:val="center"/>
          </w:tcPr>
          <w:p w14:paraId="148F9271">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评审标准</w:t>
            </w:r>
          </w:p>
        </w:tc>
      </w:tr>
      <w:tr w14:paraId="4C99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394" w:type="pct"/>
            <w:noWrap w:val="0"/>
            <w:vAlign w:val="center"/>
          </w:tcPr>
          <w:p w14:paraId="7D6BF5AA">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42" w:type="pct"/>
            <w:noWrap w:val="0"/>
            <w:vAlign w:val="center"/>
          </w:tcPr>
          <w:p w14:paraId="22540CA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营业执照等主体资格证明文件</w:t>
            </w:r>
          </w:p>
        </w:tc>
        <w:tc>
          <w:tcPr>
            <w:tcW w:w="3236" w:type="pct"/>
            <w:noWrap w:val="0"/>
            <w:vAlign w:val="center"/>
          </w:tcPr>
          <w:p w14:paraId="2504B28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应具有独立承担民事责任的能力的企业法人、事业法人、其他组织或自然人，出具合法有效的营业执照等相关证明文件，自然人参与的提供其身份证明；</w:t>
            </w:r>
          </w:p>
        </w:tc>
        <w:tc>
          <w:tcPr>
            <w:tcW w:w="625" w:type="pct"/>
            <w:noWrap w:val="0"/>
            <w:vAlign w:val="center"/>
          </w:tcPr>
          <w:p w14:paraId="15DCD7F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napToGrid w:val="0"/>
                <w:color w:val="auto"/>
                <w:sz w:val="21"/>
                <w:szCs w:val="21"/>
                <w:lang w:eastAsia="zh-CN"/>
              </w:rPr>
            </w:pPr>
            <w:r>
              <w:rPr>
                <w:rFonts w:hint="eastAsia" w:ascii="宋体" w:hAnsi="宋体" w:eastAsia="宋体" w:cs="宋体"/>
                <w:color w:val="auto"/>
                <w:sz w:val="21"/>
                <w:szCs w:val="21"/>
                <w:lang w:eastAsia="zh-CN"/>
              </w:rPr>
              <w:t>符合要求</w:t>
            </w:r>
          </w:p>
        </w:tc>
      </w:tr>
      <w:tr w14:paraId="1548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94" w:type="pct"/>
            <w:noWrap w:val="0"/>
            <w:vAlign w:val="center"/>
          </w:tcPr>
          <w:p w14:paraId="47585B8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42" w:type="pct"/>
            <w:noWrap w:val="0"/>
            <w:vAlign w:val="center"/>
          </w:tcPr>
          <w:p w14:paraId="0523C05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法人身份证明或法定代表人授权书</w:t>
            </w:r>
          </w:p>
        </w:tc>
        <w:tc>
          <w:tcPr>
            <w:tcW w:w="3236" w:type="pct"/>
            <w:noWrap w:val="0"/>
            <w:vAlign w:val="center"/>
          </w:tcPr>
          <w:p w14:paraId="7AB2A284">
            <w:pPr>
              <w:keepNext w:val="0"/>
              <w:keepLines w:val="0"/>
              <w:pageBreakBefore w:val="0"/>
              <w:widowControl w:val="0"/>
              <w:tabs>
                <w:tab w:val="left" w:pos="1180"/>
              </w:tabs>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法定代表人直接参加投标的，须出具法人身份证明（含法人身份证复印件）；法定代表人授权代表参加投标的，须出具法定代表人授权书（含法人、被授权人身份证复印件）；</w:t>
            </w:r>
          </w:p>
        </w:tc>
        <w:tc>
          <w:tcPr>
            <w:tcW w:w="625" w:type="pct"/>
            <w:noWrap w:val="0"/>
            <w:vAlign w:val="center"/>
          </w:tcPr>
          <w:p w14:paraId="4B7BAE4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24CB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394" w:type="pct"/>
            <w:noWrap w:val="0"/>
            <w:vAlign w:val="center"/>
          </w:tcPr>
          <w:p w14:paraId="7C6BAC6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742" w:type="pct"/>
            <w:noWrap w:val="0"/>
            <w:vAlign w:val="center"/>
          </w:tcPr>
          <w:p w14:paraId="0302F529">
            <w:pPr>
              <w:keepNext w:val="0"/>
              <w:keepLines w:val="0"/>
              <w:pageBreakBefore w:val="0"/>
              <w:widowControl w:val="0"/>
              <w:tabs>
                <w:tab w:val="left" w:pos="1180"/>
              </w:tabs>
              <w:kinsoku/>
              <w:wordWrap/>
              <w:overflowPunct/>
              <w:topLinePunct w:val="0"/>
              <w:autoSpaceDE/>
              <w:autoSpaceDN/>
              <w:bidi w:val="0"/>
              <w:adjustRightInd/>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企业资质</w:t>
            </w:r>
          </w:p>
        </w:tc>
        <w:tc>
          <w:tcPr>
            <w:tcW w:w="3236" w:type="pct"/>
            <w:noWrap w:val="0"/>
            <w:vAlign w:val="center"/>
          </w:tcPr>
          <w:p w14:paraId="5A27ADFC">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rPr>
            </w:pPr>
            <w:r>
              <w:rPr>
                <w:rFonts w:hint="default" w:ascii="宋体" w:hAnsi="宋体" w:eastAsia="宋体" w:cs="宋体"/>
                <w:color w:val="0000FF"/>
                <w:kern w:val="0"/>
                <w:sz w:val="21"/>
                <w:szCs w:val="21"/>
                <w:highlight w:val="none"/>
                <w:shd w:val="clear" w:color="auto" w:fill="FFFFFF"/>
              </w:rPr>
              <w:t>供应商须具备建设行政主管部门颁发的建筑工程施工总承包</w:t>
            </w:r>
            <w:r>
              <w:rPr>
                <w:rFonts w:hint="eastAsia" w:cs="宋体"/>
                <w:color w:val="0000FF"/>
                <w:kern w:val="0"/>
                <w:sz w:val="21"/>
                <w:szCs w:val="21"/>
                <w:highlight w:val="none"/>
                <w:shd w:val="clear" w:color="auto" w:fill="FFFFFF"/>
                <w:lang w:val="en-US" w:eastAsia="zh-CN"/>
              </w:rPr>
              <w:t>二</w:t>
            </w:r>
            <w:r>
              <w:rPr>
                <w:rFonts w:hint="default" w:ascii="宋体" w:hAnsi="宋体" w:eastAsia="宋体" w:cs="宋体"/>
                <w:color w:val="0000FF"/>
                <w:kern w:val="0"/>
                <w:sz w:val="21"/>
                <w:szCs w:val="21"/>
                <w:highlight w:val="none"/>
                <w:shd w:val="clear" w:color="auto" w:fill="FFFFFF"/>
              </w:rPr>
              <w:t>级及以上资质，</w:t>
            </w:r>
            <w:r>
              <w:rPr>
                <w:rFonts w:hint="eastAsia" w:ascii="宋体" w:hAnsi="宋体" w:eastAsia="宋体" w:cs="宋体"/>
                <w:color w:val="0000FF"/>
                <w:kern w:val="0"/>
                <w:sz w:val="21"/>
                <w:szCs w:val="21"/>
                <w:highlight w:val="none"/>
                <w:shd w:val="clear" w:color="auto" w:fill="FFFFFF"/>
                <w:lang w:val="en-US" w:eastAsia="zh-CN"/>
              </w:rPr>
              <w:t>同时</w:t>
            </w:r>
            <w:r>
              <w:rPr>
                <w:rFonts w:hint="eastAsia" w:ascii="宋体" w:hAnsi="宋体" w:eastAsia="宋体" w:cs="宋体"/>
                <w:color w:val="0000FF"/>
                <w:kern w:val="0"/>
                <w:sz w:val="21"/>
                <w:szCs w:val="21"/>
                <w:highlight w:val="none"/>
                <w:shd w:val="clear" w:color="auto" w:fill="FFFFFF"/>
                <w:lang w:val="en-US" w:eastAsia="en-US"/>
              </w:rPr>
              <w:t>具有建设行政主管部门颁发的消防设施工程专业承包二级及以上资质，且具备有效的安全生产许可证</w:t>
            </w:r>
            <w:r>
              <w:rPr>
                <w:rFonts w:hint="eastAsia" w:ascii="宋体" w:hAnsi="宋体" w:eastAsia="宋体" w:cs="宋体"/>
                <w:color w:val="0000FF"/>
                <w:kern w:val="0"/>
                <w:sz w:val="21"/>
                <w:szCs w:val="21"/>
                <w:highlight w:val="none"/>
                <w:shd w:val="clear" w:color="auto" w:fill="FFFFFF"/>
                <w:lang w:val="en-US" w:eastAsia="zh-CN"/>
              </w:rPr>
              <w:t>；</w:t>
            </w:r>
          </w:p>
        </w:tc>
        <w:tc>
          <w:tcPr>
            <w:tcW w:w="625" w:type="pct"/>
            <w:noWrap w:val="0"/>
            <w:vAlign w:val="center"/>
          </w:tcPr>
          <w:p w14:paraId="6CC741B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5A9B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394" w:type="pct"/>
            <w:noWrap w:val="0"/>
            <w:vAlign w:val="center"/>
          </w:tcPr>
          <w:p w14:paraId="687A79BC">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742" w:type="pct"/>
            <w:noWrap w:val="0"/>
            <w:vAlign w:val="center"/>
          </w:tcPr>
          <w:p w14:paraId="53A4207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拟派</w:t>
            </w:r>
            <w:r>
              <w:rPr>
                <w:rFonts w:hint="eastAsia" w:ascii="宋体" w:hAnsi="宋体" w:eastAsia="宋体" w:cs="宋体"/>
                <w:color w:val="auto"/>
                <w:sz w:val="21"/>
                <w:szCs w:val="21"/>
                <w:lang w:val="en-US" w:eastAsia="zh-CN"/>
              </w:rPr>
              <w:t>项目经理</w:t>
            </w:r>
          </w:p>
        </w:tc>
        <w:tc>
          <w:tcPr>
            <w:tcW w:w="3236" w:type="pct"/>
            <w:noWrap w:val="0"/>
            <w:vAlign w:val="center"/>
          </w:tcPr>
          <w:p w14:paraId="58A4F008">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0000FF"/>
                <w:kern w:val="2"/>
                <w:sz w:val="21"/>
                <w:szCs w:val="21"/>
                <w:lang w:val="en-US" w:eastAsia="zh-CN" w:bidi="ar-SA"/>
              </w:rPr>
              <w:t>须具有建筑工程专业二级及以上注册建造师执业资格，具有有效的安全生产考核合格证书（B级），且无在建项目；</w:t>
            </w:r>
          </w:p>
        </w:tc>
        <w:tc>
          <w:tcPr>
            <w:tcW w:w="625" w:type="pct"/>
            <w:noWrap w:val="0"/>
            <w:vAlign w:val="center"/>
          </w:tcPr>
          <w:p w14:paraId="0E6796C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5C0D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394" w:type="pct"/>
            <w:noWrap w:val="0"/>
            <w:vAlign w:val="center"/>
          </w:tcPr>
          <w:p w14:paraId="6604F70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742" w:type="pct"/>
            <w:noWrap w:val="0"/>
            <w:vAlign w:val="center"/>
          </w:tcPr>
          <w:p w14:paraId="303AA34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书面声明</w:t>
            </w:r>
          </w:p>
        </w:tc>
        <w:tc>
          <w:tcPr>
            <w:tcW w:w="3236" w:type="pct"/>
            <w:noWrap w:val="0"/>
            <w:vAlign w:val="center"/>
          </w:tcPr>
          <w:p w14:paraId="78AB30B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出具参加本次采购活动前三年内在经营活动中没有重大违法记录的书面声明；</w:t>
            </w:r>
          </w:p>
        </w:tc>
        <w:tc>
          <w:tcPr>
            <w:tcW w:w="625" w:type="pct"/>
            <w:noWrap w:val="0"/>
            <w:vAlign w:val="center"/>
          </w:tcPr>
          <w:p w14:paraId="6A68647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378B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394" w:type="pct"/>
            <w:noWrap w:val="0"/>
            <w:vAlign w:val="center"/>
          </w:tcPr>
          <w:p w14:paraId="4456E0E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742" w:type="pct"/>
            <w:noWrap w:val="0"/>
            <w:vAlign w:val="center"/>
          </w:tcPr>
          <w:p w14:paraId="3612BD9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履行能力</w:t>
            </w:r>
          </w:p>
        </w:tc>
        <w:tc>
          <w:tcPr>
            <w:tcW w:w="3236" w:type="pct"/>
            <w:noWrap w:val="0"/>
            <w:vAlign w:val="center"/>
          </w:tcPr>
          <w:p w14:paraId="3A771A57">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供应商须提供具有履行合同所必需的设备和专业技术能力的承诺</w:t>
            </w:r>
          </w:p>
        </w:tc>
        <w:tc>
          <w:tcPr>
            <w:tcW w:w="625" w:type="pct"/>
            <w:noWrap w:val="0"/>
            <w:vAlign w:val="center"/>
          </w:tcPr>
          <w:p w14:paraId="010E920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7C22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394" w:type="pct"/>
            <w:noWrap w:val="0"/>
            <w:vAlign w:val="center"/>
          </w:tcPr>
          <w:p w14:paraId="5483858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742" w:type="pct"/>
            <w:noWrap w:val="0"/>
            <w:vAlign w:val="center"/>
          </w:tcPr>
          <w:p w14:paraId="2345418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财务状况</w:t>
            </w:r>
          </w:p>
          <w:p w14:paraId="158EBDB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报告</w:t>
            </w:r>
          </w:p>
        </w:tc>
        <w:tc>
          <w:tcPr>
            <w:tcW w:w="3236" w:type="pct"/>
            <w:noWrap w:val="0"/>
            <w:vAlign w:val="center"/>
          </w:tcPr>
          <w:p w14:paraId="3825E2B3">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提供</w:t>
            </w:r>
            <w:r>
              <w:rPr>
                <w:rFonts w:hint="eastAsia" w:ascii="宋体" w:hAnsi="宋体" w:eastAsia="宋体" w:cs="宋体"/>
                <w:color w:val="auto"/>
                <w:sz w:val="21"/>
                <w:szCs w:val="21"/>
                <w:lang w:val="en-US" w:eastAsia="zh-CN"/>
              </w:rPr>
              <w:t>2025年</w:t>
            </w:r>
            <w:r>
              <w:rPr>
                <w:rFonts w:hint="eastAsia" w:ascii="宋体" w:hAnsi="宋体" w:eastAsia="宋体" w:cs="宋体"/>
                <w:color w:val="auto"/>
                <w:sz w:val="21"/>
                <w:szCs w:val="21"/>
                <w:lang w:eastAsia="zh-CN"/>
              </w:rPr>
              <w:t>度</w:t>
            </w:r>
            <w:r>
              <w:rPr>
                <w:rFonts w:hint="eastAsia" w:ascii="宋体" w:hAnsi="宋体" w:eastAsia="宋体" w:cs="宋体"/>
                <w:color w:val="auto"/>
                <w:sz w:val="21"/>
                <w:szCs w:val="21"/>
              </w:rPr>
              <w:t>经审计的财务报告（成立时间至提交投标文件截止时间不足一年的可提供成立后任意时段的资产负债表），或在投标截止时间前六个月内其基本开户银行出具的资信证明；</w:t>
            </w:r>
          </w:p>
        </w:tc>
        <w:tc>
          <w:tcPr>
            <w:tcW w:w="625" w:type="pct"/>
            <w:noWrap w:val="0"/>
            <w:vAlign w:val="center"/>
          </w:tcPr>
          <w:p w14:paraId="25AA3F8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2179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394" w:type="pct"/>
            <w:noWrap w:val="0"/>
            <w:vAlign w:val="center"/>
          </w:tcPr>
          <w:p w14:paraId="03C850FC">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742" w:type="pct"/>
            <w:noWrap w:val="0"/>
            <w:vAlign w:val="center"/>
          </w:tcPr>
          <w:p w14:paraId="232E522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社会保障资金缴纳证明</w:t>
            </w:r>
          </w:p>
        </w:tc>
        <w:tc>
          <w:tcPr>
            <w:tcW w:w="3236" w:type="pct"/>
            <w:noWrap w:val="0"/>
            <w:vAlign w:val="center"/>
          </w:tcPr>
          <w:p w14:paraId="62E15FF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提供采购活动前6个月内任意一个月已缴纳的社会保障资金缴存单据或社保机构开具的社会保险参保缴费情况证明，依法不需要缴纳社会保障资金的应提供相关文件证明；</w:t>
            </w:r>
          </w:p>
        </w:tc>
        <w:tc>
          <w:tcPr>
            <w:tcW w:w="625" w:type="pct"/>
            <w:noWrap w:val="0"/>
            <w:vAlign w:val="center"/>
          </w:tcPr>
          <w:p w14:paraId="535AE044">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695E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394" w:type="pct"/>
            <w:noWrap w:val="0"/>
            <w:vAlign w:val="center"/>
          </w:tcPr>
          <w:p w14:paraId="2CFE35E8">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742" w:type="pct"/>
            <w:noWrap w:val="0"/>
            <w:vAlign w:val="center"/>
          </w:tcPr>
          <w:p w14:paraId="3FDDBF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税收缴纳</w:t>
            </w:r>
          </w:p>
          <w:p w14:paraId="705AE10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证明</w:t>
            </w:r>
          </w:p>
        </w:tc>
        <w:tc>
          <w:tcPr>
            <w:tcW w:w="3236" w:type="pct"/>
            <w:noWrap w:val="0"/>
            <w:vAlign w:val="center"/>
          </w:tcPr>
          <w:p w14:paraId="622C211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提供采购活动前6个月内任意一个月已缴纳的完税凭证或税务机关开具的完税证明（任意税种），依法免税的单位应提供相关证明材料；</w:t>
            </w:r>
          </w:p>
        </w:tc>
        <w:tc>
          <w:tcPr>
            <w:tcW w:w="625" w:type="pct"/>
            <w:noWrap w:val="0"/>
            <w:vAlign w:val="center"/>
          </w:tcPr>
          <w:p w14:paraId="6FD8C93C">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5F3D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4" w:type="pct"/>
            <w:noWrap w:val="0"/>
            <w:vAlign w:val="center"/>
          </w:tcPr>
          <w:p w14:paraId="295ABBF0">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742" w:type="pct"/>
            <w:noWrap w:val="0"/>
            <w:vAlign w:val="center"/>
          </w:tcPr>
          <w:p w14:paraId="5E3812A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信誉要求</w:t>
            </w:r>
          </w:p>
        </w:tc>
        <w:tc>
          <w:tcPr>
            <w:tcW w:w="3236" w:type="pct"/>
            <w:noWrap w:val="0"/>
            <w:vAlign w:val="center"/>
          </w:tcPr>
          <w:p w14:paraId="7363409D">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tc>
        <w:tc>
          <w:tcPr>
            <w:tcW w:w="625" w:type="pct"/>
            <w:noWrap w:val="0"/>
            <w:vAlign w:val="center"/>
          </w:tcPr>
          <w:p w14:paraId="47929D2D">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0B4E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394" w:type="pct"/>
            <w:noWrap w:val="0"/>
            <w:vAlign w:val="center"/>
          </w:tcPr>
          <w:p w14:paraId="7F88CFB2">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742" w:type="pct"/>
            <w:noWrap w:val="0"/>
            <w:vAlign w:val="center"/>
          </w:tcPr>
          <w:p w14:paraId="72731C7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企业关联</w:t>
            </w:r>
          </w:p>
          <w:p w14:paraId="090D1BC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查询</w:t>
            </w:r>
          </w:p>
        </w:tc>
        <w:tc>
          <w:tcPr>
            <w:tcW w:w="3236" w:type="pct"/>
            <w:noWrap w:val="0"/>
            <w:vAlign w:val="center"/>
          </w:tcPr>
          <w:p w14:paraId="163591A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单位负责人为同一人或者存在控股、管理关系的不同供应商，不得同时参加本项目投标</w:t>
            </w:r>
            <w:r>
              <w:rPr>
                <w:rFonts w:hint="eastAsia" w:ascii="宋体" w:hAnsi="宋体" w:eastAsia="宋体" w:cs="宋体"/>
                <w:color w:val="auto"/>
                <w:sz w:val="21"/>
                <w:szCs w:val="21"/>
                <w:lang w:eastAsia="zh-CN"/>
              </w:rPr>
              <w:t>；</w:t>
            </w:r>
          </w:p>
        </w:tc>
        <w:tc>
          <w:tcPr>
            <w:tcW w:w="625" w:type="pct"/>
            <w:noWrap w:val="0"/>
            <w:vAlign w:val="center"/>
          </w:tcPr>
          <w:p w14:paraId="15348DC5">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6F15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394" w:type="pct"/>
            <w:noWrap w:val="0"/>
            <w:vAlign w:val="center"/>
          </w:tcPr>
          <w:p w14:paraId="0B215C51">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742" w:type="pct"/>
            <w:noWrap w:val="0"/>
            <w:vAlign w:val="center"/>
          </w:tcPr>
          <w:p w14:paraId="4685D7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非联合体</w:t>
            </w:r>
          </w:p>
          <w:p w14:paraId="59D5AEA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声明函</w:t>
            </w:r>
          </w:p>
        </w:tc>
        <w:tc>
          <w:tcPr>
            <w:tcW w:w="3236" w:type="pct"/>
            <w:noWrap w:val="0"/>
            <w:vAlign w:val="center"/>
          </w:tcPr>
          <w:p w14:paraId="6E4D568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本项目不接受联合体投标,供应商需保证资质文件的真实、合法、有效；</w:t>
            </w:r>
          </w:p>
        </w:tc>
        <w:tc>
          <w:tcPr>
            <w:tcW w:w="625" w:type="pct"/>
            <w:noWrap w:val="0"/>
            <w:vAlign w:val="center"/>
          </w:tcPr>
          <w:p w14:paraId="439DDADF">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2D1E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4" w:type="pct"/>
            <w:noWrap w:val="0"/>
            <w:vAlign w:val="center"/>
          </w:tcPr>
          <w:p w14:paraId="0F9AE67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742" w:type="pct"/>
            <w:noWrap w:val="0"/>
            <w:vAlign w:val="center"/>
          </w:tcPr>
          <w:p w14:paraId="29DA4BE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声明函</w:t>
            </w:r>
          </w:p>
        </w:tc>
        <w:tc>
          <w:tcPr>
            <w:tcW w:w="3236" w:type="pct"/>
            <w:noWrap w:val="0"/>
            <w:vAlign w:val="center"/>
          </w:tcPr>
          <w:p w14:paraId="0329D54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本项目为专门面向中小企业项目，供应商应为中小型、微型企业、监狱企业、残疾人福利性单位。</w:t>
            </w:r>
          </w:p>
        </w:tc>
        <w:tc>
          <w:tcPr>
            <w:tcW w:w="625" w:type="pct"/>
            <w:noWrap w:val="0"/>
            <w:vAlign w:val="center"/>
          </w:tcPr>
          <w:p w14:paraId="7207D3F6">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bl>
    <w:p w14:paraId="24FD3275">
      <w:pPr>
        <w:spacing w:line="520" w:lineRule="exact"/>
        <w:ind w:firstLine="422" w:firstLineChars="200"/>
        <w:rPr>
          <w:rFonts w:hint="eastAsia" w:ascii="宋体" w:hAnsi="宋体" w:eastAsia="宋体" w:cs="宋体"/>
          <w:b/>
          <w:bCs/>
          <w:color w:val="auto"/>
          <w:sz w:val="21"/>
          <w:szCs w:val="21"/>
          <w:lang w:val="en-US" w:eastAsia="zh-CN"/>
        </w:rPr>
      </w:pPr>
    </w:p>
    <w:p w14:paraId="1545F5D8">
      <w:pPr>
        <w:spacing w:line="520" w:lineRule="exact"/>
        <w:ind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附件2、</w:t>
      </w:r>
      <w:r>
        <w:rPr>
          <w:rFonts w:hint="default" w:ascii="宋体" w:hAnsi="宋体" w:eastAsia="宋体" w:cs="宋体"/>
          <w:b/>
          <w:bCs/>
          <w:color w:val="auto"/>
          <w:kern w:val="0"/>
          <w:sz w:val="21"/>
          <w:szCs w:val="21"/>
        </w:rPr>
        <w:t>符合性</w:t>
      </w:r>
      <w:r>
        <w:rPr>
          <w:rFonts w:hint="eastAsia" w:ascii="宋体" w:hAnsi="宋体" w:eastAsia="宋体" w:cs="宋体"/>
          <w:b/>
          <w:bCs/>
          <w:color w:val="auto"/>
          <w:kern w:val="0"/>
          <w:sz w:val="21"/>
          <w:szCs w:val="21"/>
          <w:lang w:val="en-US" w:eastAsia="zh-CN"/>
        </w:rPr>
        <w:t>审查</w:t>
      </w:r>
      <w:r>
        <w:rPr>
          <w:rFonts w:hint="default" w:ascii="宋体" w:hAnsi="宋体" w:eastAsia="宋体" w:cs="宋体"/>
          <w:b/>
          <w:bCs/>
          <w:color w:val="auto"/>
          <w:kern w:val="0"/>
          <w:sz w:val="21"/>
          <w:szCs w:val="21"/>
        </w:rPr>
        <w:t>。</w:t>
      </w:r>
      <w:r>
        <w:rPr>
          <w:rFonts w:hint="default" w:ascii="宋体" w:hAnsi="宋体" w:eastAsia="宋体" w:cs="宋体"/>
          <w:color w:val="auto"/>
          <w:kern w:val="0"/>
          <w:sz w:val="21"/>
          <w:szCs w:val="21"/>
        </w:rPr>
        <w:t>依据</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的规定，从</w:t>
      </w:r>
      <w:r>
        <w:rPr>
          <w:rFonts w:hint="default" w:ascii="宋体" w:hAnsi="宋体" w:eastAsia="宋体" w:cs="宋体"/>
          <w:color w:val="auto"/>
          <w:kern w:val="0"/>
          <w:sz w:val="21"/>
          <w:szCs w:val="21"/>
          <w:lang w:eastAsia="zh-CN"/>
        </w:rPr>
        <w:t>竞争性磋商响应文件</w:t>
      </w:r>
      <w:r>
        <w:rPr>
          <w:rFonts w:hint="default" w:ascii="宋体" w:hAnsi="宋体" w:eastAsia="宋体" w:cs="宋体"/>
          <w:color w:val="auto"/>
          <w:kern w:val="0"/>
          <w:sz w:val="21"/>
          <w:szCs w:val="21"/>
        </w:rPr>
        <w:t>的有效性、完整性和对</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的响应程度进行审查，以确定是否对</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的实质性要求作出响应。凡未通过符合性评审的</w:t>
      </w:r>
      <w:r>
        <w:rPr>
          <w:rFonts w:hint="default" w:ascii="宋体" w:hAnsi="宋体" w:eastAsia="宋体" w:cs="宋体"/>
          <w:color w:val="auto"/>
          <w:kern w:val="0"/>
          <w:sz w:val="21"/>
          <w:szCs w:val="21"/>
          <w:lang w:eastAsia="zh-CN"/>
        </w:rPr>
        <w:t>竞争性磋商响应文件</w:t>
      </w:r>
      <w:r>
        <w:rPr>
          <w:rFonts w:hint="default" w:ascii="宋体" w:hAnsi="宋体" w:eastAsia="宋体" w:cs="宋体"/>
          <w:color w:val="auto"/>
          <w:kern w:val="0"/>
          <w:sz w:val="21"/>
          <w:szCs w:val="21"/>
        </w:rPr>
        <w:t>即作为无效标处理，不得进入后续评审工作，内容如下：</w:t>
      </w:r>
    </w:p>
    <w:tbl>
      <w:tblPr>
        <w:tblStyle w:val="3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422"/>
        <w:gridCol w:w="5570"/>
      </w:tblGrid>
      <w:tr w14:paraId="66B4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87" w:type="dxa"/>
            <w:noWrap w:val="0"/>
            <w:vAlign w:val="center"/>
          </w:tcPr>
          <w:p w14:paraId="13D5231F">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序号</w:t>
            </w:r>
          </w:p>
        </w:tc>
        <w:tc>
          <w:tcPr>
            <w:tcW w:w="2422" w:type="dxa"/>
            <w:noWrap w:val="0"/>
            <w:vAlign w:val="center"/>
          </w:tcPr>
          <w:p w14:paraId="089989D3">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评审内容</w:t>
            </w:r>
          </w:p>
        </w:tc>
        <w:tc>
          <w:tcPr>
            <w:tcW w:w="5570" w:type="dxa"/>
            <w:noWrap w:val="0"/>
            <w:vAlign w:val="center"/>
          </w:tcPr>
          <w:p w14:paraId="0D3B2C8C">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评审标准</w:t>
            </w:r>
          </w:p>
        </w:tc>
      </w:tr>
      <w:tr w14:paraId="72B2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787" w:type="dxa"/>
            <w:noWrap w:val="0"/>
            <w:vAlign w:val="center"/>
          </w:tcPr>
          <w:p w14:paraId="3DC8DE84">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w:t>
            </w:r>
          </w:p>
        </w:tc>
        <w:tc>
          <w:tcPr>
            <w:tcW w:w="2422" w:type="dxa"/>
            <w:noWrap w:val="0"/>
            <w:vAlign w:val="center"/>
          </w:tcPr>
          <w:p w14:paraId="46B39DE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磋商响应文件完整性</w:t>
            </w:r>
          </w:p>
        </w:tc>
        <w:tc>
          <w:tcPr>
            <w:tcW w:w="5570" w:type="dxa"/>
            <w:noWrap w:val="0"/>
            <w:vAlign w:val="center"/>
          </w:tcPr>
          <w:p w14:paraId="62FDC108">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磋商响应文件构成是否有缺项，是否按照磋商文件要求的格式编写、装订磋商响应文件</w:t>
            </w:r>
          </w:p>
        </w:tc>
      </w:tr>
      <w:tr w14:paraId="62B4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87" w:type="dxa"/>
            <w:noWrap w:val="0"/>
            <w:vAlign w:val="center"/>
          </w:tcPr>
          <w:p w14:paraId="4914A2EC">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2</w:t>
            </w:r>
          </w:p>
        </w:tc>
        <w:tc>
          <w:tcPr>
            <w:tcW w:w="2422" w:type="dxa"/>
            <w:noWrap w:val="0"/>
            <w:vAlign w:val="center"/>
          </w:tcPr>
          <w:p w14:paraId="421893C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磋商响应文件报价</w:t>
            </w:r>
          </w:p>
        </w:tc>
        <w:tc>
          <w:tcPr>
            <w:tcW w:w="5570" w:type="dxa"/>
            <w:noWrap w:val="0"/>
            <w:vAlign w:val="center"/>
          </w:tcPr>
          <w:p w14:paraId="65EB85FD">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未超过采购预算价，且无选择性报价</w:t>
            </w:r>
          </w:p>
        </w:tc>
      </w:tr>
      <w:tr w14:paraId="4C88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87" w:type="dxa"/>
            <w:noWrap w:val="0"/>
            <w:vAlign w:val="center"/>
          </w:tcPr>
          <w:p w14:paraId="200D66F1">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3</w:t>
            </w:r>
          </w:p>
        </w:tc>
        <w:tc>
          <w:tcPr>
            <w:tcW w:w="2422" w:type="dxa"/>
            <w:noWrap w:val="0"/>
            <w:vAlign w:val="center"/>
          </w:tcPr>
          <w:p w14:paraId="70D18C1E">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磋商响应文件签署、盖章</w:t>
            </w:r>
          </w:p>
        </w:tc>
        <w:tc>
          <w:tcPr>
            <w:tcW w:w="5570" w:type="dxa"/>
            <w:noWrap w:val="0"/>
            <w:vAlign w:val="center"/>
          </w:tcPr>
          <w:p w14:paraId="3CCD8B6B">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是否按照磋商响应文件要求签署、盖章响应文件</w:t>
            </w:r>
          </w:p>
        </w:tc>
      </w:tr>
      <w:tr w14:paraId="448D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87" w:type="dxa"/>
            <w:noWrap w:val="0"/>
            <w:vAlign w:val="center"/>
          </w:tcPr>
          <w:p w14:paraId="63E3D8B4">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4</w:t>
            </w:r>
          </w:p>
        </w:tc>
        <w:tc>
          <w:tcPr>
            <w:tcW w:w="2422" w:type="dxa"/>
            <w:noWrap w:val="0"/>
            <w:vAlign w:val="center"/>
          </w:tcPr>
          <w:p w14:paraId="128384E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磋商响应文件有效期</w:t>
            </w:r>
          </w:p>
        </w:tc>
        <w:tc>
          <w:tcPr>
            <w:tcW w:w="5570" w:type="dxa"/>
            <w:noWrap w:val="0"/>
            <w:vAlign w:val="center"/>
          </w:tcPr>
          <w:p w14:paraId="5D02E352">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eastAsia="zh-CN"/>
              </w:rPr>
              <w:t>自磋商会议之日起90日历天</w:t>
            </w:r>
          </w:p>
        </w:tc>
      </w:tr>
      <w:tr w14:paraId="4C7F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87" w:type="dxa"/>
            <w:noWrap w:val="0"/>
            <w:vAlign w:val="center"/>
          </w:tcPr>
          <w:p w14:paraId="5CE103AC">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5</w:t>
            </w:r>
          </w:p>
        </w:tc>
        <w:tc>
          <w:tcPr>
            <w:tcW w:w="2422" w:type="dxa"/>
            <w:noWrap w:val="0"/>
            <w:vAlign w:val="center"/>
          </w:tcPr>
          <w:p w14:paraId="686ECC75">
            <w:pPr>
              <w:adjustRightInd w:val="0"/>
              <w:snapToGrid w:val="0"/>
              <w:spacing w:line="540" w:lineRule="exac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eastAsia="zh-CN"/>
              </w:rPr>
              <w:t>工</w:t>
            </w:r>
            <w:r>
              <w:rPr>
                <w:rFonts w:hint="eastAsia" w:ascii="宋体" w:hAnsi="宋体" w:eastAsia="宋体" w:cs="宋体"/>
                <w:color w:val="auto"/>
                <w:kern w:val="0"/>
                <w:sz w:val="21"/>
                <w:szCs w:val="21"/>
              </w:rPr>
              <w:t>期</w:t>
            </w:r>
          </w:p>
        </w:tc>
        <w:tc>
          <w:tcPr>
            <w:tcW w:w="5570" w:type="dxa"/>
            <w:noWrap w:val="0"/>
            <w:vAlign w:val="center"/>
          </w:tcPr>
          <w:p w14:paraId="367561EF">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eastAsia="zh-CN"/>
              </w:rPr>
              <w:t>需</w:t>
            </w:r>
            <w:r>
              <w:rPr>
                <w:rFonts w:hint="eastAsia" w:ascii="宋体" w:hAnsi="宋体" w:eastAsia="宋体" w:cs="宋体"/>
                <w:color w:val="auto"/>
                <w:kern w:val="0"/>
                <w:sz w:val="21"/>
                <w:szCs w:val="21"/>
              </w:rPr>
              <w:t>满足磋商文件要求</w:t>
            </w:r>
          </w:p>
        </w:tc>
      </w:tr>
    </w:tbl>
    <w:p w14:paraId="3CC97D72">
      <w:pPr>
        <w:spacing w:line="520" w:lineRule="exact"/>
        <w:ind w:firstLine="211" w:firstLineChars="100"/>
        <w:rPr>
          <w:rFonts w:hint="eastAsia" w:ascii="宋体" w:hAnsi="宋体" w:eastAsia="宋体" w:cs="宋体"/>
          <w:b/>
          <w:bCs/>
          <w:color w:val="auto"/>
          <w:sz w:val="21"/>
          <w:szCs w:val="21"/>
          <w:lang w:val="en-US" w:eastAsia="zh-CN"/>
        </w:rPr>
      </w:pPr>
    </w:p>
    <w:p w14:paraId="45D0025C">
      <w:pPr>
        <w:spacing w:line="520" w:lineRule="exact"/>
        <w:ind w:firstLine="211" w:firstLineChars="100"/>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附件3、</w:t>
      </w:r>
      <w:r>
        <w:rPr>
          <w:rFonts w:hint="eastAsia" w:ascii="宋体" w:hAnsi="宋体" w:eastAsia="宋体" w:cs="宋体"/>
          <w:b/>
          <w:bCs/>
          <w:color w:val="auto"/>
          <w:sz w:val="21"/>
          <w:szCs w:val="21"/>
        </w:rPr>
        <w:t>满分：100分，综合评分法。</w:t>
      </w:r>
      <w:r>
        <w:rPr>
          <w:rFonts w:hint="eastAsia" w:ascii="宋体" w:hAnsi="宋体" w:eastAsia="宋体" w:cs="宋体"/>
          <w:color w:val="auto"/>
          <w:sz w:val="21"/>
          <w:szCs w:val="21"/>
        </w:rPr>
        <w:t>各分项分值分配如下：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1331"/>
        <w:gridCol w:w="6760"/>
      </w:tblGrid>
      <w:tr w14:paraId="4621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2" w:type="dxa"/>
            <w:noWrap w:val="0"/>
            <w:vAlign w:val="center"/>
          </w:tcPr>
          <w:p w14:paraId="07815F1E">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报价得分</w:t>
            </w:r>
          </w:p>
        </w:tc>
        <w:tc>
          <w:tcPr>
            <w:tcW w:w="1331" w:type="dxa"/>
            <w:noWrap w:val="0"/>
            <w:vAlign w:val="center"/>
          </w:tcPr>
          <w:p w14:paraId="70699FE8">
            <w:pPr>
              <w:pStyle w:val="16"/>
              <w:keepNext w:val="0"/>
              <w:keepLines w:val="0"/>
              <w:pageBreakBefore w:val="0"/>
              <w:widowControl w:val="0"/>
              <w:kinsoku w:val="0"/>
              <w:wordWrap/>
              <w:overflowPunct w:val="0"/>
              <w:topLinePunct w:val="0"/>
              <w:bidi w:val="0"/>
              <w:spacing w:before="37" w:line="400" w:lineRule="exact"/>
              <w:ind w:left="63" w:right="63"/>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30分</w:t>
            </w:r>
          </w:p>
        </w:tc>
        <w:tc>
          <w:tcPr>
            <w:tcW w:w="6760" w:type="dxa"/>
            <w:noWrap w:val="0"/>
            <w:vAlign w:val="center"/>
          </w:tcPr>
          <w:p w14:paraId="17BCC431">
            <w:pPr>
              <w:keepNext w:val="0"/>
              <w:keepLines w:val="0"/>
              <w:pageBreakBefore w:val="0"/>
              <w:widowControl w:val="0"/>
              <w:wordWrap/>
              <w:topLinePunct w:val="0"/>
              <w:bidi w:val="0"/>
              <w:adjustRightInd w:val="0"/>
              <w:snapToGrid w:val="0"/>
              <w:spacing w:line="400" w:lineRule="exact"/>
              <w:rPr>
                <w:rFonts w:hint="eastAsia" w:ascii="宋体" w:hAnsi="宋体" w:eastAsia="宋体" w:cs="宋体"/>
                <w:color w:val="auto"/>
                <w:sz w:val="21"/>
                <w:szCs w:val="21"/>
              </w:rPr>
            </w:pPr>
            <w:r>
              <w:rPr>
                <w:rFonts w:hint="eastAsia" w:ascii="宋体" w:hAnsi="宋体" w:eastAsia="宋体" w:cs="宋体"/>
                <w:color w:val="auto"/>
                <w:kern w:val="0"/>
                <w:sz w:val="21"/>
                <w:szCs w:val="21"/>
              </w:rPr>
              <w:t>在预算限额之内满足</w:t>
            </w:r>
            <w:r>
              <w:rPr>
                <w:rFonts w:hint="eastAsia" w:ascii="宋体" w:hAnsi="宋体" w:eastAsia="宋体" w:cs="宋体"/>
                <w:color w:val="auto"/>
                <w:kern w:val="0"/>
                <w:sz w:val="21"/>
                <w:szCs w:val="21"/>
                <w:lang w:eastAsia="zh-CN"/>
              </w:rPr>
              <w:t>竞争性磋商文件</w:t>
            </w:r>
            <w:r>
              <w:rPr>
                <w:rFonts w:hint="eastAsia" w:ascii="宋体" w:hAnsi="宋体" w:eastAsia="宋体" w:cs="宋体"/>
                <w:color w:val="auto"/>
                <w:kern w:val="0"/>
                <w:sz w:val="21"/>
                <w:szCs w:val="21"/>
              </w:rPr>
              <w:t>要求且投标价格最低的</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报价为评标基准价，其价格分为30分。高于评标基准价的</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供应商的价格分按照下列公式计算：</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报价得分=（评标基准价/</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报价）×30</w:t>
            </w:r>
          </w:p>
        </w:tc>
      </w:tr>
      <w:tr w14:paraId="6C98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32" w:type="dxa"/>
            <w:noWrap w:val="0"/>
            <w:vAlign w:val="center"/>
          </w:tcPr>
          <w:p w14:paraId="66A79FA1">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类似项目业绩</w:t>
            </w:r>
          </w:p>
        </w:tc>
        <w:tc>
          <w:tcPr>
            <w:tcW w:w="1331" w:type="dxa"/>
            <w:noWrap w:val="0"/>
            <w:vAlign w:val="center"/>
          </w:tcPr>
          <w:p w14:paraId="51E0C508">
            <w:pPr>
              <w:pStyle w:val="16"/>
              <w:keepNext w:val="0"/>
              <w:keepLines w:val="0"/>
              <w:pageBreakBefore w:val="0"/>
              <w:widowControl w:val="0"/>
              <w:kinsoku w:val="0"/>
              <w:wordWrap/>
              <w:overflowPunct w:val="0"/>
              <w:topLinePunct w:val="0"/>
              <w:bidi w:val="0"/>
              <w:spacing w:before="37" w:line="400" w:lineRule="exact"/>
              <w:ind w:left="63" w:right="63"/>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10</w:t>
            </w:r>
            <w:r>
              <w:rPr>
                <w:rFonts w:hint="eastAsia" w:ascii="宋体" w:hAnsi="宋体" w:eastAsia="宋体" w:cs="宋体"/>
                <w:b/>
                <w:bCs/>
                <w:color w:val="auto"/>
                <w:sz w:val="21"/>
                <w:szCs w:val="21"/>
              </w:rPr>
              <w:t>分</w:t>
            </w:r>
          </w:p>
        </w:tc>
        <w:tc>
          <w:tcPr>
            <w:tcW w:w="6760" w:type="dxa"/>
            <w:noWrap w:val="0"/>
            <w:vAlign w:val="center"/>
          </w:tcPr>
          <w:p w14:paraId="2E8E8716">
            <w:pPr>
              <w:pStyle w:val="16"/>
              <w:keepNext w:val="0"/>
              <w:keepLines w:val="0"/>
              <w:pageBreakBefore w:val="0"/>
              <w:widowControl w:val="0"/>
              <w:kinsoku w:val="0"/>
              <w:wordWrap/>
              <w:overflowPunct w:val="0"/>
              <w:topLinePunct w:val="0"/>
              <w:bidi w:val="0"/>
              <w:spacing w:before="37" w:line="400" w:lineRule="exact"/>
              <w:ind w:right="63"/>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提供近三年（2023年06月至今，以合同签订日期为准）具有养老机构或同类建筑修缮、消防改造项目业绩的合同，须在磋商响应文件中提供加盖供应商公章的合同复印件</w:t>
            </w:r>
            <w:r>
              <w:rPr>
                <w:rFonts w:hint="eastAsia" w:ascii="宋体" w:hAnsi="宋体" w:eastAsia="宋体" w:cs="宋体"/>
                <w:color w:val="auto"/>
                <w:sz w:val="21"/>
                <w:szCs w:val="21"/>
              </w:rPr>
              <w:t>，每个业绩合同得</w:t>
            </w:r>
            <w:r>
              <w:rPr>
                <w:rFonts w:hint="eastAsia" w:ascii="宋体" w:hAnsi="宋体" w:cs="宋体"/>
                <w:color w:val="auto"/>
                <w:sz w:val="21"/>
                <w:szCs w:val="21"/>
                <w:lang w:val="en-US" w:eastAsia="zh-CN"/>
              </w:rPr>
              <w:t>2.5</w:t>
            </w:r>
            <w:r>
              <w:rPr>
                <w:rFonts w:hint="eastAsia" w:ascii="宋体" w:hAnsi="宋体" w:eastAsia="宋体" w:cs="宋体"/>
                <w:color w:val="auto"/>
                <w:sz w:val="21"/>
                <w:szCs w:val="21"/>
              </w:rPr>
              <w:t>分，满分</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r>
      <w:tr w14:paraId="0E46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1032" w:type="dxa"/>
            <w:vMerge w:val="restart"/>
            <w:noWrap w:val="0"/>
            <w:vAlign w:val="center"/>
          </w:tcPr>
          <w:p w14:paraId="2BF3CF50">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rPr>
              <w:t>施工组织设计</w:t>
            </w:r>
            <w:r>
              <w:rPr>
                <w:rFonts w:hint="eastAsia" w:ascii="宋体" w:hAnsi="宋体" w:eastAsia="宋体" w:cs="宋体"/>
                <w:b/>
                <w:bCs/>
                <w:color w:val="auto"/>
                <w:sz w:val="21"/>
                <w:szCs w:val="21"/>
                <w:lang w:val="en-US" w:eastAsia="zh-CN"/>
              </w:rPr>
              <w:t>(60分)</w:t>
            </w:r>
          </w:p>
        </w:tc>
        <w:tc>
          <w:tcPr>
            <w:tcW w:w="1331" w:type="dxa"/>
            <w:noWrap w:val="0"/>
            <w:vAlign w:val="center"/>
          </w:tcPr>
          <w:p w14:paraId="3DB377DC">
            <w:pPr>
              <w:pStyle w:val="142"/>
              <w:keepNext w:val="0"/>
              <w:keepLines w:val="0"/>
              <w:pageBreakBefore w:val="0"/>
              <w:widowControl w:val="0"/>
              <w:kinsoku/>
              <w:wordWrap/>
              <w:overflowPunct/>
              <w:topLinePunct w:val="0"/>
              <w:bidi w:val="0"/>
              <w:adjustRightInd/>
              <w:snapToGrid/>
              <w:spacing w:beforeAutospacing="0" w:afterAutospacing="0" w:line="400" w:lineRule="exact"/>
              <w:ind w:right="0" w:rightChars="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施工方案</w:t>
            </w:r>
          </w:p>
          <w:p w14:paraId="1215EEBC">
            <w:pPr>
              <w:pStyle w:val="142"/>
              <w:keepNext w:val="0"/>
              <w:keepLines w:val="0"/>
              <w:pageBreakBefore w:val="0"/>
              <w:widowControl w:val="0"/>
              <w:kinsoku/>
              <w:wordWrap/>
              <w:overflowPunct/>
              <w:topLinePunct w:val="0"/>
              <w:bidi w:val="0"/>
              <w:adjustRightInd/>
              <w:snapToGrid/>
              <w:spacing w:beforeAutospacing="0" w:afterAutospacing="0" w:line="400" w:lineRule="exact"/>
              <w:ind w:right="0" w:right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w:t>
            </w:r>
            <w:r>
              <w:rPr>
                <w:rFonts w:hint="eastAsia" w:ascii="宋体" w:hAnsi="宋体" w:eastAsia="宋体" w:cs="宋体"/>
                <w:b/>
                <w:bCs/>
                <w:color w:val="auto"/>
                <w:spacing w:val="0"/>
                <w:position w:val="0"/>
                <w:sz w:val="21"/>
                <w:szCs w:val="21"/>
                <w:highlight w:val="none"/>
                <w:lang w:val="en-US" w:eastAsia="zh-CN"/>
              </w:rPr>
              <w:t>12</w:t>
            </w:r>
            <w:r>
              <w:rPr>
                <w:rFonts w:hint="eastAsia" w:ascii="宋体" w:hAnsi="宋体" w:eastAsia="宋体" w:cs="宋体"/>
                <w:b/>
                <w:bCs/>
                <w:color w:val="auto"/>
                <w:spacing w:val="0"/>
                <w:position w:val="0"/>
                <w:sz w:val="21"/>
                <w:szCs w:val="21"/>
                <w:highlight w:val="none"/>
              </w:rPr>
              <w:t>分)</w:t>
            </w:r>
          </w:p>
        </w:tc>
        <w:tc>
          <w:tcPr>
            <w:tcW w:w="6760" w:type="dxa"/>
            <w:noWrap w:val="0"/>
            <w:vAlign w:val="top"/>
          </w:tcPr>
          <w:p w14:paraId="6D066EA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5219A2F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供应商针对本项目编制完善的施工方案，内容包含但不限于：①具体施工内容；②施工方法（工艺）；③重点及关键部位描述；④成品保护措施。 </w:t>
            </w:r>
          </w:p>
          <w:p w14:paraId="036C71CA">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12 分） </w:t>
            </w:r>
          </w:p>
          <w:p w14:paraId="666F323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6C017F4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1686858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3、内容有缺项，按评审内容，缺1项扣3分，扣完为止。</w:t>
            </w:r>
          </w:p>
        </w:tc>
      </w:tr>
      <w:tr w14:paraId="3390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1032" w:type="dxa"/>
            <w:vMerge w:val="continue"/>
            <w:noWrap w:val="0"/>
            <w:vAlign w:val="center"/>
          </w:tcPr>
          <w:p w14:paraId="0262219D">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p>
        </w:tc>
        <w:tc>
          <w:tcPr>
            <w:tcW w:w="1331" w:type="dxa"/>
            <w:noWrap w:val="0"/>
            <w:vAlign w:val="center"/>
          </w:tcPr>
          <w:p w14:paraId="1ECEA72A">
            <w:pPr>
              <w:pStyle w:val="142"/>
              <w:keepNext w:val="0"/>
              <w:keepLines w:val="0"/>
              <w:pageBreakBefore w:val="0"/>
              <w:widowControl w:val="0"/>
              <w:kinsoku/>
              <w:wordWrap/>
              <w:overflowPunct/>
              <w:topLinePunct w:val="0"/>
              <w:bidi w:val="0"/>
              <w:adjustRightInd/>
              <w:snapToGrid/>
              <w:spacing w:beforeAutospacing="0" w:afterAutospacing="0" w:line="400" w:lineRule="exact"/>
              <w:ind w:left="123" w:right="0"/>
              <w:jc w:val="center"/>
              <w:textAlignment w:val="auto"/>
              <w:rPr>
                <w:rFonts w:hint="eastAsia" w:ascii="宋体" w:hAnsi="宋体" w:eastAsia="宋体" w:cs="宋体"/>
                <w:b/>
                <w:bCs/>
                <w:color w:val="auto"/>
                <w:spacing w:val="0"/>
                <w:position w:val="0"/>
                <w:sz w:val="21"/>
                <w:szCs w:val="21"/>
                <w:highlight w:val="none"/>
              </w:rPr>
            </w:pPr>
          </w:p>
          <w:p w14:paraId="7C7DC810">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项目经理部组成</w:t>
            </w:r>
          </w:p>
          <w:p w14:paraId="30636C2D">
            <w:pPr>
              <w:pStyle w:val="142"/>
              <w:keepNext w:val="0"/>
              <w:keepLines w:val="0"/>
              <w:pageBreakBefore w:val="0"/>
              <w:widowControl w:val="0"/>
              <w:kinsoku/>
              <w:wordWrap/>
              <w:overflowPunct/>
              <w:topLinePunct w:val="0"/>
              <w:bidi w:val="0"/>
              <w:adjustRightInd/>
              <w:snapToGrid/>
              <w:spacing w:beforeAutospacing="0" w:afterAutospacing="0" w:line="400" w:lineRule="exact"/>
              <w:ind w:right="0" w:rightChars="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snapToGrid w:val="0"/>
                <w:color w:val="auto"/>
                <w:spacing w:val="0"/>
                <w:kern w:val="0"/>
                <w:position w:val="0"/>
                <w:sz w:val="21"/>
                <w:szCs w:val="21"/>
                <w:highlight w:val="none"/>
                <w:lang w:val="en-US" w:eastAsia="en-US" w:bidi="ar-SA"/>
              </w:rPr>
              <w:t>(</w:t>
            </w:r>
            <w:r>
              <w:rPr>
                <w:rFonts w:hint="eastAsia"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08A8279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p>
          <w:p w14:paraId="2E1F7CD5">
            <w:pPr>
              <w:bidi w:val="0"/>
              <w:spacing w:line="360" w:lineRule="auto"/>
              <w:outlineLvl w:val="9"/>
              <w:rPr>
                <w:rFonts w:hint="eastAsia" w:ascii="宋体" w:hAnsi="宋体" w:eastAsia="宋体" w:cs="宋体"/>
                <w:snapToGrid w:val="0"/>
                <w:color w:val="0000FF"/>
                <w:spacing w:val="0"/>
                <w:kern w:val="0"/>
                <w:sz w:val="21"/>
                <w:szCs w:val="21"/>
                <w:highlight w:val="green"/>
                <w:lang w:val="en-US" w:eastAsia="zh-CN" w:bidi="ar-SA"/>
              </w:rPr>
            </w:pPr>
            <w:r>
              <w:rPr>
                <w:rFonts w:hint="eastAsia" w:ascii="宋体" w:hAnsi="宋体" w:eastAsia="宋体" w:cs="宋体"/>
                <w:snapToGrid w:val="0"/>
                <w:color w:val="0000FF"/>
                <w:spacing w:val="0"/>
                <w:kern w:val="0"/>
                <w:sz w:val="21"/>
                <w:szCs w:val="21"/>
                <w:highlight w:val="none"/>
                <w:lang w:val="en-US" w:eastAsia="zh-CN" w:bidi="ar-SA"/>
              </w:rPr>
              <w:t>供应商针对本项目编制完善的项目经理部组织机构，</w:t>
            </w:r>
            <w:r>
              <w:rPr>
                <w:rFonts w:hint="eastAsia" w:ascii="宋体" w:hAnsi="宋体" w:cs="宋体"/>
                <w:snapToGrid w:val="0"/>
                <w:color w:val="0000FF"/>
                <w:spacing w:val="0"/>
                <w:kern w:val="0"/>
                <w:sz w:val="21"/>
                <w:szCs w:val="21"/>
                <w:highlight w:val="none"/>
                <w:lang w:val="en-US" w:eastAsia="zh-CN" w:bidi="ar-SA"/>
              </w:rPr>
              <w:t>（1）</w:t>
            </w:r>
            <w:r>
              <w:rPr>
                <w:rFonts w:hint="eastAsia" w:eastAsia="宋体" w:cs="Times New Roman"/>
                <w:color w:val="0000FF"/>
                <w:highlight w:val="none"/>
                <w:lang w:val="en-US" w:eastAsia="zh-CN"/>
              </w:rPr>
              <w:t>项目部最低人员配备：项目经理1人、技术负责人1人、安全管理人员（专职安全生产管理人员）1人、质检员1人、施工员1人；</w:t>
            </w:r>
          </w:p>
          <w:p w14:paraId="0BE8A05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二、评审及赋分标准(满分6分)</w:t>
            </w:r>
          </w:p>
          <w:p w14:paraId="1EDB039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leftChars="0" w:right="51" w:rightChars="0" w:firstLine="1" w:firstLineChars="0"/>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eastAsia="宋体" w:cs="Times New Roman"/>
                <w:color w:val="0000FF"/>
                <w:highlight w:val="none"/>
                <w:shd w:val="clear"/>
                <w:lang w:val="en-US" w:eastAsia="zh-CN"/>
              </w:rPr>
              <w:t>满足项目部最低人员配备标准，得</w:t>
            </w:r>
            <w:r>
              <w:rPr>
                <w:rFonts w:hint="eastAsia" w:cs="Times New Roman"/>
                <w:color w:val="0000FF"/>
                <w:highlight w:val="none"/>
                <w:shd w:val="clear"/>
                <w:lang w:val="en-US" w:eastAsia="zh-CN"/>
              </w:rPr>
              <w:t>3</w:t>
            </w:r>
            <w:r>
              <w:rPr>
                <w:rFonts w:hint="eastAsia" w:eastAsia="宋体" w:cs="Times New Roman"/>
                <w:color w:val="0000FF"/>
                <w:highlight w:val="none"/>
                <w:shd w:val="clear"/>
                <w:lang w:val="en-US" w:eastAsia="zh-CN"/>
              </w:rPr>
              <w:t>分，每增加一个安全管理人员（专职安全生产管理人员）、质检员、施工员</w:t>
            </w:r>
            <w:r>
              <w:rPr>
                <w:rFonts w:hint="eastAsia" w:cs="Times New Roman"/>
                <w:color w:val="0000FF"/>
                <w:highlight w:val="none"/>
                <w:shd w:val="clear"/>
                <w:lang w:val="en-US" w:eastAsia="zh-CN"/>
              </w:rPr>
              <w:t>、</w:t>
            </w:r>
            <w:r>
              <w:rPr>
                <w:rFonts w:hint="eastAsia" w:eastAsia="宋体" w:cs="Times New Roman"/>
                <w:color w:val="0000FF"/>
                <w:highlight w:val="none"/>
                <w:shd w:val="clear"/>
                <w:lang w:val="en-US" w:eastAsia="zh-CN"/>
              </w:rPr>
              <w:t>材料员、造价员</w:t>
            </w:r>
            <w:r>
              <w:rPr>
                <w:rFonts w:hint="eastAsia" w:cs="Times New Roman"/>
                <w:color w:val="0000FF"/>
                <w:highlight w:val="none"/>
                <w:shd w:val="clear"/>
                <w:lang w:val="en-US" w:eastAsia="zh-CN"/>
              </w:rPr>
              <w:t>、</w:t>
            </w:r>
            <w:r>
              <w:rPr>
                <w:rFonts w:hint="eastAsia" w:ascii="宋体" w:hAnsi="宋体" w:cs="宋体"/>
                <w:snapToGrid w:val="0"/>
                <w:color w:val="0000FF"/>
                <w:spacing w:val="0"/>
                <w:kern w:val="0"/>
                <w:sz w:val="21"/>
                <w:szCs w:val="21"/>
                <w:highlight w:val="none"/>
                <w:shd w:val="clear"/>
                <w:lang w:val="en-US" w:eastAsia="zh-CN" w:bidi="ar-SA"/>
              </w:rPr>
              <w:t>消防设施施工相关从业人员</w:t>
            </w:r>
            <w:r>
              <w:rPr>
                <w:rFonts w:hint="eastAsia" w:eastAsia="宋体" w:cs="Times New Roman"/>
                <w:color w:val="0000FF"/>
                <w:highlight w:val="none"/>
                <w:shd w:val="clear"/>
                <w:lang w:val="en-US" w:eastAsia="zh-CN"/>
              </w:rPr>
              <w:t>，得0.5分；本项最高</w:t>
            </w:r>
            <w:r>
              <w:rPr>
                <w:rFonts w:hint="eastAsia" w:cs="Times New Roman"/>
                <w:color w:val="0000FF"/>
                <w:highlight w:val="none"/>
                <w:shd w:val="clear"/>
                <w:lang w:val="en-US" w:eastAsia="zh-CN"/>
              </w:rPr>
              <w:t>6</w:t>
            </w:r>
            <w:r>
              <w:rPr>
                <w:rFonts w:hint="eastAsia" w:eastAsia="宋体" w:cs="Times New Roman"/>
                <w:color w:val="0000FF"/>
                <w:highlight w:val="none"/>
                <w:shd w:val="clear"/>
                <w:lang w:val="en-US" w:eastAsia="zh-CN"/>
              </w:rPr>
              <w:t>分。</w:t>
            </w:r>
          </w:p>
        </w:tc>
      </w:tr>
      <w:tr w14:paraId="56C72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32" w:type="dxa"/>
            <w:vMerge w:val="continue"/>
            <w:noWrap w:val="0"/>
            <w:vAlign w:val="center"/>
          </w:tcPr>
          <w:p w14:paraId="7031BE3E">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color w:val="auto"/>
                <w:sz w:val="21"/>
                <w:szCs w:val="21"/>
              </w:rPr>
            </w:pPr>
          </w:p>
        </w:tc>
        <w:tc>
          <w:tcPr>
            <w:tcW w:w="1331" w:type="dxa"/>
            <w:noWrap w:val="0"/>
            <w:vAlign w:val="center"/>
          </w:tcPr>
          <w:p w14:paraId="2840F7C8">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snapToGrid w:val="0"/>
                <w:color w:val="auto"/>
                <w:spacing w:val="0"/>
                <w:kern w:val="0"/>
                <w:position w:val="0"/>
                <w:sz w:val="21"/>
                <w:szCs w:val="21"/>
                <w:highlight w:val="none"/>
                <w:lang w:val="en-US" w:eastAsia="en-US" w:bidi="ar-SA"/>
              </w:rPr>
            </w:pPr>
            <w:r>
              <w:rPr>
                <w:rFonts w:hint="eastAsia" w:ascii="宋体" w:hAnsi="宋体" w:eastAsia="宋体" w:cs="宋体"/>
                <w:b/>
                <w:bCs/>
                <w:snapToGrid w:val="0"/>
                <w:color w:val="auto"/>
                <w:spacing w:val="0"/>
                <w:kern w:val="0"/>
                <w:position w:val="0"/>
                <w:sz w:val="21"/>
                <w:szCs w:val="21"/>
                <w:highlight w:val="none"/>
                <w:lang w:val="en-US" w:eastAsia="en-US" w:bidi="ar-SA"/>
              </w:rPr>
              <w:t>工程质量的技术组织措施</w:t>
            </w:r>
          </w:p>
          <w:p w14:paraId="2C438224">
            <w:pPr>
              <w:pStyle w:val="142"/>
              <w:keepNext w:val="0"/>
              <w:keepLines w:val="0"/>
              <w:pageBreakBefore w:val="0"/>
              <w:widowControl w:val="0"/>
              <w:kinsoku/>
              <w:wordWrap/>
              <w:overflowPunct/>
              <w:topLinePunct w:val="0"/>
              <w:bidi w:val="0"/>
              <w:adjustRightInd/>
              <w:snapToGrid/>
              <w:spacing w:beforeAutospacing="0" w:afterAutospacing="0" w:line="400" w:lineRule="exact"/>
              <w:ind w:right="0" w:firstLine="211" w:firstLineChars="10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0E2286A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4AFC272A">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供应商针对本项目编制完善的工程质量技术组织措施，内容包含但不限于：①质量目标管理体系；②针对质量目标及质量控制的保证措</w:t>
            </w:r>
            <w:r>
              <w:rPr>
                <w:rFonts w:hint="eastAsia" w:ascii="宋体" w:hAnsi="宋体" w:cs="宋体"/>
                <w:snapToGrid w:val="0"/>
                <w:color w:val="auto"/>
                <w:spacing w:val="0"/>
                <w:kern w:val="0"/>
                <w:sz w:val="21"/>
                <w:szCs w:val="21"/>
                <w:highlight w:val="none"/>
                <w:lang w:val="en-US" w:eastAsia="zh-CN" w:bidi="ar-SA"/>
              </w:rPr>
              <w:t>施</w:t>
            </w:r>
            <w:r>
              <w:rPr>
                <w:rFonts w:hint="eastAsia" w:ascii="宋体" w:hAnsi="宋体" w:eastAsia="宋体" w:cs="宋体"/>
                <w:snapToGrid w:val="0"/>
                <w:color w:val="auto"/>
                <w:spacing w:val="0"/>
                <w:kern w:val="0"/>
                <w:sz w:val="21"/>
                <w:szCs w:val="21"/>
                <w:highlight w:val="none"/>
                <w:lang w:val="en-US" w:eastAsia="zh-CN" w:bidi="ar-SA"/>
              </w:rPr>
              <w:t xml:space="preserve">；③确保质量的技术组织措施；④材料储存方案。 </w:t>
            </w:r>
          </w:p>
          <w:p w14:paraId="73AF3A1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14647AB6">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74D2244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18155B5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0532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atLeast"/>
          <w:jc w:val="center"/>
        </w:trPr>
        <w:tc>
          <w:tcPr>
            <w:tcW w:w="1032" w:type="dxa"/>
            <w:vMerge w:val="continue"/>
            <w:noWrap w:val="0"/>
            <w:vAlign w:val="center"/>
          </w:tcPr>
          <w:p w14:paraId="20A1C322">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tcBorders>
              <w:bottom w:val="single" w:color="auto" w:sz="4" w:space="0"/>
            </w:tcBorders>
            <w:noWrap w:val="0"/>
            <w:vAlign w:val="center"/>
          </w:tcPr>
          <w:p w14:paraId="3BEE0D41">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安全生产的技术组织措施</w:t>
            </w:r>
          </w:p>
          <w:p w14:paraId="5FEBC02F">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0B5E41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14A5CD3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供应商针对本项目编制完善的安全生产的技术组织措施，内容包含但不限于：①安全管理体系；②安全责任归属划分；③安全保证措施及安全应急预案；④安全教育培训。</w:t>
            </w:r>
          </w:p>
          <w:p w14:paraId="09F795D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2454433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1DB2113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647D796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3CF0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2" w:hRule="atLeast"/>
          <w:jc w:val="center"/>
        </w:trPr>
        <w:tc>
          <w:tcPr>
            <w:tcW w:w="1032" w:type="dxa"/>
            <w:vMerge w:val="continue"/>
            <w:noWrap w:val="0"/>
            <w:vAlign w:val="center"/>
          </w:tcPr>
          <w:p w14:paraId="307401DC">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tcBorders>
              <w:top w:val="single" w:color="auto" w:sz="4" w:space="0"/>
            </w:tcBorders>
            <w:noWrap w:val="0"/>
            <w:vAlign w:val="center"/>
          </w:tcPr>
          <w:p w14:paraId="2771E19D">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文明施工的技术措施及环境保护措施</w:t>
            </w: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4A8ACD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153A364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文明施工及环境保护措施，内容包含但不限于：①文明施工与环境保护管理体系；②文明施工保障措施；③环境保护管理措施；④环保控制措施：污染物及废弃物处理的排放的控制措施。 </w:t>
            </w:r>
          </w:p>
          <w:p w14:paraId="1322DF4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04581F2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30BD17B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6418F80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230F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4" w:hRule="atLeast"/>
          <w:jc w:val="center"/>
        </w:trPr>
        <w:tc>
          <w:tcPr>
            <w:tcW w:w="1032" w:type="dxa"/>
            <w:vMerge w:val="continue"/>
            <w:noWrap w:val="0"/>
            <w:vAlign w:val="center"/>
          </w:tcPr>
          <w:p w14:paraId="76D4F1AF">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541F167C">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工期的技术组织措施</w:t>
            </w: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6F08AB6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6C6454A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供应商针对本项目编制完善的工期的技术组织措施，内容包含但不限 </w:t>
            </w:r>
          </w:p>
          <w:p w14:paraId="11AD342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于：①施工组织与工期保证措施；②特殊情况保证：雨雪季等情况。 </w:t>
            </w:r>
          </w:p>
          <w:p w14:paraId="36B2234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44D6941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660167C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311F024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258E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1032" w:type="dxa"/>
            <w:vMerge w:val="continue"/>
            <w:noWrap w:val="0"/>
            <w:vAlign w:val="center"/>
          </w:tcPr>
          <w:p w14:paraId="03CC22BF">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515B1100">
            <w:pPr>
              <w:keepNext w:val="0"/>
              <w:keepLines w:val="0"/>
              <w:pageBreakBefore w:val="0"/>
              <w:widowControl w:val="0"/>
              <w:kinsoku/>
              <w:wordWrap/>
              <w:overflowPunct/>
              <w:topLinePunct w:val="0"/>
              <w:autoSpaceDE w:val="0"/>
              <w:autoSpaceDN w:val="0"/>
              <w:bidi w:val="0"/>
              <w:adjustRightInd/>
              <w:snapToGrid/>
              <w:spacing w:beforeAutospacing="0" w:afterAutospacing="0" w:line="400" w:lineRule="exact"/>
              <w:ind w:left="122" w:right="0"/>
              <w:jc w:val="center"/>
              <w:textAlignment w:val="auto"/>
              <w:rPr>
                <w:rFonts w:hint="eastAsia" w:ascii="宋体" w:hAnsi="宋体" w:eastAsia="宋体" w:cs="宋体"/>
                <w:b/>
                <w:bCs/>
                <w:color w:val="auto"/>
                <w:spacing w:val="0"/>
                <w:kern w:val="2"/>
                <w:position w:val="0"/>
                <w:sz w:val="21"/>
                <w:szCs w:val="21"/>
                <w:highlight w:val="none"/>
                <w:lang w:val="en-US" w:eastAsia="en-US" w:bidi="ar-SA"/>
              </w:rPr>
            </w:pPr>
            <w:r>
              <w:rPr>
                <w:rFonts w:hint="eastAsia" w:ascii="宋体" w:hAnsi="宋体" w:eastAsia="宋体" w:cs="宋体"/>
                <w:b/>
                <w:bCs/>
                <w:color w:val="auto"/>
                <w:spacing w:val="0"/>
                <w:kern w:val="2"/>
                <w:position w:val="0"/>
                <w:sz w:val="21"/>
                <w:szCs w:val="21"/>
                <w:highlight w:val="none"/>
                <w:lang w:val="en-US" w:eastAsia="en-US" w:bidi="ar-SA"/>
              </w:rPr>
              <w:t>施工机械设备配备计划和劳动力配备</w:t>
            </w:r>
          </w:p>
          <w:p w14:paraId="51892DE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85A487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1AF2FD2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供应商针对本项目编制完善的施工机械及材料投入计划，内容包含但不限于：①拟投入的主要施工机械设备计划；②主要材料进场计划。 </w:t>
            </w:r>
          </w:p>
          <w:p w14:paraId="162468E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 6 分）</w:t>
            </w:r>
            <w:r>
              <w:rPr>
                <w:rFonts w:hint="eastAsia" w:ascii="宋体" w:hAnsi="宋体" w:eastAsia="宋体" w:cs="宋体"/>
                <w:snapToGrid w:val="0"/>
                <w:color w:val="auto"/>
                <w:spacing w:val="0"/>
                <w:kern w:val="0"/>
                <w:sz w:val="21"/>
                <w:szCs w:val="21"/>
                <w:highlight w:val="none"/>
                <w:lang w:val="en-US" w:eastAsia="zh-CN" w:bidi="ar-SA"/>
              </w:rPr>
              <w:t xml:space="preserve"> </w:t>
            </w:r>
          </w:p>
          <w:p w14:paraId="0DC5399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054FE75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2A31652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21A2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1032" w:type="dxa"/>
            <w:vMerge w:val="continue"/>
            <w:noWrap w:val="0"/>
            <w:vAlign w:val="center"/>
          </w:tcPr>
          <w:p w14:paraId="5AB361A9">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4318859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lang w:val="en-US" w:eastAsia="zh-CN"/>
              </w:rPr>
            </w:pPr>
            <w:r>
              <w:rPr>
                <w:rFonts w:hint="eastAsia" w:ascii="宋体" w:hAnsi="宋体" w:eastAsia="宋体" w:cs="宋体"/>
                <w:b/>
                <w:bCs/>
                <w:color w:val="auto"/>
                <w:spacing w:val="0"/>
                <w:position w:val="0"/>
                <w:sz w:val="21"/>
                <w:szCs w:val="21"/>
                <w:highlight w:val="none"/>
                <w:lang w:val="en-US" w:eastAsia="zh-CN"/>
              </w:rPr>
              <w:t>施工进度计划</w:t>
            </w:r>
          </w:p>
          <w:p w14:paraId="76B85E62">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5494452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3F65344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供应商针对本项目的进度计划编制完善的施工进度网络图或施工进度表，内容包含但不限于：①施工总进度：施工进度目标和施工总进度计划表/图；②施工进度保障措施。 </w:t>
            </w:r>
          </w:p>
          <w:p w14:paraId="5EB98A6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 6 分）</w:t>
            </w:r>
            <w:r>
              <w:rPr>
                <w:rFonts w:hint="eastAsia" w:ascii="宋体" w:hAnsi="宋体" w:eastAsia="宋体" w:cs="宋体"/>
                <w:snapToGrid w:val="0"/>
                <w:color w:val="auto"/>
                <w:spacing w:val="0"/>
                <w:kern w:val="0"/>
                <w:sz w:val="21"/>
                <w:szCs w:val="21"/>
                <w:highlight w:val="none"/>
                <w:lang w:val="en-US" w:eastAsia="zh-CN" w:bidi="ar-SA"/>
              </w:rPr>
              <w:t xml:space="preserve"> </w:t>
            </w:r>
          </w:p>
          <w:p w14:paraId="4DA7490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3302E4C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4C1EA92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53D0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32" w:type="dxa"/>
            <w:vMerge w:val="continue"/>
            <w:noWrap w:val="0"/>
            <w:vAlign w:val="center"/>
          </w:tcPr>
          <w:p w14:paraId="60DD1D92">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3ED5ECF9">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lang w:val="en-US" w:eastAsia="zh-CN"/>
              </w:rPr>
            </w:pPr>
            <w:r>
              <w:rPr>
                <w:rFonts w:hint="eastAsia" w:ascii="宋体" w:hAnsi="宋体" w:eastAsia="宋体" w:cs="宋体"/>
                <w:b/>
                <w:bCs/>
                <w:color w:val="auto"/>
                <w:spacing w:val="0"/>
                <w:position w:val="0"/>
                <w:sz w:val="21"/>
                <w:szCs w:val="21"/>
                <w:highlight w:val="none"/>
                <w:lang w:val="en-US" w:eastAsia="zh-CN"/>
              </w:rPr>
              <w:t>服务承诺</w:t>
            </w:r>
          </w:p>
          <w:p w14:paraId="601EA55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lang w:val="en-US" w:eastAsia="en-US"/>
              </w:rPr>
              <w:t>（</w:t>
            </w:r>
            <w:r>
              <w:rPr>
                <w:rFonts w:hint="eastAsia" w:cs="宋体"/>
                <w:b/>
                <w:bCs/>
                <w:color w:val="auto"/>
                <w:spacing w:val="0"/>
                <w:position w:val="0"/>
                <w:sz w:val="21"/>
                <w:szCs w:val="21"/>
                <w:highlight w:val="none"/>
                <w:lang w:val="en-US" w:eastAsia="zh-CN"/>
              </w:rPr>
              <w:t>6</w:t>
            </w:r>
            <w:r>
              <w:rPr>
                <w:rFonts w:hint="eastAsia" w:ascii="宋体" w:hAnsi="宋体" w:eastAsia="宋体" w:cs="宋体"/>
                <w:b/>
                <w:bCs/>
                <w:color w:val="auto"/>
                <w:spacing w:val="0"/>
                <w:position w:val="0"/>
                <w:sz w:val="21"/>
                <w:szCs w:val="21"/>
                <w:highlight w:val="none"/>
                <w:lang w:val="en-US" w:eastAsia="en-US"/>
              </w:rPr>
              <w:t>分）</w:t>
            </w:r>
          </w:p>
        </w:tc>
        <w:tc>
          <w:tcPr>
            <w:tcW w:w="6760" w:type="dxa"/>
            <w:noWrap w:val="0"/>
            <w:vAlign w:val="top"/>
          </w:tcPr>
          <w:p w14:paraId="34036BB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758F992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供应商针对本项目编制完善的服务承诺，内容包含但不限于： </w:t>
            </w:r>
          </w:p>
          <w:p w14:paraId="7718A61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①对竞争性磋商文件和合同条款的响应承诺； </w:t>
            </w:r>
          </w:p>
          <w:p w14:paraId="1C7C121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②针对本项目实际需求提供实质性服务承诺</w:t>
            </w:r>
            <w:r>
              <w:rPr>
                <w:rFonts w:hint="eastAsia" w:ascii="宋体" w:hAnsi="宋体" w:cs="宋体"/>
                <w:snapToGrid w:val="0"/>
                <w:color w:val="auto"/>
                <w:spacing w:val="0"/>
                <w:kern w:val="0"/>
                <w:sz w:val="21"/>
                <w:szCs w:val="21"/>
                <w:highlight w:val="none"/>
                <w:lang w:val="en-US" w:eastAsia="zh-CN" w:bidi="ar-SA"/>
              </w:rPr>
              <w:t>；</w:t>
            </w:r>
          </w:p>
          <w:p w14:paraId="1B1DD4D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③施工验收后期承诺以及保障措施； </w:t>
            </w:r>
          </w:p>
          <w:p w14:paraId="3CF2101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w:t>
            </w:r>
            <w:r>
              <w:rPr>
                <w:rFonts w:hint="eastAsia" w:ascii="宋体" w:hAnsi="宋体" w:cs="宋体"/>
                <w:b/>
                <w:bCs/>
                <w:snapToGrid w:val="0"/>
                <w:color w:val="auto"/>
                <w:spacing w:val="0"/>
                <w:kern w:val="0"/>
                <w:sz w:val="21"/>
                <w:szCs w:val="21"/>
                <w:highlight w:val="none"/>
                <w:lang w:val="en-US" w:eastAsia="zh-CN" w:bidi="ar-SA"/>
              </w:rPr>
              <w:t>4</w:t>
            </w:r>
            <w:r>
              <w:rPr>
                <w:rFonts w:hint="eastAsia" w:ascii="宋体" w:hAnsi="宋体" w:eastAsia="宋体" w:cs="宋体"/>
                <w:b/>
                <w:bCs/>
                <w:snapToGrid w:val="0"/>
                <w:color w:val="auto"/>
                <w:spacing w:val="0"/>
                <w:kern w:val="0"/>
                <w:sz w:val="21"/>
                <w:szCs w:val="21"/>
                <w:highlight w:val="none"/>
                <w:lang w:val="en-US" w:eastAsia="zh-CN" w:bidi="ar-SA"/>
              </w:rPr>
              <w:t xml:space="preserve">分） </w:t>
            </w:r>
          </w:p>
          <w:p w14:paraId="50FE3F6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2 分； </w:t>
            </w:r>
          </w:p>
          <w:p w14:paraId="4D4149C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 分； </w:t>
            </w:r>
          </w:p>
          <w:p w14:paraId="67BA577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w:t>
            </w:r>
            <w:r>
              <w:rPr>
                <w:rFonts w:hint="eastAsia" w:ascii="宋体" w:hAnsi="宋体" w:cs="宋体"/>
                <w:snapToGrid w:val="0"/>
                <w:color w:val="auto"/>
                <w:spacing w:val="0"/>
                <w:kern w:val="0"/>
                <w:sz w:val="21"/>
                <w:szCs w:val="21"/>
                <w:highlight w:val="none"/>
                <w:lang w:val="en-US" w:eastAsia="zh-CN" w:bidi="ar-SA"/>
              </w:rPr>
              <w:t>2</w:t>
            </w:r>
            <w:r>
              <w:rPr>
                <w:rFonts w:hint="eastAsia" w:ascii="宋体" w:hAnsi="宋体" w:eastAsia="宋体" w:cs="宋体"/>
                <w:snapToGrid w:val="0"/>
                <w:color w:val="auto"/>
                <w:spacing w:val="0"/>
                <w:kern w:val="0"/>
                <w:sz w:val="21"/>
                <w:szCs w:val="21"/>
                <w:highlight w:val="none"/>
                <w:lang w:val="en-US" w:eastAsia="zh-CN" w:bidi="ar-SA"/>
              </w:rPr>
              <w:t xml:space="preserve"> 分，扣完为止。</w:t>
            </w:r>
          </w:p>
        </w:tc>
      </w:tr>
    </w:tbl>
    <w:p w14:paraId="6E033735">
      <w:pPr>
        <w:keepLines w:val="0"/>
        <w:pageBreakBefore w:val="0"/>
        <w:kinsoku/>
        <w:wordWrap/>
        <w:overflowPunct/>
        <w:topLinePunct w:val="0"/>
        <w:bidi w:val="0"/>
        <w:spacing w:line="36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265A4258">
      <w:pPr>
        <w:pStyle w:val="2"/>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36"/>
          <w:szCs w:val="36"/>
          <w:highlight w:val="none"/>
          <w:lang w:val="en-US" w:eastAsia="zh-CN"/>
        </w:rPr>
      </w:pPr>
      <w:bookmarkStart w:id="53" w:name="_Toc30173"/>
      <w:r>
        <w:rPr>
          <w:rFonts w:hint="eastAsia" w:ascii="宋体" w:hAnsi="宋体" w:eastAsia="宋体" w:cs="宋体"/>
          <w:b/>
          <w:bCs/>
          <w:color w:val="auto"/>
          <w:sz w:val="36"/>
          <w:szCs w:val="36"/>
          <w:highlight w:val="none"/>
          <w:lang w:val="en-US" w:eastAsia="zh-CN"/>
        </w:rPr>
        <w:t xml:space="preserve">第五章 </w:t>
      </w:r>
      <w:r>
        <w:rPr>
          <w:rFonts w:hint="eastAsia" w:ascii="宋体" w:hAnsi="宋体" w:eastAsia="宋体" w:cs="宋体"/>
          <w:b/>
          <w:bCs/>
          <w:color w:val="auto"/>
          <w:sz w:val="36"/>
          <w:szCs w:val="36"/>
          <w:highlight w:val="none"/>
          <w:lang w:val="zh-CN" w:eastAsia="zh-CN"/>
        </w:rPr>
        <w:t>施工内容及技术要求</w:t>
      </w:r>
      <w:bookmarkEnd w:id="53"/>
    </w:p>
    <w:p w14:paraId="78D470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54" w:name="_Toc9211"/>
      <w:bookmarkStart w:id="55" w:name="_Toc507748766"/>
      <w:bookmarkStart w:id="56" w:name="_Toc503181530"/>
      <w:bookmarkStart w:id="57" w:name="_Toc503268284"/>
      <w:bookmarkStart w:id="58" w:name="_Toc503276971"/>
      <w:r>
        <w:rPr>
          <w:rFonts w:hint="eastAsia" w:ascii="宋体" w:hAnsi="宋体" w:eastAsia="宋体" w:cs="宋体"/>
          <w:b/>
          <w:bCs/>
          <w:color w:val="auto"/>
          <w:sz w:val="21"/>
          <w:szCs w:val="21"/>
          <w:highlight w:val="none"/>
          <w:lang w:val="en-US" w:eastAsia="zh-CN"/>
        </w:rPr>
        <w:t>1、项目概况</w:t>
      </w:r>
    </w:p>
    <w:bookmarkEnd w:id="54"/>
    <w:bookmarkEnd w:id="55"/>
    <w:bookmarkEnd w:id="56"/>
    <w:bookmarkEnd w:id="57"/>
    <w:bookmarkEnd w:id="58"/>
    <w:p w14:paraId="6B8013F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bookmarkStart w:id="59" w:name="_bookmark184"/>
      <w:bookmarkEnd w:id="59"/>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对院内消防设施进行升级改造，完善消防配套设施，补齐消防短板。</w:t>
      </w:r>
    </w:p>
    <w:p w14:paraId="25762B2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公寓楼房间应急呼叫设备更新，提升智能化设备使用性能，保障院内整体居住条件。</w:t>
      </w:r>
    </w:p>
    <w:p w14:paraId="28CA3A5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对公寓楼一层原墙体护板的拆除及修复。</w:t>
      </w:r>
    </w:p>
    <w:p w14:paraId="0913C98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（4）对</w:t>
      </w:r>
      <w:r>
        <w:rPr>
          <w:rFonts w:hint="eastAsia" w:ascii="宋体" w:hAnsi="宋体" w:eastAsia="宋体" w:cs="宋体"/>
          <w:color w:val="auto"/>
          <w:sz w:val="21"/>
          <w:szCs w:val="21"/>
          <w:highlight w:val="none"/>
          <w:lang w:val="en-US" w:eastAsia="zh-CN"/>
        </w:rPr>
        <w:t>公寓楼房间及楼梯间墙体老化、脱皮、渗水等损毁部位进行修补，加固墙体结构。老旧破损门窗修复，对窗框门框松动，启闭故障，漏风漏雨门窗进行修复，提升密闭性与使用安全。（详见工程量清单）</w:t>
      </w:r>
    </w:p>
    <w:p w14:paraId="5127E1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2、工程目标和承诺</w:t>
      </w:r>
    </w:p>
    <w:p w14:paraId="7AF7DAC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b/>
          <w:bCs/>
          <w:color w:val="auto"/>
          <w:sz w:val="21"/>
          <w:szCs w:val="21"/>
          <w:highlight w:val="none"/>
          <w:lang w:val="en-US" w:eastAsia="zh-CN"/>
        </w:rPr>
        <w:t>工程质量目标：</w:t>
      </w:r>
      <w:r>
        <w:rPr>
          <w:rFonts w:hint="eastAsia" w:ascii="宋体" w:hAnsi="宋体" w:eastAsia="宋体" w:cs="宋体"/>
          <w:color w:val="auto"/>
          <w:sz w:val="21"/>
          <w:szCs w:val="21"/>
          <w:highlight w:val="none"/>
          <w:lang w:val="en-US" w:eastAsia="zh-CN"/>
        </w:rPr>
        <w:t>合格</w:t>
      </w:r>
    </w:p>
    <w:p w14:paraId="71E0854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2.2、工期：自合同签订之日起</w:t>
      </w:r>
      <w:r>
        <w:rPr>
          <w:rFonts w:hint="eastAsia" w:ascii="宋体" w:hAnsi="宋体" w:cs="宋体"/>
          <w:b/>
          <w:bCs/>
          <w:color w:val="000000" w:themeColor="text1"/>
          <w:sz w:val="21"/>
          <w:szCs w:val="21"/>
          <w:highlight w:val="none"/>
          <w:lang w:val="en-US" w:eastAsia="zh-CN"/>
          <w14:textFill>
            <w14:solidFill>
              <w14:schemeClr w14:val="tx1"/>
            </w14:solidFill>
          </w14:textFill>
        </w:rPr>
        <w:t>90个</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日历</w:t>
      </w:r>
      <w:r>
        <w:rPr>
          <w:rFonts w:hint="eastAsia" w:ascii="宋体" w:hAnsi="宋体" w:cs="宋体"/>
          <w:b/>
          <w:bCs/>
          <w:color w:val="000000" w:themeColor="text1"/>
          <w:sz w:val="21"/>
          <w:szCs w:val="21"/>
          <w:highlight w:val="none"/>
          <w:lang w:val="en-US" w:eastAsia="zh-CN"/>
          <w14:textFill>
            <w14:solidFill>
              <w14:schemeClr w14:val="tx1"/>
            </w14:solidFill>
          </w14:textFill>
        </w:rPr>
        <w:t>天</w:t>
      </w:r>
    </w:p>
    <w:p w14:paraId="5C82DDD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2.3、</w:t>
      </w:r>
      <w:r>
        <w:rPr>
          <w:rFonts w:hint="eastAsia" w:ascii="宋体" w:hAnsi="宋体" w:cs="宋体"/>
          <w:b/>
          <w:bCs/>
          <w:color w:val="000000" w:themeColor="text1"/>
          <w:sz w:val="21"/>
          <w:szCs w:val="21"/>
          <w:highlight w:val="none"/>
          <w:lang w:val="en-US" w:eastAsia="zh-CN"/>
          <w14:textFill>
            <w14:solidFill>
              <w14:schemeClr w14:val="tx1"/>
            </w14:solidFill>
          </w14:textFill>
        </w:rPr>
        <w:t>售后服务</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要求：</w:t>
      </w:r>
    </w:p>
    <w:p w14:paraId="45CD946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1.工程质保:墙体修缮、门窗维修、消防改造整体质保2年:应急呼叫设备质保3年，质保期内非人为损坏免费更换配件、上门维修。</w:t>
      </w:r>
    </w:p>
    <w:p w14:paraId="7DB1E02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2.维保服务:质保期内每季度1次上门巡检，对消防设备、呼叫系统、墙体门窗全面检修养护</w:t>
      </w:r>
      <w:r>
        <w:rPr>
          <w:rFonts w:hint="eastAsia" w:ascii="宋体" w:hAnsi="宋体" w:cs="宋体"/>
          <w:color w:val="auto"/>
          <w:sz w:val="21"/>
          <w:szCs w:val="21"/>
          <w:highlight w:val="none"/>
          <w:lang w:val="en-US" w:eastAsia="zh-CN"/>
        </w:rPr>
        <w:t>。</w:t>
      </w:r>
    </w:p>
    <w:p w14:paraId="11EE9CD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1"/>
        <w:rPr>
          <w:rFonts w:hint="eastAsia" w:ascii="宋体" w:hAnsi="宋体" w:eastAsia="宋体" w:cs="宋体"/>
          <w:b/>
          <w:bCs/>
          <w:color w:val="auto"/>
          <w:sz w:val="21"/>
          <w:szCs w:val="21"/>
          <w:highlight w:val="none"/>
          <w:lang w:val="en-US" w:eastAsia="zh-CN"/>
        </w:rPr>
      </w:pPr>
      <w:bookmarkStart w:id="60" w:name="_Toc23057"/>
      <w:r>
        <w:rPr>
          <w:rFonts w:hint="eastAsia" w:ascii="宋体" w:hAnsi="宋体" w:eastAsia="宋体" w:cs="宋体"/>
          <w:b/>
          <w:bCs/>
          <w:color w:val="auto"/>
          <w:sz w:val="21"/>
          <w:szCs w:val="21"/>
          <w:highlight w:val="none"/>
          <w:lang w:val="en-US" w:eastAsia="zh-CN"/>
        </w:rPr>
        <w:t>3、报价说明</w:t>
      </w:r>
      <w:bookmarkEnd w:id="60"/>
    </w:p>
    <w:p w14:paraId="75AECDD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bookmarkStart w:id="61" w:name="_Toc778"/>
      <w:r>
        <w:rPr>
          <w:rFonts w:hint="eastAsia" w:ascii="宋体" w:hAnsi="宋体" w:eastAsia="宋体" w:cs="宋体"/>
          <w:color w:val="auto"/>
          <w:sz w:val="21"/>
          <w:szCs w:val="21"/>
          <w:highlight w:val="none"/>
          <w:lang w:val="en-US" w:eastAsia="zh-CN"/>
        </w:rPr>
        <w:t>3.1、工程量清单为磋商文件的组成部分，一经成交且签订合同，即成为合同的组成部分。</w:t>
      </w:r>
    </w:p>
    <w:p w14:paraId="5DF072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3.2、工程量清单中各项金额均以人民币（元）结算。</w:t>
      </w:r>
    </w:p>
    <w:p w14:paraId="6473A5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3.3、供应商不得随意改动工程量清单内容，评标时均按采购人所发的工程量清单进行检查和评审。</w:t>
      </w:r>
    </w:p>
    <w:p w14:paraId="5449817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3.4、磋商报价是依据本工程磋商文件的供应商须知、合同文件、工程建设标准、工程量清单和答疑纪要及其它有关文件进行编制。</w:t>
      </w:r>
    </w:p>
    <w:p w14:paraId="47B3AF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3.5、磋商报价为完成本项目所发生的一切费用,包括施工及质量保修期间所有含税费用，如有遗漏，视为已包含在内。</w:t>
      </w:r>
    </w:p>
    <w:p w14:paraId="42A533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3.6、本项目为固定总价，一次包死。交钥匙工程。</w:t>
      </w:r>
    </w:p>
    <w:p w14:paraId="423B2B3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4、安全要求</w:t>
      </w:r>
    </w:p>
    <w:p w14:paraId="760B23A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遵守工程建设安全生产有关管理规定，严格按安全标准组织施工，采取必要的安全生产措施，消除事故隐患。安全措施不力造成事故责任和发生的费用由成交供应商承担。</w:t>
      </w:r>
    </w:p>
    <w:p w14:paraId="547E049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5、工程施工基本要求</w:t>
      </w:r>
    </w:p>
    <w:p w14:paraId="2EC60E8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按国家有关规定做到文明施工，规范施工，严格把好各道施工工序的质量，确保工程质量，并按要求如期完成工程建设，编制施工组织设计方案，确保工程按时优质完成，编制总进度计划，合理安排劳动力、物力、财力，尽量做到综合平衡配套施工，确保工程顺利完成。</w:t>
      </w:r>
    </w:p>
    <w:p w14:paraId="2990D0E5">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6、验收标准</w:t>
      </w:r>
      <w:bookmarkEnd w:id="61"/>
    </w:p>
    <w:p w14:paraId="61CDFBC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bookmarkStart w:id="62" w:name="_Toc30297"/>
      <w:r>
        <w:rPr>
          <w:rFonts w:hint="eastAsia" w:ascii="宋体" w:hAnsi="宋体" w:eastAsia="宋体" w:cs="宋体"/>
          <w:color w:val="auto"/>
          <w:sz w:val="21"/>
          <w:szCs w:val="21"/>
          <w:highlight w:val="none"/>
          <w:lang w:val="en-US" w:eastAsia="zh-CN"/>
        </w:rPr>
        <w:t>采用联合验收模式，由甲方牵头，联合上级主管单位民政局、院内安全管理人员、消防业务经办人共同现场核查：</w:t>
      </w:r>
    </w:p>
    <w:p w14:paraId="160F3D8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1.逐项核对施工范围、工程量是否与采购需求一致；</w:t>
      </w:r>
    </w:p>
    <w:p w14:paraId="3F614C8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2.现场测试墙体防水、门窗密封、消防避难间设置、应急呼叫设备功能；</w:t>
      </w:r>
    </w:p>
    <w:p w14:paraId="128024C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3.查阅全部竣工档案资料完整性;</w:t>
      </w:r>
    </w:p>
    <w:p w14:paraId="542221C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4.验收合格签署《竣工验收单》;若存在质量缺陷，乙方限期无偿返工整改，直至复检合格，返工产生的工期、成本由乙方自行承担。</w:t>
      </w:r>
    </w:p>
    <w:p w14:paraId="65ED4D9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8、质量保修范围和保修期</w:t>
      </w:r>
    </w:p>
    <w:p w14:paraId="3E6C302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1.保修范围:本项目全部土建拆除修复、墙体防水加固、门窗修缮、消防避难间设置、应急呼叫主机及分机终端、配套布线等全部施工及设备内容;因施工工艺、材料质量、安装缺陷产生的渗水、脱落、设备失灵、管线故障均属免费保修范畴;人为损坏、不可抗力造成损坏不在免费保修内。</w:t>
      </w:r>
    </w:p>
    <w:p w14:paraId="14A34EA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2.保修期:土建墙体、门窗修缮、消防改造工程整体保修期2年，自竣工验收合格之日起计算;智能应急呼叫系统软硬件设备保修期3年，质保期内免费上门维修、更换故障配件。</w:t>
      </w:r>
    </w:p>
    <w:p w14:paraId="5F0BA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7、违约责任</w:t>
      </w:r>
      <w:bookmarkEnd w:id="62"/>
    </w:p>
    <w:p w14:paraId="2E26CF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7.1、按《中华人民共和国民法典》中的相关条款执行。</w:t>
      </w:r>
    </w:p>
    <w:p w14:paraId="598ACDF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7.2、未按合同要求施工的，采购人有权终止合同，并对供应商的违约责任进行追究，同时按照《中华人民共和国政府采购法》的有关要求进行处罚。</w:t>
      </w:r>
    </w:p>
    <w:p w14:paraId="202A3A32">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sz w:val="21"/>
          <w:szCs w:val="21"/>
          <w:highlight w:val="yellow"/>
          <w:lang w:val="en-US" w:eastAsia="zh-CN"/>
        </w:rPr>
      </w:pPr>
    </w:p>
    <w:p w14:paraId="55345A27">
      <w:pPr>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br w:type="page"/>
      </w:r>
    </w:p>
    <w:p w14:paraId="6822154D">
      <w:pPr>
        <w:pStyle w:val="2"/>
        <w:keepNext/>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36"/>
          <w:szCs w:val="36"/>
          <w:highlight w:val="none"/>
          <w:lang w:val="en-US" w:eastAsia="zh-CN"/>
        </w:rPr>
      </w:pPr>
      <w:bookmarkStart w:id="63" w:name="_Toc13717"/>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工程量清单</w:t>
      </w:r>
      <w:bookmarkEnd w:id="63"/>
    </w:p>
    <w:bookmarkEnd w:id="52"/>
    <w:p w14:paraId="3CBF2054">
      <w:pPr>
        <w:keepNext w:val="0"/>
        <w:keepLines w:val="0"/>
        <w:pageBreakBefore w:val="0"/>
        <w:widowControl w:val="0"/>
        <w:kinsoku/>
        <w:wordWrap/>
        <w:overflowPunct/>
        <w:topLinePunct w:val="0"/>
        <w:autoSpaceDE/>
        <w:autoSpaceDN/>
        <w:bidi w:val="0"/>
        <w:adjustRightInd/>
        <w:snapToGrid/>
        <w:spacing w:afterAutospacing="0" w:line="440" w:lineRule="exact"/>
        <w:ind w:firstLine="422" w:firstLineChars="200"/>
        <w:textAlignment w:val="auto"/>
        <w:rPr>
          <w:rFonts w:hint="eastAsia" w:ascii="宋体" w:hAnsi="宋体" w:eastAsia="宋体" w:cs="宋体"/>
          <w:b/>
          <w:color w:val="auto"/>
          <w:sz w:val="21"/>
          <w:szCs w:val="16"/>
          <w:highlight w:val="none"/>
        </w:rPr>
      </w:pPr>
      <w:r>
        <w:rPr>
          <w:rFonts w:hint="eastAsia" w:ascii="宋体" w:hAnsi="宋体" w:eastAsia="宋体" w:cs="宋体"/>
          <w:b/>
          <w:color w:val="auto"/>
          <w:sz w:val="21"/>
          <w:szCs w:val="16"/>
          <w:highlight w:val="none"/>
          <w:lang w:val="en-US" w:eastAsia="zh-CN"/>
        </w:rPr>
        <w:t>1</w:t>
      </w:r>
      <w:r>
        <w:rPr>
          <w:rFonts w:hint="eastAsia" w:ascii="宋体" w:hAnsi="宋体" w:eastAsia="宋体" w:cs="宋体"/>
          <w:b/>
          <w:color w:val="auto"/>
          <w:sz w:val="21"/>
          <w:szCs w:val="16"/>
          <w:highlight w:val="none"/>
        </w:rPr>
        <w:t>、编制依据</w:t>
      </w:r>
    </w:p>
    <w:p w14:paraId="116B3AA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消防要求及相关工程建设规范、标准、图集等；</w:t>
      </w:r>
    </w:p>
    <w:p w14:paraId="2DF5EC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陕西省建设工程工程量清单计价标准(2025)》、《陕西省建设工程费用规则(2025)》、《陕西省房屋建筑与装饰工程基价表（2025）》、《陕西省通用安装工程基价表（2025）》、《陕西省市政工程基价表（2025）》及其他相关的计价依据和办法；</w:t>
      </w:r>
    </w:p>
    <w:p w14:paraId="676A7CC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陕建发[2025]10号文《关于印发2025陕西省建设工程费用规则等计价依据的通知》；</w:t>
      </w:r>
    </w:p>
    <w:p w14:paraId="4CAE3A1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施工现场情况、工程特点及常规施工方案；现行国家和陕西省建筑施工规范；</w:t>
      </w:r>
    </w:p>
    <w:p w14:paraId="4C0CCA4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其他相关资料。</w:t>
      </w:r>
    </w:p>
    <w:p w14:paraId="16F72B04">
      <w:pPr>
        <w:keepNext w:val="0"/>
        <w:keepLines w:val="0"/>
        <w:pageBreakBefore w:val="0"/>
        <w:widowControl w:val="0"/>
        <w:kinsoku/>
        <w:wordWrap/>
        <w:overflowPunct/>
        <w:topLinePunct w:val="0"/>
        <w:autoSpaceDE/>
        <w:autoSpaceDN/>
        <w:bidi w:val="0"/>
        <w:adjustRightInd/>
        <w:snapToGrid/>
        <w:spacing w:afterAutospacing="0" w:line="440" w:lineRule="exact"/>
        <w:ind w:firstLine="422" w:firstLineChars="200"/>
        <w:jc w:val="left"/>
        <w:textAlignment w:val="auto"/>
        <w:rPr>
          <w:rFonts w:hint="eastAsia" w:ascii="宋体" w:hAnsi="宋体" w:eastAsia="宋体" w:cs="宋体"/>
          <w:b/>
          <w:color w:val="auto"/>
          <w:sz w:val="21"/>
          <w:szCs w:val="16"/>
          <w:highlight w:val="none"/>
          <w:lang w:val="en-US" w:eastAsia="zh-CN"/>
        </w:rPr>
      </w:pPr>
      <w:r>
        <w:rPr>
          <w:rFonts w:hint="eastAsia" w:ascii="宋体" w:hAnsi="宋体" w:eastAsia="宋体" w:cs="宋体"/>
          <w:b/>
          <w:color w:val="auto"/>
          <w:sz w:val="21"/>
          <w:szCs w:val="16"/>
          <w:highlight w:val="none"/>
          <w:lang w:val="en-US" w:eastAsia="zh-CN"/>
        </w:rPr>
        <w:t>2、其他说明</w:t>
      </w:r>
    </w:p>
    <w:p w14:paraId="6401D08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使用广联达正版软件GCCP7.0 （最新版本号：7.5000.23.3）；</w:t>
      </w:r>
    </w:p>
    <w:p w14:paraId="408BE3B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本工程消防喷淋头、烟雾探测器、灯具及扶手均采用主材利旧。利旧材料已考虑保护性拆除。</w:t>
      </w:r>
    </w:p>
    <w:p w14:paraId="1ED413C9">
      <w:pPr>
        <w:keepNext w:val="0"/>
        <w:keepLines w:val="0"/>
        <w:pageBreakBefore w:val="0"/>
        <w:widowControl w:val="0"/>
        <w:numPr>
          <w:ilvl w:val="0"/>
          <w:numId w:val="0"/>
        </w:numPr>
        <w:kinsoku/>
        <w:wordWrap/>
        <w:overflowPunct/>
        <w:topLinePunct w:val="0"/>
        <w:autoSpaceDE/>
        <w:autoSpaceDN/>
        <w:bidi w:val="0"/>
        <w:adjustRightInd/>
        <w:snapToGrid/>
        <w:spacing w:afterAutospacing="0"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3、工程量清单：</w:t>
      </w:r>
      <w:r>
        <w:rPr>
          <w:rFonts w:hint="eastAsia" w:ascii="宋体" w:hAnsi="宋体" w:cs="宋体"/>
          <w:b/>
          <w:bCs/>
          <w:color w:val="auto"/>
          <w:sz w:val="21"/>
          <w:szCs w:val="21"/>
          <w:highlight w:val="none"/>
          <w:lang w:val="en-US" w:eastAsia="zh-CN"/>
        </w:rPr>
        <w:t>（另附）</w:t>
      </w:r>
    </w:p>
    <w:p w14:paraId="06148739">
      <w:pPr>
        <w:rPr>
          <w:rFonts w:hint="eastAsia" w:ascii="宋体" w:hAnsi="宋体" w:eastAsia="宋体" w:cs="宋体"/>
          <w:b/>
          <w:bCs/>
          <w:color w:val="auto"/>
          <w:sz w:val="21"/>
          <w:szCs w:val="21"/>
          <w:highlight w:val="none"/>
          <w:lang w:val="en-US" w:eastAsia="zh-CN"/>
        </w:rPr>
      </w:pPr>
    </w:p>
    <w:p w14:paraId="58BC293B">
      <w:pPr>
        <w:rPr>
          <w:rFonts w:hint="eastAsia" w:ascii="宋体" w:hAnsi="宋体" w:eastAsia="宋体" w:cs="宋体"/>
          <w:b/>
          <w:bCs/>
          <w:color w:val="auto"/>
          <w:sz w:val="21"/>
          <w:szCs w:val="21"/>
          <w:highlight w:val="none"/>
          <w:lang w:val="en-US" w:eastAsia="zh-CN"/>
        </w:rPr>
      </w:pPr>
    </w:p>
    <w:p w14:paraId="3A73A392">
      <w:pPr>
        <w:rPr>
          <w:rFonts w:hint="eastAsia" w:ascii="宋体" w:hAnsi="宋体" w:eastAsia="宋体" w:cs="宋体"/>
          <w:b/>
          <w:bCs/>
          <w:color w:val="auto"/>
          <w:sz w:val="21"/>
          <w:szCs w:val="21"/>
          <w:highlight w:val="none"/>
          <w:lang w:val="en-US" w:eastAsia="zh-CN"/>
        </w:rPr>
        <w:sectPr>
          <w:headerReference r:id="rId17" w:type="default"/>
          <w:footerReference r:id="rId18"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3D809032">
      <w:pPr>
        <w:pStyle w:val="2"/>
        <w:keepLines w:val="0"/>
        <w:pageBreakBefore w:val="0"/>
        <w:kinsoku/>
        <w:bidi w:val="0"/>
        <w:spacing w:line="360" w:lineRule="auto"/>
        <w:jc w:val="center"/>
        <w:rPr>
          <w:rFonts w:hint="eastAsia" w:ascii="宋体" w:hAnsi="宋体" w:eastAsia="宋体" w:cs="宋体"/>
          <w:b/>
          <w:bCs/>
          <w:color w:val="auto"/>
          <w:sz w:val="36"/>
          <w:szCs w:val="36"/>
          <w:highlight w:val="none"/>
          <w:lang w:val="zh-CN"/>
        </w:rPr>
      </w:pPr>
      <w:bookmarkStart w:id="64" w:name="_Toc25369"/>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七</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合同协议书</w:t>
      </w:r>
      <w:bookmarkEnd w:id="64"/>
      <w:bookmarkStart w:id="65" w:name="_Toc389553742"/>
      <w:bookmarkStart w:id="66" w:name="_Toc8194597"/>
    </w:p>
    <w:p w14:paraId="3C8B95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en-US" w:eastAsia="zh-CN"/>
        </w:rPr>
      </w:pPr>
    </w:p>
    <w:p w14:paraId="0D6B16E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color w:val="auto"/>
          <w:sz w:val="28"/>
          <w:szCs w:val="28"/>
          <w:highlight w:val="none"/>
          <w:lang w:val="en-US" w:eastAsia="zh-CN"/>
        </w:rPr>
      </w:pPr>
    </w:p>
    <w:p w14:paraId="60E9D48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（合同模板仅供参考，具体以实际签订合同为准）</w:t>
      </w:r>
    </w:p>
    <w:p w14:paraId="7BC1D32B">
      <w:pPr>
        <w:keepNext w:val="0"/>
        <w:keepLines w:val="0"/>
        <w:pageBreakBefore w:val="0"/>
        <w:kinsoku/>
        <w:wordWrap/>
        <w:overflowPunct/>
        <w:topLinePunct w:val="0"/>
        <w:bidi w:val="0"/>
        <w:spacing w:line="360" w:lineRule="auto"/>
        <w:jc w:val="left"/>
        <w:rPr>
          <w:rFonts w:ascii="宋体" w:hAnsi="宋体"/>
          <w:bCs/>
          <w:color w:val="auto"/>
          <w:sz w:val="28"/>
          <w:szCs w:val="28"/>
          <w:highlight w:val="none"/>
        </w:rPr>
      </w:pPr>
    </w:p>
    <w:p w14:paraId="749AB63A">
      <w:pPr>
        <w:keepNext w:val="0"/>
        <w:keepLines w:val="0"/>
        <w:pageBreakBefore w:val="0"/>
        <w:kinsoku/>
        <w:wordWrap/>
        <w:overflowPunct/>
        <w:topLinePunct w:val="0"/>
        <w:bidi w:val="0"/>
        <w:spacing w:line="360" w:lineRule="auto"/>
        <w:jc w:val="left"/>
        <w:textAlignment w:val="auto"/>
        <w:rPr>
          <w:rFonts w:hint="eastAsia" w:ascii="宋体" w:hAnsi="宋体" w:eastAsia="宋体" w:cs="宋体"/>
          <w:bCs/>
          <w:color w:val="auto"/>
          <w:sz w:val="28"/>
          <w:szCs w:val="28"/>
          <w:highlight w:val="none"/>
        </w:rPr>
      </w:pPr>
    </w:p>
    <w:p w14:paraId="45BAB38B">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Cs/>
          <w:color w:val="auto"/>
          <w:kern w:val="0"/>
          <w:sz w:val="28"/>
          <w:szCs w:val="28"/>
          <w:highlight w:val="none"/>
        </w:rPr>
      </w:pPr>
    </w:p>
    <w:p w14:paraId="1794CA77">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Cs/>
          <w:color w:val="auto"/>
          <w:kern w:val="0"/>
          <w:sz w:val="28"/>
          <w:szCs w:val="28"/>
          <w:highlight w:val="none"/>
        </w:rPr>
      </w:pPr>
    </w:p>
    <w:p w14:paraId="4866B834">
      <w:pPr>
        <w:keepNext w:val="0"/>
        <w:keepLines w:val="0"/>
        <w:pageBreakBefore w:val="0"/>
        <w:kinsoku/>
        <w:wordWrap/>
        <w:overflowPunct/>
        <w:topLinePunct w:val="0"/>
        <w:bidi w:val="0"/>
        <w:spacing w:line="360" w:lineRule="auto"/>
        <w:jc w:val="both"/>
        <w:textAlignment w:val="auto"/>
        <w:rPr>
          <w:rFonts w:hint="eastAsia" w:ascii="宋体" w:hAnsi="宋体" w:eastAsia="宋体" w:cs="宋体"/>
          <w:b/>
          <w:bCs w:val="0"/>
          <w:color w:val="auto"/>
          <w:kern w:val="0"/>
          <w:sz w:val="28"/>
          <w:szCs w:val="28"/>
          <w:highlight w:val="none"/>
        </w:rPr>
      </w:pPr>
    </w:p>
    <w:p w14:paraId="6046E7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kern w:val="0"/>
          <w:sz w:val="52"/>
          <w:szCs w:val="52"/>
          <w:highlight w:val="none"/>
          <w:lang w:eastAsia="zh-CN"/>
        </w:rPr>
      </w:pPr>
      <w:r>
        <w:rPr>
          <w:rFonts w:hint="eastAsia" w:ascii="宋体" w:hAnsi="宋体" w:eastAsia="宋体" w:cs="宋体"/>
          <w:b/>
          <w:bCs w:val="0"/>
          <w:color w:val="auto"/>
          <w:kern w:val="0"/>
          <w:sz w:val="52"/>
          <w:szCs w:val="52"/>
          <w:highlight w:val="none"/>
        </w:rPr>
        <w:t>建设工程施工合同</w:t>
      </w:r>
    </w:p>
    <w:p w14:paraId="64B51D8F">
      <w:pPr>
        <w:pStyle w:val="35"/>
        <w:rPr>
          <w:rFonts w:hint="eastAsia"/>
          <w:color w:val="auto"/>
          <w:lang w:eastAsia="zh-CN"/>
        </w:rPr>
      </w:pPr>
    </w:p>
    <w:p w14:paraId="71AB62F2">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b/>
          <w:bCs/>
          <w:color w:val="auto"/>
          <w:kern w:val="0"/>
          <w:sz w:val="28"/>
          <w:szCs w:val="28"/>
          <w:highlight w:val="none"/>
        </w:rPr>
      </w:pPr>
    </w:p>
    <w:p w14:paraId="3BFD2A64">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695DC5B8">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7AB31E16">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28F460D1">
      <w:pPr>
        <w:keepNext w:val="0"/>
        <w:keepLines w:val="0"/>
        <w:pageBreakBefore w:val="0"/>
        <w:widowControl/>
        <w:kinsoku/>
        <w:wordWrap/>
        <w:overflowPunct/>
        <w:topLinePunct w:val="0"/>
        <w:bidi w:val="0"/>
        <w:spacing w:line="360" w:lineRule="auto"/>
        <w:jc w:val="both"/>
        <w:textAlignment w:val="auto"/>
        <w:rPr>
          <w:rFonts w:hint="eastAsia" w:ascii="宋体" w:hAnsi="宋体" w:eastAsia="宋体" w:cs="宋体"/>
          <w:b/>
          <w:bCs/>
          <w:color w:val="auto"/>
          <w:kern w:val="0"/>
          <w:sz w:val="28"/>
          <w:szCs w:val="28"/>
          <w:highlight w:val="none"/>
        </w:rPr>
      </w:pPr>
    </w:p>
    <w:p w14:paraId="52B56B36">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32"/>
          <w:szCs w:val="32"/>
          <w:highlight w:val="none"/>
        </w:rPr>
      </w:pPr>
    </w:p>
    <w:p w14:paraId="78EC17E6">
      <w:pPr>
        <w:keepNext w:val="0"/>
        <w:keepLines w:val="0"/>
        <w:pageBreakBefore w:val="0"/>
        <w:kinsoku/>
        <w:wordWrap/>
        <w:overflowPunct/>
        <w:topLinePunct w:val="0"/>
        <w:bidi w:val="0"/>
        <w:spacing w:line="360" w:lineRule="auto"/>
        <w:ind w:right="2719" w:rightChars="1295"/>
        <w:jc w:val="distribute"/>
        <w:textAlignment w:val="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4533265</wp:posOffset>
                </wp:positionH>
                <wp:positionV relativeFrom="paragraph">
                  <wp:posOffset>333375</wp:posOffset>
                </wp:positionV>
                <wp:extent cx="723900" cy="457200"/>
                <wp:effectExtent l="4445" t="4445" r="14605" b="14605"/>
                <wp:wrapNone/>
                <wp:docPr id="18" name="文本框 18"/>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56DD205D">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56.95pt;margin-top:26.25pt;height:36pt;width:57pt;z-index:251659264;mso-width-relative:page;mso-height-relative:page;" filled="f" stroked="t" coordsize="21600,21600" o:gfxdata="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&#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2S/8XZAAAACgEAAA8AAAAAAAAAAQAgAAAAIgAAAGRy&#10;cy9kb3ducmV2LnhtbFBLAQIUABQAAAAIAIdO4kAqOSleBAIAAA4EAAAOAAAAAAAAAAEAIAAAACgB&#10;AABkcnMvZTJvRG9jLnhtbFBLBQYAAAAABgAGAFkBAACeBQAAAAA=&#10;">
                <v:fill on="f" focussize="0,0"/>
                <v:stroke color="#FFFFFF" joinstyle="miter"/>
                <v:imagedata o:title=""/>
                <o:lock v:ext="edit" aspectratio="f"/>
                <v:textbox>
                  <w:txbxContent>
                    <w:p w14:paraId="56DD205D">
                      <w:pPr>
                        <w:rPr>
                          <w:b/>
                          <w:bCs/>
                          <w:sz w:val="32"/>
                        </w:rPr>
                      </w:pPr>
                      <w:r>
                        <w:rPr>
                          <w:rFonts w:hint="eastAsia"/>
                          <w:b/>
                          <w:bCs/>
                          <w:sz w:val="32"/>
                        </w:rPr>
                        <w:t>制定</w:t>
                      </w:r>
                    </w:p>
                  </w:txbxContent>
                </v:textbox>
              </v:shape>
            </w:pict>
          </mc:Fallback>
        </mc:AlternateContent>
      </w:r>
      <w:r>
        <w:rPr>
          <w:rFonts w:hint="eastAsia" w:ascii="宋体"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住房和城乡建设部</w:t>
      </w:r>
    </w:p>
    <w:p w14:paraId="2837C45C">
      <w:pPr>
        <w:pStyle w:val="16"/>
        <w:keepLines w:val="0"/>
        <w:pageBreakBefore w:val="0"/>
        <w:kinsoku/>
        <w:bidi w:val="0"/>
        <w:spacing w:line="360" w:lineRule="auto"/>
        <w:rPr>
          <w:rFonts w:hint="eastAsia"/>
          <w:color w:val="auto"/>
        </w:rPr>
      </w:pPr>
    </w:p>
    <w:p w14:paraId="66175135">
      <w:pPr>
        <w:keepNext w:val="0"/>
        <w:keepLines w:val="0"/>
        <w:pageBreakBefore w:val="0"/>
        <w:kinsoku/>
        <w:wordWrap/>
        <w:overflowPunct/>
        <w:topLinePunct w:val="0"/>
        <w:bidi w:val="0"/>
        <w:spacing w:line="360" w:lineRule="auto"/>
        <w:ind w:right="2719" w:rightChars="1295" w:firstLine="2750" w:firstLineChars="856"/>
        <w:jc w:val="distribute"/>
        <w:textAlignment w:val="auto"/>
        <w:rPr>
          <w:rFonts w:hint="eastAsia" w:ascii="宋体" w:hAnsi="宋体" w:eastAsia="宋体" w:cs="宋体"/>
          <w:b/>
          <w:color w:val="auto"/>
          <w:sz w:val="32"/>
          <w:szCs w:val="32"/>
          <w:highlight w:val="none"/>
        </w:rPr>
      </w:pPr>
      <w:bookmarkStart w:id="67" w:name="_Toc30486_WPSOffice_Level2"/>
      <w:r>
        <w:rPr>
          <w:rFonts w:hint="eastAsia" w:ascii="宋体" w:hAnsi="宋体" w:eastAsia="宋体" w:cs="宋体"/>
          <w:b/>
          <w:color w:val="auto"/>
          <w:sz w:val="32"/>
          <w:szCs w:val="32"/>
          <w:highlight w:val="none"/>
        </w:rPr>
        <w:t>国家工商行政管理总局</w:t>
      </w:r>
      <w:bookmarkEnd w:id="67"/>
    </w:p>
    <w:p w14:paraId="4B15A90D">
      <w:pPr>
        <w:rPr>
          <w:rFonts w:hint="eastAsia"/>
          <w:color w:val="auto"/>
        </w:rPr>
      </w:pPr>
    </w:p>
    <w:p w14:paraId="382B156A">
      <w:pPr>
        <w:numPr>
          <w:ilvl w:val="0"/>
          <w:numId w:val="0"/>
        </w:numPr>
        <w:rPr>
          <w:rFonts w:hint="eastAsia"/>
          <w:color w:val="auto"/>
          <w:lang w:val="en-US" w:eastAsia="zh-CN"/>
        </w:rPr>
      </w:pPr>
    </w:p>
    <w:p w14:paraId="54166829">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val="0"/>
          <w:color w:val="auto"/>
          <w:kern w:val="0"/>
          <w:sz w:val="28"/>
          <w:szCs w:val="28"/>
          <w:highlight w:val="none"/>
          <w:lang w:val="en-US" w:eastAsia="zh-CN"/>
        </w:rPr>
      </w:pPr>
    </w:p>
    <w:p w14:paraId="63E5AD64">
      <w:pPr>
        <w:pStyle w:val="16"/>
        <w:rPr>
          <w:rFonts w:hint="eastAsia" w:ascii="宋体" w:hAnsi="宋体" w:eastAsia="宋体" w:cs="宋体"/>
          <w:b/>
          <w:bCs w:val="0"/>
          <w:color w:val="auto"/>
          <w:kern w:val="0"/>
          <w:sz w:val="28"/>
          <w:szCs w:val="28"/>
          <w:highlight w:val="none"/>
          <w:lang w:val="en-US" w:eastAsia="zh-CN"/>
        </w:rPr>
      </w:pPr>
    </w:p>
    <w:p w14:paraId="7909C6F8">
      <w:pPr>
        <w:rPr>
          <w:rFonts w:hint="eastAsia" w:ascii="宋体" w:hAnsi="宋体" w:eastAsia="宋体" w:cs="宋体"/>
          <w:b/>
          <w:bCs w:val="0"/>
          <w:color w:val="auto"/>
          <w:kern w:val="0"/>
          <w:sz w:val="28"/>
          <w:szCs w:val="28"/>
          <w:highlight w:val="none"/>
          <w:lang w:val="en-US" w:eastAsia="zh-CN"/>
        </w:rPr>
      </w:pPr>
    </w:p>
    <w:p w14:paraId="56D399D8">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color w:val="auto"/>
          <w:kern w:val="0"/>
          <w:sz w:val="21"/>
          <w:szCs w:val="21"/>
          <w:highlight w:val="none"/>
        </w:rPr>
      </w:pPr>
      <w:bookmarkStart w:id="68" w:name="_Toc29525"/>
      <w:bookmarkStart w:id="69" w:name="_Toc29417"/>
      <w:r>
        <w:rPr>
          <w:rFonts w:hint="eastAsia" w:ascii="宋体" w:hAnsi="宋体" w:eastAsia="宋体" w:cs="宋体"/>
          <w:b/>
          <w:bCs w:val="0"/>
          <w:color w:val="auto"/>
          <w:kern w:val="0"/>
          <w:sz w:val="21"/>
          <w:szCs w:val="21"/>
          <w:highlight w:val="none"/>
          <w:lang w:val="en-US" w:eastAsia="zh-CN"/>
        </w:rPr>
        <w:t>第一节</w:t>
      </w:r>
      <w:r>
        <w:rPr>
          <w:rFonts w:hint="eastAsia" w:ascii="宋体" w:hAnsi="宋体" w:eastAsia="宋体" w:cs="宋体"/>
          <w:b/>
          <w:bCs w:val="0"/>
          <w:color w:val="auto"/>
          <w:kern w:val="0"/>
          <w:sz w:val="21"/>
          <w:szCs w:val="21"/>
          <w:highlight w:val="none"/>
        </w:rPr>
        <w:t xml:space="preserve">  合同协议书</w:t>
      </w:r>
      <w:bookmarkEnd w:id="68"/>
      <w:bookmarkEnd w:id="69"/>
    </w:p>
    <w:p w14:paraId="2A46D91B">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rPr>
        <w:t xml:space="preserve">                           </w:t>
      </w:r>
    </w:p>
    <w:p w14:paraId="36573C4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rPr>
        <w:t xml:space="preserve">                           </w:t>
      </w:r>
    </w:p>
    <w:p w14:paraId="51698EF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泾阳县老年人服务中心(泾阳县中心敬老院)提升改造项目</w:t>
      </w:r>
      <w:r>
        <w:rPr>
          <w:rFonts w:hint="eastAsia" w:ascii="宋体" w:hAnsi="宋体" w:eastAsia="宋体" w:cs="宋体"/>
          <w:color w:val="auto"/>
          <w:sz w:val="21"/>
          <w:szCs w:val="21"/>
          <w:highlight w:val="none"/>
        </w:rPr>
        <w:t>施工及有关事项协商一致，共同达成如下协议：</w:t>
      </w:r>
    </w:p>
    <w:p w14:paraId="376E0165">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70" w:name="_Toc351203481"/>
      <w:r>
        <w:rPr>
          <w:rFonts w:hint="eastAsia" w:ascii="宋体" w:hAnsi="宋体" w:eastAsia="宋体" w:cs="宋体"/>
          <w:b/>
          <w:color w:val="auto"/>
          <w:sz w:val="21"/>
          <w:szCs w:val="21"/>
          <w:highlight w:val="none"/>
        </w:rPr>
        <w:t>一、工程概况</w:t>
      </w:r>
      <w:bookmarkEnd w:id="70"/>
    </w:p>
    <w:p w14:paraId="7B8EBA8C">
      <w:pPr>
        <w:keepNext w:val="0"/>
        <w:keepLines w:val="0"/>
        <w:pageBreakBefore w:val="0"/>
        <w:kinsoku/>
        <w:wordWrap/>
        <w:overflowPunct/>
        <w:topLinePunct w:val="0"/>
        <w:bidi w:val="0"/>
        <w:spacing w:line="360" w:lineRule="exact"/>
        <w:ind w:left="0" w:leftChars="0" w:firstLine="420" w:firstLineChars="200"/>
        <w:textAlignment w:val="auto"/>
        <w:rPr>
          <w:rFonts w:hint="default" w:ascii="宋体" w:hAnsi="宋体" w:eastAsia="宋体" w:cs="宋体"/>
          <w:i w:val="0"/>
          <w:iCs w:val="0"/>
          <w:caps w:val="0"/>
          <w:color w:val="auto"/>
          <w:spacing w:val="0"/>
          <w:sz w:val="21"/>
          <w:szCs w:val="21"/>
          <w:highlight w:val="none"/>
          <w:u w:val="single"/>
          <w:shd w:val="clear" w:fill="FFFFFF"/>
          <w:vertAlign w:val="baseline"/>
          <w:lang w:val="en-US"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泾阳县老年人服务中心(泾阳县中心敬老院)提升改造项目</w:t>
      </w:r>
    </w:p>
    <w:p w14:paraId="38FB77B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lang w:val="en-US" w:eastAsia="zh-CN"/>
        </w:rPr>
        <w:t xml:space="preserve">                             </w:t>
      </w:r>
    </w:p>
    <w:p w14:paraId="77940C0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0899FDD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58F8F77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   详见工程量清单        </w:t>
      </w:r>
      <w:r>
        <w:rPr>
          <w:rFonts w:hint="eastAsia" w:ascii="宋体" w:hAnsi="宋体" w:eastAsia="宋体" w:cs="宋体"/>
          <w:bCs/>
          <w:color w:val="auto"/>
          <w:sz w:val="21"/>
          <w:szCs w:val="21"/>
          <w:highlight w:val="none"/>
        </w:rPr>
        <w:t>。</w:t>
      </w:r>
    </w:p>
    <w:p w14:paraId="798A128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6.工程承包范围：</w:t>
      </w:r>
      <w:r>
        <w:rPr>
          <w:rFonts w:hint="eastAsia" w:ascii="宋体" w:hAnsi="宋体" w:eastAsia="宋体" w:cs="宋体"/>
          <w:bCs/>
          <w:color w:val="auto"/>
          <w:sz w:val="21"/>
          <w:szCs w:val="21"/>
          <w:highlight w:val="none"/>
          <w:u w:val="single"/>
        </w:rPr>
        <w:t>工程量清单、答疑以及本</w:t>
      </w:r>
      <w:r>
        <w:rPr>
          <w:rFonts w:hint="eastAsia" w:ascii="宋体" w:hAnsi="宋体" w:eastAsia="宋体" w:cs="宋体"/>
          <w:bCs/>
          <w:color w:val="auto"/>
          <w:sz w:val="21"/>
          <w:szCs w:val="21"/>
          <w:highlight w:val="none"/>
          <w:u w:val="single"/>
          <w:lang w:eastAsia="zh-CN"/>
        </w:rPr>
        <w:t>竞争性磋商文件</w:t>
      </w:r>
      <w:r>
        <w:rPr>
          <w:rFonts w:hint="eastAsia" w:ascii="宋体" w:hAnsi="宋体" w:eastAsia="宋体" w:cs="宋体"/>
          <w:bCs/>
          <w:color w:val="auto"/>
          <w:sz w:val="21"/>
          <w:szCs w:val="21"/>
          <w:highlight w:val="none"/>
          <w:u w:val="single"/>
        </w:rPr>
        <w:t>规定的全部内容。文字与清单不符时，以清单为准。</w:t>
      </w:r>
    </w:p>
    <w:p w14:paraId="71EEE6D5">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71" w:name="_Toc351203482"/>
      <w:r>
        <w:rPr>
          <w:rFonts w:hint="eastAsia" w:ascii="宋体" w:hAnsi="宋体" w:eastAsia="宋体" w:cs="宋体"/>
          <w:b/>
          <w:color w:val="auto"/>
          <w:sz w:val="21"/>
          <w:szCs w:val="21"/>
          <w:highlight w:val="none"/>
        </w:rPr>
        <w:t>二、合同工期</w:t>
      </w:r>
      <w:bookmarkEnd w:id="71"/>
    </w:p>
    <w:p w14:paraId="3548012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D16DC4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0ABBA1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67454958">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72" w:name="_Toc351203483"/>
      <w:r>
        <w:rPr>
          <w:rFonts w:hint="eastAsia" w:ascii="宋体" w:hAnsi="宋体" w:eastAsia="宋体" w:cs="宋体"/>
          <w:b/>
          <w:color w:val="auto"/>
          <w:sz w:val="21"/>
          <w:szCs w:val="21"/>
          <w:highlight w:val="none"/>
        </w:rPr>
        <w:t>三、质量标准</w:t>
      </w:r>
      <w:bookmarkEnd w:id="72"/>
    </w:p>
    <w:p w14:paraId="799F60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 xml:space="preserve"> 标准。</w:t>
      </w:r>
    </w:p>
    <w:p w14:paraId="5EC2385F">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73" w:name="_Toc351203484"/>
      <w:r>
        <w:rPr>
          <w:rFonts w:hint="eastAsia" w:ascii="宋体" w:hAnsi="宋体" w:eastAsia="宋体" w:cs="宋体"/>
          <w:b/>
          <w:color w:val="auto"/>
          <w:sz w:val="21"/>
          <w:szCs w:val="21"/>
          <w:highlight w:val="none"/>
        </w:rPr>
        <w:t>四、签约合同价与合同价格形式</w:t>
      </w:r>
      <w:bookmarkEnd w:id="73"/>
      <w:r>
        <w:rPr>
          <w:rFonts w:hint="eastAsia" w:ascii="宋体" w:hAnsi="宋体" w:eastAsia="宋体" w:cs="宋体"/>
          <w:b/>
          <w:color w:val="auto"/>
          <w:sz w:val="21"/>
          <w:szCs w:val="21"/>
          <w:highlight w:val="none"/>
        </w:rPr>
        <w:tab/>
      </w:r>
    </w:p>
    <w:p w14:paraId="7F19BA2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13F77CF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75EA2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   </w:t>
      </w:r>
    </w:p>
    <w:p w14:paraId="51E94E3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793B17C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9F322F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总价</w:t>
      </w:r>
      <w:r>
        <w:rPr>
          <w:rFonts w:hint="eastAsia" w:ascii="宋体" w:hAnsi="宋体" w:eastAsia="宋体" w:cs="宋体"/>
          <w:color w:val="auto"/>
          <w:sz w:val="21"/>
          <w:szCs w:val="21"/>
          <w:highlight w:val="none"/>
          <w:u w:val="single"/>
        </w:rPr>
        <w:t xml:space="preserve">合同           </w:t>
      </w:r>
      <w:r>
        <w:rPr>
          <w:rFonts w:hint="eastAsia" w:ascii="宋体" w:hAnsi="宋体" w:eastAsia="宋体" w:cs="宋体"/>
          <w:color w:val="auto"/>
          <w:sz w:val="21"/>
          <w:szCs w:val="21"/>
          <w:highlight w:val="none"/>
        </w:rPr>
        <w:t>。</w:t>
      </w:r>
    </w:p>
    <w:p w14:paraId="6AD7A7AD">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74" w:name="_Toc351203485"/>
      <w:r>
        <w:rPr>
          <w:rFonts w:hint="eastAsia" w:ascii="宋体" w:hAnsi="宋体" w:eastAsia="宋体" w:cs="宋体"/>
          <w:b/>
          <w:color w:val="auto"/>
          <w:sz w:val="21"/>
          <w:szCs w:val="21"/>
          <w:highlight w:val="none"/>
        </w:rPr>
        <w:t>五、</w:t>
      </w:r>
      <w:bookmarkEnd w:id="74"/>
      <w:r>
        <w:rPr>
          <w:rFonts w:hint="eastAsia" w:ascii="宋体" w:hAnsi="宋体" w:eastAsia="宋体" w:cs="宋体"/>
          <w:b/>
          <w:color w:val="auto"/>
          <w:sz w:val="21"/>
          <w:szCs w:val="21"/>
          <w:highlight w:val="none"/>
        </w:rPr>
        <w:t>项目经理</w:t>
      </w:r>
    </w:p>
    <w:p w14:paraId="64AAF7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5F5AD9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75" w:name="_Toc351203486"/>
      <w:r>
        <w:rPr>
          <w:rFonts w:hint="eastAsia" w:ascii="宋体" w:hAnsi="宋体" w:eastAsia="宋体" w:cs="宋体"/>
          <w:b/>
          <w:color w:val="auto"/>
          <w:sz w:val="21"/>
          <w:szCs w:val="21"/>
          <w:highlight w:val="none"/>
        </w:rPr>
        <w:t>六、合同文件构成</w:t>
      </w:r>
      <w:bookmarkEnd w:id="75"/>
    </w:p>
    <w:p w14:paraId="74165CA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1566E856">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（1）成交通知书；</w:t>
      </w:r>
    </w:p>
    <w:p w14:paraId="7A9C817A">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（2）响应函； </w:t>
      </w:r>
    </w:p>
    <w:p w14:paraId="3911F6DD">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3A86BAE2">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5CCB8444">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111567F">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1D016BCF">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87EF559">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C8D4E7B">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2793DD70">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0512FC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76" w:name="_Toc351203487"/>
      <w:r>
        <w:rPr>
          <w:rFonts w:hint="eastAsia" w:ascii="宋体" w:hAnsi="宋体" w:eastAsia="宋体" w:cs="宋体"/>
          <w:b/>
          <w:color w:val="auto"/>
          <w:sz w:val="21"/>
          <w:szCs w:val="21"/>
          <w:highlight w:val="none"/>
        </w:rPr>
        <w:t>七、承诺</w:t>
      </w:r>
      <w:bookmarkEnd w:id="76"/>
    </w:p>
    <w:p w14:paraId="55AFFE5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16B93C7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C17D8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646D8292">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7" w:name="_Toc351203488"/>
      <w:r>
        <w:rPr>
          <w:rFonts w:hint="eastAsia" w:ascii="宋体" w:hAnsi="宋体" w:eastAsia="宋体" w:cs="宋体"/>
          <w:b/>
          <w:color w:val="auto"/>
          <w:sz w:val="21"/>
          <w:szCs w:val="21"/>
          <w:highlight w:val="none"/>
        </w:rPr>
        <w:t>八、词语含义</w:t>
      </w:r>
      <w:bookmarkEnd w:id="77"/>
    </w:p>
    <w:p w14:paraId="21FFDC7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5C66DABB">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8" w:name="_Toc351203489"/>
      <w:r>
        <w:rPr>
          <w:rFonts w:hint="eastAsia" w:ascii="宋体" w:hAnsi="宋体" w:eastAsia="宋体" w:cs="宋体"/>
          <w:b/>
          <w:color w:val="auto"/>
          <w:sz w:val="21"/>
          <w:szCs w:val="21"/>
          <w:highlight w:val="none"/>
        </w:rPr>
        <w:t>九、签订时间</w:t>
      </w:r>
      <w:bookmarkEnd w:id="78"/>
    </w:p>
    <w:p w14:paraId="700563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1F516304">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9" w:name="_Toc351203490"/>
      <w:r>
        <w:rPr>
          <w:rFonts w:hint="eastAsia" w:ascii="宋体" w:hAnsi="宋体" w:eastAsia="宋体" w:cs="宋体"/>
          <w:b/>
          <w:color w:val="auto"/>
          <w:sz w:val="21"/>
          <w:szCs w:val="21"/>
          <w:highlight w:val="none"/>
        </w:rPr>
        <w:t>十、签订地点</w:t>
      </w:r>
      <w:bookmarkEnd w:id="79"/>
    </w:p>
    <w:p w14:paraId="1229636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F361AE0">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80" w:name="_Toc351203491"/>
      <w:r>
        <w:rPr>
          <w:rFonts w:hint="eastAsia" w:ascii="宋体" w:hAnsi="宋体" w:eastAsia="宋体" w:cs="宋体"/>
          <w:b/>
          <w:color w:val="auto"/>
          <w:sz w:val="21"/>
          <w:szCs w:val="21"/>
          <w:highlight w:val="none"/>
        </w:rPr>
        <w:t>十一、补充协议</w:t>
      </w:r>
      <w:bookmarkEnd w:id="80"/>
    </w:p>
    <w:p w14:paraId="661804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21BB4BDD">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81" w:name="_Toc351203492"/>
      <w:r>
        <w:rPr>
          <w:rFonts w:hint="eastAsia" w:ascii="宋体" w:hAnsi="宋体" w:eastAsia="宋体" w:cs="宋体"/>
          <w:b/>
          <w:color w:val="auto"/>
          <w:sz w:val="21"/>
          <w:szCs w:val="21"/>
          <w:highlight w:val="none"/>
        </w:rPr>
        <w:t>十二、合同生效</w:t>
      </w:r>
      <w:bookmarkEnd w:id="81"/>
    </w:p>
    <w:p w14:paraId="05D7D0A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双方签字盖章后     </w:t>
      </w:r>
      <w:r>
        <w:rPr>
          <w:rFonts w:hint="eastAsia" w:ascii="宋体" w:hAnsi="宋体" w:eastAsia="宋体" w:cs="宋体"/>
          <w:bCs/>
          <w:color w:val="auto"/>
          <w:sz w:val="21"/>
          <w:szCs w:val="21"/>
          <w:highlight w:val="none"/>
        </w:rPr>
        <w:t>生效。</w:t>
      </w:r>
    </w:p>
    <w:p w14:paraId="350BFDB3">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82" w:name="_Toc351203493"/>
      <w:r>
        <w:rPr>
          <w:rFonts w:hint="eastAsia" w:ascii="宋体" w:hAnsi="宋体" w:eastAsia="宋体" w:cs="宋体"/>
          <w:b/>
          <w:color w:val="auto"/>
          <w:sz w:val="21"/>
          <w:szCs w:val="21"/>
          <w:highlight w:val="none"/>
        </w:rPr>
        <w:t>十三、合同份数</w:t>
      </w:r>
      <w:bookmarkEnd w:id="82"/>
    </w:p>
    <w:p w14:paraId="1A5573C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58B75B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                                 </w:t>
      </w:r>
    </w:p>
    <w:p w14:paraId="7DA04B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09F97A0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647FD68C">
      <w:pPr>
        <w:keepNext w:val="0"/>
        <w:keepLines w:val="0"/>
        <w:pageBreakBefore w:val="0"/>
        <w:tabs>
          <w:tab w:val="left" w:pos="4410"/>
        </w:tabs>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6F5D35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p>
    <w:p w14:paraId="69BE56D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438887C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p>
    <w:p w14:paraId="71581E4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p>
    <w:p w14:paraId="39C60A5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3496010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邮  </w:t>
      </w:r>
      <w:r>
        <w:rPr>
          <w:rFonts w:hint="eastAsia" w:ascii="宋体" w:hAnsi="宋体" w:eastAsia="宋体" w:cs="宋体"/>
          <w:color w:val="auto"/>
          <w:sz w:val="21"/>
          <w:szCs w:val="21"/>
          <w:highlight w:val="none"/>
        </w:rPr>
        <w:t>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邮  </w:t>
      </w:r>
      <w:r>
        <w:rPr>
          <w:rFonts w:hint="eastAsia" w:ascii="宋体" w:hAnsi="宋体" w:eastAsia="宋体" w:cs="宋体"/>
          <w:color w:val="auto"/>
          <w:sz w:val="21"/>
          <w:szCs w:val="21"/>
          <w:highlight w:val="none"/>
        </w:rPr>
        <w:t>箱：</w:t>
      </w:r>
      <w:r>
        <w:rPr>
          <w:rFonts w:hint="eastAsia" w:ascii="宋体" w:hAnsi="宋体" w:eastAsia="宋体" w:cs="宋体"/>
          <w:color w:val="auto"/>
          <w:sz w:val="21"/>
          <w:szCs w:val="21"/>
          <w:highlight w:val="none"/>
          <w:u w:val="single"/>
        </w:rPr>
        <w:t xml:space="preserve">                    </w:t>
      </w:r>
    </w:p>
    <w:p w14:paraId="69EB449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0E4A6FE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7E36DC43">
      <w:pPr>
        <w:pStyle w:val="2"/>
        <w:keepLines w:val="0"/>
        <w:pageBreakBefore w:val="0"/>
        <w:kinsoku/>
        <w:wordWrap/>
        <w:overflowPunct/>
        <w:topLinePunct w:val="0"/>
        <w:bidi w:val="0"/>
        <w:spacing w:line="360" w:lineRule="exact"/>
        <w:ind w:left="0" w:leftChars="0" w:firstLine="422" w:firstLineChars="200"/>
        <w:jc w:val="both"/>
        <w:textAlignment w:val="auto"/>
        <w:outlineLvl w:val="9"/>
        <w:rPr>
          <w:rFonts w:hint="eastAsia" w:ascii="宋体" w:hAnsi="宋体" w:eastAsia="宋体" w:cs="宋体"/>
          <w:b/>
          <w:bCs/>
          <w:color w:val="auto"/>
          <w:sz w:val="21"/>
          <w:szCs w:val="21"/>
          <w:lang w:val="zh-CN"/>
        </w:rPr>
      </w:pPr>
    </w:p>
    <w:p w14:paraId="1052EC8A">
      <w:pPr>
        <w:pStyle w:val="16"/>
        <w:keepLines w:val="0"/>
        <w:pageBreakBefore w:val="0"/>
        <w:kinsoku/>
        <w:wordWrap/>
        <w:overflowPunct/>
        <w:topLinePunct w:val="0"/>
        <w:bidi w:val="0"/>
        <w:spacing w:line="360" w:lineRule="exact"/>
        <w:textAlignment w:val="auto"/>
        <w:rPr>
          <w:rFonts w:hint="eastAsia" w:ascii="宋体" w:hAnsi="宋体" w:eastAsia="宋体" w:cs="宋体"/>
          <w:b/>
          <w:bCs/>
          <w:color w:val="auto"/>
          <w:sz w:val="21"/>
          <w:szCs w:val="21"/>
          <w:lang w:val="zh-CN"/>
        </w:rPr>
      </w:pPr>
    </w:p>
    <w:p w14:paraId="32A52723">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bCs/>
          <w:color w:val="auto"/>
          <w:kern w:val="0"/>
          <w:sz w:val="21"/>
          <w:szCs w:val="21"/>
          <w:highlight w:val="none"/>
        </w:rPr>
      </w:pPr>
      <w:bookmarkStart w:id="83" w:name="_Toc23063"/>
      <w:bookmarkStart w:id="84" w:name="_Toc9221"/>
      <w:r>
        <w:rPr>
          <w:rFonts w:hint="eastAsia" w:ascii="宋体" w:hAnsi="宋体" w:eastAsia="宋体" w:cs="宋体"/>
          <w:b/>
          <w:bCs w:val="0"/>
          <w:color w:val="auto"/>
          <w:kern w:val="0"/>
          <w:sz w:val="21"/>
          <w:szCs w:val="21"/>
          <w:highlight w:val="none"/>
          <w:lang w:val="en-US" w:eastAsia="zh-CN"/>
        </w:rPr>
        <w:t>第二节  通用合同条款</w:t>
      </w:r>
      <w:bookmarkEnd w:id="83"/>
      <w:bookmarkEnd w:id="84"/>
    </w:p>
    <w:p w14:paraId="5B661826">
      <w:pPr>
        <w:keepNext w:val="0"/>
        <w:keepLines w:val="0"/>
        <w:pageBreakBefore w:val="0"/>
        <w:kinsoku/>
        <w:wordWrap/>
        <w:overflowPunct/>
        <w:topLinePunct w:val="0"/>
        <w:bidi w:val="0"/>
        <w:spacing w:line="360" w:lineRule="exact"/>
        <w:ind w:left="0" w:leftChars="0" w:firstLine="420" w:firstLineChars="200"/>
        <w:jc w:val="center"/>
        <w:textAlignment w:val="auto"/>
        <w:rPr>
          <w:rFonts w:hint="eastAsia" w:ascii="宋体" w:hAnsi="宋体" w:eastAsia="宋体" w:cs="宋体"/>
          <w:color w:val="auto"/>
          <w:kern w:val="0"/>
          <w:sz w:val="21"/>
          <w:szCs w:val="21"/>
          <w:highlight w:val="none"/>
        </w:rPr>
      </w:pPr>
    </w:p>
    <w:p w14:paraId="2904E0EC">
      <w:pPr>
        <w:keepNext w:val="0"/>
        <w:keepLines w:val="0"/>
        <w:pageBreakBefore w:val="0"/>
        <w:kinsoku/>
        <w:wordWrap/>
        <w:overflowPunct/>
        <w:topLinePunct w:val="0"/>
        <w:bidi w:val="0"/>
        <w:spacing w:line="360" w:lineRule="exact"/>
        <w:ind w:left="0" w:leftChars="0" w:firstLine="2520" w:firstLineChars="1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详见建设工程施工合同示范文本通用合同条款</w:t>
      </w:r>
    </w:p>
    <w:p w14:paraId="54CB91B3">
      <w:pPr>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lang w:val="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linePitch="312" w:charSpace="0"/>
        </w:sectPr>
      </w:pPr>
    </w:p>
    <w:p w14:paraId="2FAA4FF8">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bCs/>
          <w:color w:val="auto"/>
          <w:kern w:val="0"/>
          <w:sz w:val="21"/>
          <w:szCs w:val="21"/>
          <w:highlight w:val="none"/>
        </w:rPr>
      </w:pPr>
      <w:bookmarkStart w:id="85" w:name="_Toc30167"/>
      <w:bookmarkStart w:id="86" w:name="_Toc10129"/>
      <w:r>
        <w:rPr>
          <w:rFonts w:hint="eastAsia" w:ascii="宋体" w:hAnsi="宋体" w:eastAsia="宋体" w:cs="宋体"/>
          <w:b/>
          <w:bCs w:val="0"/>
          <w:color w:val="auto"/>
          <w:kern w:val="0"/>
          <w:sz w:val="21"/>
          <w:szCs w:val="21"/>
          <w:highlight w:val="none"/>
          <w:lang w:val="en-US" w:eastAsia="zh-CN"/>
        </w:rPr>
        <w:t>第三节   专用合同条款</w:t>
      </w:r>
      <w:bookmarkEnd w:id="85"/>
      <w:bookmarkEnd w:id="86"/>
    </w:p>
    <w:p w14:paraId="3A4EA87E">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87" w:name="_Toc351203633"/>
      <w:r>
        <w:rPr>
          <w:rFonts w:hint="eastAsia" w:ascii="宋体" w:hAnsi="宋体" w:eastAsia="宋体" w:cs="宋体"/>
          <w:b/>
          <w:bCs/>
          <w:color w:val="auto"/>
          <w:sz w:val="21"/>
          <w:szCs w:val="21"/>
          <w:highlight w:val="none"/>
        </w:rPr>
        <w:t>1</w:t>
      </w:r>
      <w:bookmarkStart w:id="88" w:name="_Toc296890984"/>
      <w:bookmarkStart w:id="89" w:name="_Toc296944495"/>
      <w:bookmarkStart w:id="90" w:name="_Toc297120456"/>
      <w:bookmarkStart w:id="91" w:name="_Toc296346657"/>
      <w:bookmarkStart w:id="92" w:name="_Toc296503156"/>
      <w:bookmarkStart w:id="93" w:name="_Toc292559361"/>
      <w:bookmarkStart w:id="94" w:name="_Toc297048342"/>
      <w:bookmarkStart w:id="95" w:name="_Toc296347155"/>
      <w:bookmarkStart w:id="96" w:name="_Toc296891196"/>
      <w:bookmarkStart w:id="97" w:name="_Toc292559866"/>
      <w:r>
        <w:rPr>
          <w:rFonts w:hint="eastAsia" w:ascii="宋体" w:hAnsi="宋体" w:eastAsia="宋体" w:cs="宋体"/>
          <w:b/>
          <w:bCs/>
          <w:color w:val="auto"/>
          <w:sz w:val="21"/>
          <w:szCs w:val="21"/>
          <w:highlight w:val="none"/>
        </w:rPr>
        <w:t>.一般约定</w:t>
      </w:r>
      <w:bookmarkEnd w:id="87"/>
    </w:p>
    <w:bookmarkEnd w:id="88"/>
    <w:bookmarkEnd w:id="89"/>
    <w:bookmarkEnd w:id="90"/>
    <w:bookmarkEnd w:id="91"/>
    <w:bookmarkEnd w:id="92"/>
    <w:bookmarkEnd w:id="93"/>
    <w:bookmarkEnd w:id="94"/>
    <w:bookmarkEnd w:id="95"/>
    <w:bookmarkEnd w:id="96"/>
    <w:bookmarkEnd w:id="97"/>
    <w:p w14:paraId="394DEA7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3358BD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79C6319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 w:val="21"/>
          <w:szCs w:val="21"/>
          <w:highlight w:val="none"/>
          <w:u w:val="single"/>
        </w:rPr>
        <w:t>1、合同签署及履行中承发包双方之间澄清、洽商、变更等明确双方权利义务的纪要、补充协议2、本合同协议书3、中标通知书4、本合同专用条款5、本合同通用条款6、施工</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及附件7、标准、规范及有关技术文件 8、施工投标文件及附件9、工程量清单10、工程报价单或预算书。</w:t>
      </w:r>
    </w:p>
    <w:p w14:paraId="4E6E4D3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01E8EB6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107C9D6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用地红线内             </w:t>
      </w:r>
      <w:r>
        <w:rPr>
          <w:rFonts w:hint="eastAsia" w:ascii="宋体" w:hAnsi="宋体" w:eastAsia="宋体" w:cs="宋体"/>
          <w:color w:val="auto"/>
          <w:kern w:val="0"/>
          <w:sz w:val="21"/>
          <w:szCs w:val="21"/>
          <w:highlight w:val="none"/>
        </w:rPr>
        <w:t>。</w:t>
      </w:r>
    </w:p>
    <w:p w14:paraId="1BFE5B4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施工过程中的临时用房，生产用地等</w:t>
      </w:r>
      <w:r>
        <w:rPr>
          <w:rFonts w:hint="eastAsia" w:ascii="宋体" w:hAnsi="宋体" w:eastAsia="宋体" w:cs="宋体"/>
          <w:color w:val="auto"/>
          <w:kern w:val="0"/>
          <w:sz w:val="21"/>
          <w:szCs w:val="21"/>
          <w:highlight w:val="none"/>
        </w:rPr>
        <w:t>。</w:t>
      </w:r>
    </w:p>
    <w:p w14:paraId="1D6266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15602075">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中华人民共和国建筑法》、《中华人民共和国民法典》、《中华人民共和国政府采购法》、国务院《建设工程质量管理条例》、国务院《建设工程安全生产管理条例》、建设部《房屋建筑工程和市政基础设施工程竣工验收备案管理暂行办法》、建设部《房屋建筑工程质量保修办法》、《陕西省建设工程工程量清单计价规则》（20</w:t>
      </w:r>
      <w:r>
        <w:rPr>
          <w:rFonts w:hint="eastAsia" w:ascii="宋体" w:hAnsi="宋体" w:cs="宋体"/>
          <w:color w:val="auto"/>
          <w:sz w:val="21"/>
          <w:szCs w:val="21"/>
          <w:highlight w:val="none"/>
          <w:u w:val="single"/>
          <w:lang w:val="en-US" w:eastAsia="zh-CN"/>
        </w:rPr>
        <w:t>25</w:t>
      </w:r>
      <w:r>
        <w:rPr>
          <w:rFonts w:hint="eastAsia" w:ascii="宋体" w:hAnsi="宋体" w:eastAsia="宋体" w:cs="宋体"/>
          <w:color w:val="auto"/>
          <w:sz w:val="21"/>
          <w:szCs w:val="21"/>
          <w:highlight w:val="none"/>
          <w:u w:val="single"/>
        </w:rPr>
        <w:t>版）、中华人民共和国《工程建设标准强制性条文》、现行《建筑工程质量验收统一标准》、《建筑工程施工及验收规范》等国家、部门及地方现行及后续的有关法律、法规、规章、规范性文件等</w:t>
      </w:r>
      <w:r>
        <w:rPr>
          <w:rFonts w:hint="eastAsia" w:ascii="宋体" w:hAnsi="宋体" w:eastAsia="宋体" w:cs="宋体"/>
          <w:color w:val="auto"/>
          <w:sz w:val="21"/>
          <w:szCs w:val="21"/>
          <w:highlight w:val="none"/>
        </w:rPr>
        <w:t>。</w:t>
      </w:r>
    </w:p>
    <w:p w14:paraId="23C38F2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4F2281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执行国家现行的技术标准、施工验收规范及质量检验评定标准，以及材料、设备所涉及的现行国家、省、市或行业的工程建设标准、规范的要求</w:t>
      </w:r>
      <w:r>
        <w:rPr>
          <w:rFonts w:hint="eastAsia" w:ascii="宋体" w:hAnsi="宋体" w:eastAsia="宋体" w:cs="宋体"/>
          <w:color w:val="auto"/>
          <w:sz w:val="21"/>
          <w:szCs w:val="21"/>
          <w:highlight w:val="none"/>
        </w:rPr>
        <w:t>。</w:t>
      </w:r>
    </w:p>
    <w:p w14:paraId="0C02784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6B11E2C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1、合同签署及履行中承发包双方之间澄清、洽商、变更等明确双方权利义务的纪要、补充协议2、本合同协议书3、中标通知书4、本合同专用条款及其附件5、本合同通用条款6、施工</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及附件7、标准、规范及有关技术文件8、施工投标文件及附件9、工程量清单10、工程报价单或预算书，以及其他合同文件</w:t>
      </w:r>
      <w:r>
        <w:rPr>
          <w:rFonts w:hint="eastAsia" w:ascii="宋体" w:hAnsi="宋体" w:eastAsia="宋体" w:cs="宋体"/>
          <w:color w:val="auto"/>
          <w:sz w:val="21"/>
          <w:szCs w:val="21"/>
          <w:highlight w:val="none"/>
        </w:rPr>
        <w:t>。</w:t>
      </w:r>
    </w:p>
    <w:p w14:paraId="2F1138E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2A2DE5F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1.6.1 图纸的提供：</w:t>
      </w:r>
    </w:p>
    <w:p w14:paraId="79C4CA8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在合同签订后5日内；</w:t>
      </w:r>
    </w:p>
    <w:p w14:paraId="09E9176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四套，标准图由承包人自备；</w:t>
      </w:r>
    </w:p>
    <w:p w14:paraId="14BB93B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施工图（包括水、电、暖、结构、建筑等）。</w:t>
      </w:r>
    </w:p>
    <w:p w14:paraId="222F64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1544547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 xml:space="preserve">施工组织设计（施工方案）、工期进度计划、安全文明施工措施、人员安排等 </w:t>
      </w:r>
      <w:r>
        <w:rPr>
          <w:rFonts w:hint="eastAsia" w:ascii="宋体" w:hAnsi="宋体" w:eastAsia="宋体" w:cs="宋体"/>
          <w:color w:val="auto"/>
          <w:sz w:val="21"/>
          <w:szCs w:val="21"/>
          <w:highlight w:val="none"/>
        </w:rPr>
        <w:t>；</w:t>
      </w:r>
    </w:p>
    <w:p w14:paraId="4B49B1D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 xml:space="preserve">开工前5日内 </w:t>
      </w:r>
      <w:r>
        <w:rPr>
          <w:rFonts w:hint="eastAsia" w:ascii="宋体" w:hAnsi="宋体" w:eastAsia="宋体" w:cs="宋体"/>
          <w:color w:val="auto"/>
          <w:sz w:val="21"/>
          <w:szCs w:val="21"/>
          <w:highlight w:val="none"/>
        </w:rPr>
        <w:t>；</w:t>
      </w:r>
    </w:p>
    <w:p w14:paraId="7D05448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 xml:space="preserve">不少于5份   </w:t>
      </w:r>
      <w:r>
        <w:rPr>
          <w:rFonts w:hint="eastAsia" w:ascii="宋体" w:hAnsi="宋体" w:eastAsia="宋体" w:cs="宋体"/>
          <w:color w:val="auto"/>
          <w:sz w:val="21"/>
          <w:szCs w:val="21"/>
          <w:highlight w:val="none"/>
        </w:rPr>
        <w:t>；</w:t>
      </w:r>
    </w:p>
    <w:p w14:paraId="74E9BE6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纸质文件   </w:t>
      </w:r>
      <w:r>
        <w:rPr>
          <w:rFonts w:hint="eastAsia" w:ascii="宋体" w:hAnsi="宋体" w:eastAsia="宋体" w:cs="宋体"/>
          <w:color w:val="auto"/>
          <w:sz w:val="21"/>
          <w:szCs w:val="21"/>
          <w:highlight w:val="none"/>
        </w:rPr>
        <w:t>；</w:t>
      </w:r>
    </w:p>
    <w:p w14:paraId="53E632F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接到承包人文件后7日内</w:t>
      </w:r>
      <w:r>
        <w:rPr>
          <w:rFonts w:hint="eastAsia" w:ascii="宋体" w:hAnsi="宋体" w:eastAsia="宋体" w:cs="宋体"/>
          <w:color w:val="auto"/>
          <w:sz w:val="21"/>
          <w:szCs w:val="21"/>
          <w:highlight w:val="none"/>
        </w:rPr>
        <w:t>。</w:t>
      </w:r>
    </w:p>
    <w:p w14:paraId="7101696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522E5A2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执行通用条款。</w:t>
      </w:r>
    </w:p>
    <w:p w14:paraId="2A0ED7C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41B20E5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7</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66FDDB5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6350478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8" w:name="_Toc318581155"/>
      <w:bookmarkStart w:id="99" w:name="_Toc303539100"/>
      <w:bookmarkStart w:id="100" w:name="_Toc300934943"/>
      <w:bookmarkStart w:id="101" w:name="_Toc304295521"/>
      <w:bookmarkStart w:id="102" w:name="_Toc312677986"/>
      <w:r>
        <w:rPr>
          <w:rFonts w:hint="eastAsia" w:ascii="宋体" w:hAnsi="宋体" w:eastAsia="宋体" w:cs="宋体"/>
          <w:color w:val="auto"/>
          <w:sz w:val="21"/>
          <w:szCs w:val="21"/>
          <w:highlight w:val="none"/>
        </w:rPr>
        <w:t>.10.1 出入现场的权利</w:t>
      </w:r>
    </w:p>
    <w:p w14:paraId="0872E00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关于出入现场的权利的约定：承包人负责现场管理，</w:t>
      </w:r>
      <w:r>
        <w:rPr>
          <w:rFonts w:hint="eastAsia" w:ascii="宋体" w:hAnsi="宋体" w:eastAsia="宋体" w:cs="宋体"/>
          <w:color w:val="auto"/>
          <w:kern w:val="0"/>
          <w:sz w:val="21"/>
          <w:szCs w:val="21"/>
          <w:highlight w:val="none"/>
          <w:u w:val="single"/>
        </w:rPr>
        <w:t>发包人遵守承包人现场管理的规定。</w:t>
      </w:r>
    </w:p>
    <w:bookmarkEnd w:id="98"/>
    <w:bookmarkEnd w:id="99"/>
    <w:bookmarkEnd w:id="100"/>
    <w:bookmarkEnd w:id="101"/>
    <w:bookmarkEnd w:id="102"/>
    <w:p w14:paraId="75B20B7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03" w:name="_Toc312677987"/>
      <w:bookmarkStart w:id="104" w:name="_Toc303539101"/>
      <w:bookmarkStart w:id="105" w:name="_Toc300934944"/>
      <w:bookmarkStart w:id="106" w:name="_Toc304295522"/>
      <w:bookmarkStart w:id="107" w:name="_Toc318581156"/>
      <w:r>
        <w:rPr>
          <w:rFonts w:hint="eastAsia" w:ascii="宋体" w:hAnsi="宋体" w:eastAsia="宋体" w:cs="宋体"/>
          <w:color w:val="auto"/>
          <w:sz w:val="21"/>
          <w:szCs w:val="21"/>
          <w:highlight w:val="none"/>
        </w:rPr>
        <w:t>.10.3 场内交通</w:t>
      </w:r>
    </w:p>
    <w:p w14:paraId="18A9295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施工围墙以外为场外交通，施工围墙以内为场内交通，但施工大门至公共道路处为场内交通</w:t>
      </w:r>
      <w:r>
        <w:rPr>
          <w:rFonts w:hint="eastAsia" w:ascii="宋体" w:hAnsi="宋体" w:eastAsia="宋体" w:cs="宋体"/>
          <w:color w:val="auto"/>
          <w:sz w:val="21"/>
          <w:szCs w:val="21"/>
          <w:highlight w:val="none"/>
        </w:rPr>
        <w:t>。</w:t>
      </w:r>
    </w:p>
    <w:p w14:paraId="01AAEAC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场内道路的施工及交通设施由承包人负责，场外道路设施由发包人承担。</w:t>
      </w:r>
      <w:bookmarkEnd w:id="103"/>
      <w:bookmarkEnd w:id="104"/>
      <w:bookmarkEnd w:id="105"/>
      <w:bookmarkEnd w:id="106"/>
      <w:bookmarkEnd w:id="107"/>
      <w:bookmarkStart w:id="108" w:name="_Toc318581157"/>
    </w:p>
    <w:p w14:paraId="4454045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369DF5F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承包人</w:t>
      </w:r>
      <w:r>
        <w:rPr>
          <w:rFonts w:hint="eastAsia" w:ascii="宋体" w:hAnsi="宋体" w:eastAsia="宋体" w:cs="宋体"/>
          <w:color w:val="auto"/>
          <w:sz w:val="21"/>
          <w:szCs w:val="21"/>
          <w:highlight w:val="none"/>
        </w:rPr>
        <w:t>承担。</w:t>
      </w:r>
    </w:p>
    <w:bookmarkEnd w:id="108"/>
    <w:p w14:paraId="7396A8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3B95827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1590E7E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承包人对上述文件复制应经发包人同意并记录，按受控文件要求进行管理，不得外传、外借。</w:t>
      </w:r>
    </w:p>
    <w:p w14:paraId="6AC30D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01FB1B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承包人对上述文件复制应经发包人同意并记录，按受控文件要求进行管理，不得外传、外借</w:t>
      </w:r>
      <w:r>
        <w:rPr>
          <w:rFonts w:hint="eastAsia" w:ascii="宋体" w:hAnsi="宋体" w:eastAsia="宋体" w:cs="宋体"/>
          <w:color w:val="auto"/>
          <w:sz w:val="21"/>
          <w:szCs w:val="21"/>
          <w:highlight w:val="none"/>
        </w:rPr>
        <w:t>。</w:t>
      </w:r>
    </w:p>
    <w:p w14:paraId="1E48E87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承包人自行承担</w:t>
      </w:r>
      <w:r>
        <w:rPr>
          <w:rFonts w:hint="eastAsia" w:ascii="宋体" w:hAnsi="宋体" w:eastAsia="宋体" w:cs="宋体"/>
          <w:color w:val="auto"/>
          <w:kern w:val="0"/>
          <w:sz w:val="21"/>
          <w:szCs w:val="21"/>
          <w:highlight w:val="none"/>
        </w:rPr>
        <w:t>。</w:t>
      </w:r>
    </w:p>
    <w:p w14:paraId="0A3EA8C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1401C4A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16A6AF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w:t>
      </w:r>
    </w:p>
    <w:p w14:paraId="35292948">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109" w:name="_Toc351203634"/>
      <w:r>
        <w:rPr>
          <w:rFonts w:hint="eastAsia" w:ascii="宋体" w:hAnsi="宋体" w:eastAsia="宋体" w:cs="宋体"/>
          <w:b/>
          <w:bCs/>
          <w:color w:val="auto"/>
          <w:sz w:val="21"/>
          <w:szCs w:val="21"/>
          <w:highlight w:val="none"/>
        </w:rPr>
        <w:t>2</w:t>
      </w:r>
      <w:bookmarkStart w:id="110" w:name="_Toc296346658"/>
      <w:bookmarkStart w:id="111" w:name="_Toc297120457"/>
      <w:bookmarkStart w:id="112" w:name="_Toc296347156"/>
      <w:bookmarkStart w:id="113" w:name="_Toc296503157"/>
      <w:bookmarkStart w:id="114" w:name="_Toc296944496"/>
      <w:bookmarkStart w:id="115" w:name="_Toc292559362"/>
      <w:bookmarkStart w:id="116" w:name="_Toc296890985"/>
      <w:bookmarkStart w:id="117" w:name="_Toc296891197"/>
      <w:bookmarkStart w:id="118" w:name="_Toc292559867"/>
      <w:bookmarkStart w:id="119" w:name="_Toc297048343"/>
      <w:r>
        <w:rPr>
          <w:rFonts w:hint="eastAsia" w:ascii="宋体" w:hAnsi="宋体" w:eastAsia="宋体" w:cs="宋体"/>
          <w:b/>
          <w:bCs/>
          <w:color w:val="auto"/>
          <w:sz w:val="21"/>
          <w:szCs w:val="21"/>
          <w:highlight w:val="none"/>
        </w:rPr>
        <w:t>. 发包人</w:t>
      </w:r>
      <w:bookmarkEnd w:id="109"/>
    </w:p>
    <w:bookmarkEnd w:id="110"/>
    <w:bookmarkEnd w:id="111"/>
    <w:bookmarkEnd w:id="112"/>
    <w:bookmarkEnd w:id="113"/>
    <w:bookmarkEnd w:id="114"/>
    <w:bookmarkEnd w:id="115"/>
    <w:bookmarkEnd w:id="116"/>
    <w:bookmarkEnd w:id="117"/>
    <w:bookmarkEnd w:id="118"/>
    <w:bookmarkEnd w:id="119"/>
    <w:p w14:paraId="09CD71A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187135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A2FB4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05B1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6DA71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98C56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966F0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17C76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19A8B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负责施工全过程的安全、进度、质量及现场费用控制管理、协调现场各种关系等。</w:t>
      </w:r>
    </w:p>
    <w:p w14:paraId="3265814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C60604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47B6889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sz w:val="21"/>
          <w:szCs w:val="21"/>
          <w:highlight w:val="none"/>
        </w:rPr>
        <w:t>。</w:t>
      </w:r>
    </w:p>
    <w:p w14:paraId="5767901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72D61A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p>
    <w:p w14:paraId="716B298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a、工程开工前，发包人负责将水准点与座标控制点以书面形式交给承包人，并进行现场交验，承包人正式放线后，由发包人负责及时请城建管理部门进行验线。</w:t>
      </w:r>
    </w:p>
    <w:p w14:paraId="75EF231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将施工所需的水电线路接至施工场地的时间、地点和供应要求：承包人在发包人现场指定地点，将水电引至施工现场，并配备校验合格的水电表，表后水电线路由承包人安装并向发包人交纳水电费，水电费交纳标准按规定执行，开工前由承包人同发包人水电主管部门另行签订水电供应协议。</w:t>
      </w:r>
    </w:p>
    <w:p w14:paraId="2D822D6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c、通讯线路和设备由承包人自行解决并承担其费用。</w:t>
      </w:r>
    </w:p>
    <w:p w14:paraId="30F84952">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120" w:name="_Toc351203635"/>
      <w:r>
        <w:rPr>
          <w:rFonts w:hint="eastAsia" w:ascii="宋体" w:hAnsi="宋体" w:eastAsia="宋体" w:cs="宋体"/>
          <w:b/>
          <w:bCs/>
          <w:color w:val="auto"/>
          <w:sz w:val="21"/>
          <w:szCs w:val="21"/>
          <w:highlight w:val="none"/>
        </w:rPr>
        <w:t>3</w:t>
      </w:r>
      <w:bookmarkStart w:id="121" w:name="_Toc297120458"/>
      <w:bookmarkStart w:id="122" w:name="_Toc296503158"/>
      <w:bookmarkStart w:id="123" w:name="_Toc297048344"/>
      <w:bookmarkStart w:id="124" w:name="_Toc296347157"/>
      <w:bookmarkStart w:id="125" w:name="_Toc296944497"/>
      <w:bookmarkStart w:id="126" w:name="_Toc296346659"/>
      <w:bookmarkStart w:id="127" w:name="_Toc292559868"/>
      <w:bookmarkStart w:id="128" w:name="_Toc292559363"/>
      <w:bookmarkStart w:id="129" w:name="_Toc296891198"/>
      <w:bookmarkStart w:id="130" w:name="_Toc296890986"/>
      <w:r>
        <w:rPr>
          <w:rFonts w:hint="eastAsia" w:ascii="宋体" w:hAnsi="宋体" w:eastAsia="宋体" w:cs="宋体"/>
          <w:b/>
          <w:bCs/>
          <w:color w:val="auto"/>
          <w:sz w:val="21"/>
          <w:szCs w:val="21"/>
          <w:highlight w:val="none"/>
        </w:rPr>
        <w:t>. 承包人</w:t>
      </w:r>
      <w:bookmarkEnd w:id="120"/>
    </w:p>
    <w:bookmarkEnd w:id="121"/>
    <w:bookmarkEnd w:id="122"/>
    <w:bookmarkEnd w:id="123"/>
    <w:bookmarkEnd w:id="124"/>
    <w:bookmarkEnd w:id="125"/>
    <w:bookmarkEnd w:id="126"/>
    <w:bookmarkEnd w:id="127"/>
    <w:bookmarkEnd w:id="128"/>
    <w:bookmarkEnd w:id="129"/>
    <w:bookmarkEnd w:id="130"/>
    <w:p w14:paraId="75CBF93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0204A0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竣工验收后一个月内，提交竣工图及完整资料文件。</w:t>
      </w:r>
    </w:p>
    <w:p w14:paraId="3A2F28E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不少于4套     </w:t>
      </w:r>
      <w:r>
        <w:rPr>
          <w:rFonts w:hint="eastAsia" w:ascii="宋体" w:hAnsi="宋体" w:eastAsia="宋体" w:cs="宋体"/>
          <w:color w:val="auto"/>
          <w:sz w:val="21"/>
          <w:szCs w:val="21"/>
          <w:highlight w:val="none"/>
        </w:rPr>
        <w:t>。</w:t>
      </w:r>
    </w:p>
    <w:p w14:paraId="2AB7033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承包人承担      </w:t>
      </w:r>
      <w:r>
        <w:rPr>
          <w:rFonts w:hint="eastAsia" w:ascii="宋体" w:hAnsi="宋体" w:eastAsia="宋体" w:cs="宋体"/>
          <w:color w:val="auto"/>
          <w:sz w:val="21"/>
          <w:szCs w:val="21"/>
          <w:highlight w:val="none"/>
        </w:rPr>
        <w:t>。</w:t>
      </w:r>
    </w:p>
    <w:p w14:paraId="6BF3453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竣工验收后一个月内 </w:t>
      </w:r>
      <w:r>
        <w:rPr>
          <w:rFonts w:hint="eastAsia" w:ascii="宋体" w:hAnsi="宋体" w:eastAsia="宋体" w:cs="宋体"/>
          <w:color w:val="auto"/>
          <w:sz w:val="21"/>
          <w:szCs w:val="21"/>
          <w:highlight w:val="none"/>
        </w:rPr>
        <w:t>。</w:t>
      </w:r>
    </w:p>
    <w:p w14:paraId="7A59A6E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纸质文件      </w:t>
      </w:r>
      <w:r>
        <w:rPr>
          <w:rFonts w:hint="eastAsia" w:ascii="宋体" w:hAnsi="宋体" w:eastAsia="宋体" w:cs="宋体"/>
          <w:color w:val="auto"/>
          <w:sz w:val="21"/>
          <w:szCs w:val="21"/>
          <w:highlight w:val="none"/>
        </w:rPr>
        <w:t>。</w:t>
      </w:r>
    </w:p>
    <w:p w14:paraId="1FE704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（10）承包人应履行的其他义务：</w:t>
      </w:r>
    </w:p>
    <w:p w14:paraId="229108A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a、承担施工安全保卫工作及非夜间施工照明的责任和要求：</w:t>
      </w:r>
      <w:r>
        <w:rPr>
          <w:rFonts w:hint="eastAsia" w:ascii="宋体" w:hAnsi="宋体" w:eastAsia="宋体" w:cs="宋体"/>
          <w:color w:val="auto"/>
          <w:sz w:val="21"/>
          <w:szCs w:val="21"/>
          <w:highlight w:val="none"/>
          <w:u w:val="single"/>
        </w:rPr>
        <w:t xml:space="preserve">根据工程需要，提供和维修非夜间施工使用的照明、围拦设计；负责施工现场安全保护。  </w:t>
      </w:r>
    </w:p>
    <w:p w14:paraId="1E8F582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b、需承包人办理的有关施工场地交通、环卫和施工噪音管理等手续：</w:t>
      </w:r>
      <w:r>
        <w:rPr>
          <w:rFonts w:hint="eastAsia" w:ascii="宋体" w:hAnsi="宋体" w:eastAsia="宋体" w:cs="宋体"/>
          <w:color w:val="auto"/>
          <w:sz w:val="21"/>
          <w:szCs w:val="21"/>
          <w:highlight w:val="none"/>
          <w:u w:val="single"/>
        </w:rPr>
        <w:t xml:space="preserve"> 施工场地交通、道路硬化、环卫和施工噪音管理在开工前完成。 </w:t>
      </w:r>
    </w:p>
    <w:p w14:paraId="1D6D6D6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c、已完工程成品保护的特殊要求及费用承担：</w:t>
      </w:r>
      <w:r>
        <w:rPr>
          <w:rFonts w:hint="eastAsia" w:ascii="宋体" w:hAnsi="宋体" w:eastAsia="宋体" w:cs="宋体"/>
          <w:color w:val="auto"/>
          <w:sz w:val="21"/>
          <w:szCs w:val="21"/>
          <w:highlight w:val="none"/>
          <w:u w:val="single"/>
        </w:rPr>
        <w:t xml:space="preserve">已完成工程未正式向发包人移交之前，承包人应当按照专用条款约定负责对已完工程的保护工作（包括发包人对工程某些特殊部位和部分设施、设备保护提出的特殊要求），费用由承包人承担。在此期间发生的损坏由承包人自费负责予以修复。 </w:t>
      </w:r>
    </w:p>
    <w:p w14:paraId="2CC3B74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d、施工场地周围以下管线和邻近建筑物、构筑物（含文物保护建筑）、古树名木的保护要求及费用承担：</w:t>
      </w:r>
      <w:r>
        <w:rPr>
          <w:rFonts w:hint="eastAsia" w:ascii="宋体" w:hAnsi="宋体" w:eastAsia="宋体" w:cs="宋体"/>
          <w:color w:val="auto"/>
          <w:sz w:val="21"/>
          <w:szCs w:val="21"/>
          <w:highlight w:val="none"/>
          <w:u w:val="single"/>
        </w:rPr>
        <w:t>工程竣工移交前由承包人负责。由于施工方法不当造成损失、损坏发生的费用由承包方承担。</w:t>
      </w:r>
    </w:p>
    <w:p w14:paraId="45373FD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e、施工场地清洁卫生的要求：</w:t>
      </w:r>
      <w:r>
        <w:rPr>
          <w:rFonts w:hint="eastAsia" w:ascii="宋体" w:hAnsi="宋体" w:eastAsia="宋体" w:cs="宋体"/>
          <w:color w:val="auto"/>
          <w:sz w:val="21"/>
          <w:szCs w:val="21"/>
          <w:highlight w:val="none"/>
          <w:u w:val="single"/>
        </w:rPr>
        <w:t>参照省、市级文明工地要求并符合创卫标准，做到工完场清、构件、材料、设施分类堆放，做好标志、道路清洁、给排水畅通。</w:t>
      </w:r>
    </w:p>
    <w:p w14:paraId="07129B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f、双方约定承包人应做的其他工作：</w:t>
      </w:r>
      <w:r>
        <w:rPr>
          <w:rFonts w:hint="eastAsia" w:ascii="宋体" w:hAnsi="宋体" w:eastAsia="宋体" w:cs="宋体"/>
          <w:color w:val="auto"/>
          <w:sz w:val="21"/>
          <w:szCs w:val="21"/>
          <w:highlight w:val="none"/>
          <w:u w:val="single"/>
        </w:rPr>
        <w:t>主动与发包人配合共同办理施工许可证等有关手续的工作。按时足额支付农民工工资。</w:t>
      </w:r>
    </w:p>
    <w:p w14:paraId="41E81B6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783B0D8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0B64A2F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F415E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93148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72422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4997D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3899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6E323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B6F8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AC0A6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7C3B3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施工现场的进度、安全、质量、费用等项目管理工作</w:t>
      </w:r>
      <w:r>
        <w:rPr>
          <w:rFonts w:hint="eastAsia" w:ascii="宋体" w:hAnsi="宋体" w:eastAsia="宋体" w:cs="宋体"/>
          <w:color w:val="auto"/>
          <w:sz w:val="21"/>
          <w:szCs w:val="21"/>
          <w:highlight w:val="none"/>
        </w:rPr>
        <w:t>。</w:t>
      </w:r>
    </w:p>
    <w:p w14:paraId="0A8BE38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项目经理必须坚守工地，每周在现场工作日不少于5天，每少一天罚款500元，外出连续等于或超过三天以上时，必须事先取得发包人的许可。</w:t>
      </w:r>
    </w:p>
    <w:p w14:paraId="4527A34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由承包人自行承担。</w:t>
      </w:r>
    </w:p>
    <w:p w14:paraId="404F77F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发包人有权按照500元/天进行处罚。</w:t>
      </w:r>
    </w:p>
    <w:p w14:paraId="2A075B1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视为承包人违约，发包人有权取消合同</w:t>
      </w:r>
      <w:r>
        <w:rPr>
          <w:rFonts w:hint="eastAsia" w:ascii="宋体" w:hAnsi="宋体" w:eastAsia="宋体" w:cs="宋体"/>
          <w:color w:val="auto"/>
          <w:sz w:val="21"/>
          <w:szCs w:val="21"/>
          <w:highlight w:val="none"/>
        </w:rPr>
        <w:t>。</w:t>
      </w:r>
    </w:p>
    <w:p w14:paraId="7975576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rPr>
        <w:t>视为承包人违约，发包人有权取消合同</w:t>
      </w:r>
      <w:r>
        <w:rPr>
          <w:rFonts w:hint="eastAsia" w:ascii="宋体" w:hAnsi="宋体" w:eastAsia="宋体" w:cs="宋体"/>
          <w:color w:val="auto"/>
          <w:sz w:val="21"/>
          <w:szCs w:val="21"/>
          <w:highlight w:val="none"/>
        </w:rPr>
        <w:t>。</w:t>
      </w:r>
    </w:p>
    <w:p w14:paraId="51D74DF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035A3F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合同签订后7日内</w:t>
      </w:r>
      <w:r>
        <w:rPr>
          <w:rFonts w:hint="eastAsia" w:ascii="宋体" w:hAnsi="宋体" w:eastAsia="宋体" w:cs="宋体"/>
          <w:color w:val="auto"/>
          <w:sz w:val="21"/>
          <w:szCs w:val="21"/>
          <w:highlight w:val="none"/>
        </w:rPr>
        <w:t>。</w:t>
      </w:r>
    </w:p>
    <w:p w14:paraId="3B50139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视为承包人违约，发包人有权解除合同</w:t>
      </w:r>
      <w:r>
        <w:rPr>
          <w:rFonts w:hint="eastAsia" w:ascii="宋体" w:hAnsi="宋体" w:eastAsia="宋体" w:cs="宋体"/>
          <w:color w:val="auto"/>
          <w:sz w:val="21"/>
          <w:szCs w:val="21"/>
          <w:highlight w:val="none"/>
        </w:rPr>
        <w:t>。</w:t>
      </w:r>
    </w:p>
    <w:p w14:paraId="5DDAA3F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rPr>
        <w:t>必须事先取得发包人的许可</w:t>
      </w:r>
      <w:r>
        <w:rPr>
          <w:rFonts w:hint="eastAsia" w:ascii="宋体" w:hAnsi="宋体" w:eastAsia="宋体" w:cs="宋体"/>
          <w:color w:val="auto"/>
          <w:sz w:val="21"/>
          <w:szCs w:val="21"/>
          <w:highlight w:val="none"/>
        </w:rPr>
        <w:t>。</w:t>
      </w:r>
    </w:p>
    <w:p w14:paraId="31CF08B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视为承包人违约，发包人有权根据情况扣除承包人5000元-10000元/人违约金</w:t>
      </w:r>
      <w:r>
        <w:rPr>
          <w:rFonts w:hint="eastAsia" w:ascii="宋体" w:hAnsi="宋体" w:eastAsia="宋体" w:cs="宋体"/>
          <w:color w:val="auto"/>
          <w:sz w:val="21"/>
          <w:szCs w:val="21"/>
          <w:highlight w:val="none"/>
        </w:rPr>
        <w:t>。</w:t>
      </w:r>
    </w:p>
    <w:p w14:paraId="06044F2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发包人有权按照500元/人/天进行处罚  </w:t>
      </w:r>
      <w:r>
        <w:rPr>
          <w:rFonts w:hint="eastAsia" w:ascii="宋体" w:hAnsi="宋体" w:eastAsia="宋体" w:cs="宋体"/>
          <w:color w:val="auto"/>
          <w:sz w:val="21"/>
          <w:szCs w:val="21"/>
          <w:highlight w:val="none"/>
        </w:rPr>
        <w:t>。</w:t>
      </w:r>
    </w:p>
    <w:p w14:paraId="31BF924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31" w:name="_Toc297120459"/>
      <w:bookmarkStart w:id="132" w:name="_Toc292559364"/>
      <w:bookmarkStart w:id="133" w:name="_Toc297048345"/>
      <w:bookmarkStart w:id="134" w:name="_Toc304295523"/>
      <w:bookmarkStart w:id="135" w:name="_Toc296503159"/>
      <w:bookmarkStart w:id="136" w:name="_Toc300934945"/>
      <w:bookmarkStart w:id="137" w:name="_Toc292559869"/>
      <w:bookmarkStart w:id="138" w:name="_Toc296347158"/>
      <w:bookmarkStart w:id="139" w:name="_Toc312677988"/>
      <w:bookmarkStart w:id="140" w:name="_Toc296944498"/>
      <w:bookmarkStart w:id="141" w:name="_Toc303539102"/>
      <w:bookmarkStart w:id="142" w:name="_Toc296891199"/>
      <w:bookmarkStart w:id="143" w:name="_Toc297216151"/>
      <w:bookmarkStart w:id="144" w:name="_Toc297123492"/>
      <w:bookmarkStart w:id="145" w:name="_Toc296346660"/>
      <w:bookmarkStart w:id="146" w:name="_Toc296890987"/>
      <w:r>
        <w:rPr>
          <w:rFonts w:hint="eastAsia" w:ascii="宋体" w:hAnsi="宋体" w:eastAsia="宋体" w:cs="宋体"/>
          <w:color w:val="auto"/>
          <w:sz w:val="21"/>
          <w:szCs w:val="21"/>
          <w:highlight w:val="none"/>
        </w:rPr>
        <w:t>.5 分包</w:t>
      </w:r>
    </w:p>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14:paraId="5C7A50E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47" w:name="_Toc297123493"/>
      <w:bookmarkStart w:id="148" w:name="_Toc304295524"/>
      <w:bookmarkStart w:id="149" w:name="_Toc296891200"/>
      <w:bookmarkStart w:id="150" w:name="_Toc297048346"/>
      <w:bookmarkStart w:id="151" w:name="_Toc296503160"/>
      <w:bookmarkStart w:id="152" w:name="_Toc292559365"/>
      <w:bookmarkStart w:id="153" w:name="_Toc300934946"/>
      <w:bookmarkStart w:id="154" w:name="_Toc297216152"/>
      <w:bookmarkStart w:id="155" w:name="_Toc296346661"/>
      <w:bookmarkStart w:id="156" w:name="_Toc296944499"/>
      <w:bookmarkStart w:id="157" w:name="_Toc303539103"/>
      <w:bookmarkStart w:id="158" w:name="_Toc297120460"/>
      <w:bookmarkStart w:id="159" w:name="_Toc296890988"/>
      <w:bookmarkStart w:id="160" w:name="_Toc292559870"/>
      <w:bookmarkStart w:id="161" w:name="_Toc318581158"/>
      <w:bookmarkStart w:id="162" w:name="_Toc312677989"/>
      <w:bookmarkStart w:id="163" w:name="_Toc296347159"/>
      <w:r>
        <w:rPr>
          <w:rFonts w:hint="eastAsia" w:ascii="宋体" w:hAnsi="宋体" w:eastAsia="宋体" w:cs="宋体"/>
          <w:color w:val="auto"/>
          <w:sz w:val="21"/>
          <w:szCs w:val="21"/>
          <w:highlight w:val="none"/>
        </w:rPr>
        <w:t>.5.1 分包的一般约定</w:t>
      </w:r>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14:paraId="13D75B8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承包人不得将其承包的全部工程转包给第三人，或将其承包的全部工程肢解后以分包的名义转包给第三人</w:t>
      </w:r>
      <w:r>
        <w:rPr>
          <w:rFonts w:hint="eastAsia" w:ascii="宋体" w:hAnsi="宋体" w:eastAsia="宋体" w:cs="宋体"/>
          <w:color w:val="auto"/>
          <w:sz w:val="21"/>
          <w:szCs w:val="21"/>
          <w:highlight w:val="none"/>
        </w:rPr>
        <w:t>。</w:t>
      </w:r>
      <w:bookmarkStart w:id="164" w:name="_Toc296347160"/>
      <w:bookmarkStart w:id="165" w:name="_Toc297216153"/>
      <w:bookmarkStart w:id="166" w:name="_Toc296891201"/>
      <w:bookmarkStart w:id="167" w:name="_Toc296346662"/>
      <w:bookmarkStart w:id="168" w:name="_Toc296944500"/>
      <w:bookmarkStart w:id="169" w:name="_Toc297123494"/>
      <w:bookmarkStart w:id="170" w:name="_Toc296503161"/>
      <w:bookmarkStart w:id="171" w:name="_Toc300934947"/>
      <w:bookmarkStart w:id="172" w:name="_Toc297048347"/>
      <w:bookmarkStart w:id="173" w:name="_Toc297120461"/>
      <w:bookmarkStart w:id="174" w:name="_Toc296890989"/>
      <w:bookmarkStart w:id="175" w:name="_Toc304295525"/>
      <w:bookmarkStart w:id="176" w:name="_Toc303539104"/>
    </w:p>
    <w:bookmarkEnd w:id="164"/>
    <w:bookmarkEnd w:id="165"/>
    <w:bookmarkEnd w:id="166"/>
    <w:bookmarkEnd w:id="167"/>
    <w:bookmarkEnd w:id="168"/>
    <w:bookmarkEnd w:id="169"/>
    <w:bookmarkEnd w:id="170"/>
    <w:bookmarkEnd w:id="171"/>
    <w:bookmarkEnd w:id="172"/>
    <w:bookmarkEnd w:id="173"/>
    <w:bookmarkEnd w:id="174"/>
    <w:bookmarkEnd w:id="175"/>
    <w:bookmarkEnd w:id="176"/>
    <w:p w14:paraId="0001F9B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3000E6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项目正式开工至项目移交竣工验收并交付使用</w:t>
      </w:r>
      <w:r>
        <w:rPr>
          <w:rFonts w:hint="eastAsia" w:ascii="宋体" w:hAnsi="宋体" w:eastAsia="宋体" w:cs="宋体"/>
          <w:color w:val="auto"/>
          <w:kern w:val="0"/>
          <w:sz w:val="21"/>
          <w:szCs w:val="21"/>
          <w:highlight w:val="none"/>
        </w:rPr>
        <w:t>。</w:t>
      </w:r>
    </w:p>
    <w:p w14:paraId="153C11AB">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77" w:name="_Toc267251418"/>
      <w:bookmarkStart w:id="178" w:name="_Toc351203637"/>
      <w:r>
        <w:rPr>
          <w:rFonts w:hint="eastAsia" w:ascii="宋体" w:hAnsi="宋体" w:eastAsia="宋体" w:cs="宋体"/>
          <w:b/>
          <w:bCs/>
          <w:color w:val="auto"/>
          <w:sz w:val="21"/>
          <w:szCs w:val="21"/>
          <w:highlight w:val="none"/>
        </w:rPr>
        <w:t>5</w:t>
      </w:r>
      <w:bookmarkEnd w:id="177"/>
      <w:bookmarkStart w:id="179" w:name="_Toc296503163"/>
      <w:bookmarkStart w:id="180" w:name="_Toc296890991"/>
      <w:bookmarkStart w:id="181" w:name="_Toc297048349"/>
      <w:bookmarkStart w:id="182" w:name="_Toc296891203"/>
      <w:bookmarkStart w:id="183" w:name="_Toc296944502"/>
      <w:bookmarkStart w:id="184" w:name="_Toc297120463"/>
      <w:bookmarkStart w:id="185" w:name="_Toc292559872"/>
      <w:bookmarkStart w:id="186" w:name="_Toc296347162"/>
      <w:bookmarkStart w:id="187" w:name="_Toc296346664"/>
      <w:bookmarkStart w:id="188" w:name="_Toc292559367"/>
      <w:r>
        <w:rPr>
          <w:rFonts w:hint="eastAsia" w:ascii="宋体" w:hAnsi="宋体" w:eastAsia="宋体" w:cs="宋体"/>
          <w:b/>
          <w:bCs/>
          <w:color w:val="auto"/>
          <w:sz w:val="21"/>
          <w:szCs w:val="21"/>
          <w:highlight w:val="none"/>
        </w:rPr>
        <w:t>. 工程质量</w:t>
      </w:r>
      <w:bookmarkEnd w:id="178"/>
    </w:p>
    <w:p w14:paraId="223B9A5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045A037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189" w:name="_Toc297123496"/>
      <w:bookmarkStart w:id="190" w:name="_Toc304295527"/>
      <w:bookmarkStart w:id="191" w:name="_Toc303539106"/>
      <w:bookmarkStart w:id="192" w:name="_Toc318581164"/>
      <w:bookmarkStart w:id="193" w:name="_Toc300934949"/>
      <w:bookmarkStart w:id="194" w:name="_Toc297216155"/>
      <w:bookmarkStart w:id="195" w:name="_Toc312677997"/>
      <w:r>
        <w:rPr>
          <w:rFonts w:hint="eastAsia" w:ascii="宋体" w:hAnsi="宋体" w:eastAsia="宋体" w:cs="宋体"/>
          <w:color w:val="auto"/>
          <w:sz w:val="21"/>
          <w:szCs w:val="21"/>
          <w:highlight w:val="none"/>
        </w:rPr>
        <w:t>5.1.1 特殊质量标准和要求：</w:t>
      </w:r>
      <w:r>
        <w:rPr>
          <w:rFonts w:hint="eastAsia" w:ascii="宋体" w:hAnsi="宋体" w:eastAsia="宋体" w:cs="宋体"/>
          <w:color w:val="auto"/>
          <w:sz w:val="21"/>
          <w:szCs w:val="21"/>
          <w:highlight w:val="none"/>
          <w:u w:val="single"/>
        </w:rPr>
        <w:t>达到国家现行施工验收规范“合格”标准，本工程参照省、市级“文明工地”标准。</w:t>
      </w:r>
    </w:p>
    <w:p w14:paraId="52A7D4C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96" w:name="_Toc351203638"/>
      <w:r>
        <w:rPr>
          <w:rFonts w:hint="eastAsia" w:ascii="宋体" w:hAnsi="宋体" w:eastAsia="宋体" w:cs="宋体"/>
          <w:b/>
          <w:bCs/>
          <w:color w:val="auto"/>
          <w:sz w:val="21"/>
          <w:szCs w:val="21"/>
          <w:highlight w:val="none"/>
        </w:rPr>
        <w:t>6. 安全文明施工与环境保护</w:t>
      </w:r>
      <w:bookmarkEnd w:id="196"/>
    </w:p>
    <w:p w14:paraId="0E7BB0F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14D36F59">
      <w:pPr>
        <w:pStyle w:val="20"/>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执行《通用条款》全部条款和国家、省、市关于安全文明施工的要求规定和创卫标准，因承包方原因达不到安全文明施工的要求规定和创卫标准时，承包人应切实整改达到此要求，所需费用均由承包人承担。本工程参照省、市级文明工地标准。承包人应建立安全防护和文明施工制度，严格按照安全防护和文明施工的规定组织施工，并做好下列工作：在施工出入口处、临时用电设施、脚手架、出入通道口、楼梯口电梯井口、孔洞口、爆破物及有害危险气体和液体存放处等危险部位，设置明显的安全警示标志；保持现场道路畅通、排水及排水设施通畅，做必要的现场地面硬化处理；妥善存放和处理材料设备和施工机械，水泥和其他易飞扬细颗粒的建筑材料应密闭存放或采取覆盖等措施，易燃易爆和有毒有害气体应分类存放；现场设置消防通道、配置消防设施和灭火器材，保证施工现场安全；施工垃圾、生活垃圾应分类存放，并及时从现场清运。</w:t>
      </w:r>
    </w:p>
    <w:p w14:paraId="4DD31C12">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真贯彻执行国家及省、市有关安全文明生产的法律法规规章和强制性标准、安全操作规程等，建立健全施工现场安全文明生产保证体系，落实各项具体措施，切实履行安全文明生产责任和义务，保护职工身体健康和生命安全，以及社会公众安全，保护环境卫生，保持施工现场整齐有序，做到文明施工。其他文明和安全生产要求如下：</w:t>
      </w:r>
    </w:p>
    <w:p w14:paraId="3AA4FE69">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（1）建立与工程规模相适应的、以项目经理为第一责任人的施工现场安全文明生产管理机构，配备相应监管人员，赋予监管权力，确保对施工现场安全文明生产实施有效管理。</w:t>
      </w:r>
    </w:p>
    <w:p w14:paraId="21170B6E">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（2）施工现场实行封闭式管理，保证安全文明生产经费的投入。安全文明生产设施、设备按标准设置，配套齐备，牢固可靠。</w:t>
      </w:r>
    </w:p>
    <w:p w14:paraId="15499308">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（3）强化安全文明生产教育培训，严格实行三级安全教育制度，做到全员持证上岗。在日常监管和各级检查的基础上，严格执行汇检制度，发现隐患立即进行整改，不留死角。</w:t>
      </w:r>
    </w:p>
    <w:p w14:paraId="29E08163">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（4）施工现场使用的建筑材料、构配件、安全防护用品、安全设施、机具、机械设备和电气装置等，必须符合建筑施工安全和其他有关技术规范、标准的要求，并按规定进行检测检验。否则，一律不投入使用。</w:t>
      </w:r>
    </w:p>
    <w:p w14:paraId="0A45B4F3">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（5）现场运入运出各类建筑材料必须使用密封车辆运输，加强路面保洁，规范沙石料堆场，不定时洒水控制扬尘。</w:t>
      </w:r>
    </w:p>
    <w:p w14:paraId="2FCA3050">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保持施工现场整洁有序，各种材料分类存放、堆码整齐，建筑垃圾及时清运处理，不从高处向下抛投建筑材料、施工用具及建筑垃圾。工地设保洁工或卫生值班人员，各工种完工后做到“工完料尽场地清”。现场场地进行“硬化”处理，做到场内道路平整、通畅、不积水，泥浆、废水不外流，不尘土飞扬，不排泄有毒有害气体。</w:t>
      </w:r>
    </w:p>
    <w:p w14:paraId="71F7226A">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（7）保证施工现场及周围人居环境良好，施工区、办公区、生活区原则上应明显分开或进行隔断。按规定设置食堂、饮水处、厕所、浴室并符合卫生要求。</w:t>
      </w:r>
    </w:p>
    <w:p w14:paraId="49E96114">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（8）按规定设置现场标志牌（五牌一图）和安全警示标志，对涉及社会公众安全的，要在显著位置设置警示牌，并采取相应保护措施。</w:t>
      </w:r>
    </w:p>
    <w:p w14:paraId="1DC0340F">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（9）重大安全事故按有关规定及时准确上报，并进行调查处理。</w:t>
      </w:r>
    </w:p>
    <w:p w14:paraId="5796AFD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（10）自觉接受并积极配合建设单位的督促检查；建筑安全监管部门的监督管理，依法接受国家安全监察。</w:t>
      </w:r>
    </w:p>
    <w:p w14:paraId="7D8BC76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（1）施工现场内外由本项目承包人提供的生产区、办公区、生活区治安保卫工作由承包人全面负责；（2）上述区域内若发生群殴、械斗等群体性头发治安事件的，每发生一起承包人对发包人支付违约金50000元。</w:t>
      </w:r>
    </w:p>
    <w:p w14:paraId="2C0CE11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由承包人在工程开工后7天内编制施工场地治安管理计划</w:t>
      </w:r>
      <w:r>
        <w:rPr>
          <w:rFonts w:hint="eastAsia" w:ascii="宋体" w:hAnsi="宋体" w:eastAsia="宋体" w:cs="宋体"/>
          <w:color w:val="auto"/>
          <w:sz w:val="21"/>
          <w:szCs w:val="21"/>
          <w:highlight w:val="none"/>
        </w:rPr>
        <w:t>。</w:t>
      </w:r>
    </w:p>
    <w:p w14:paraId="4CA10C3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2B472EE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参照陕西省和</w:t>
      </w:r>
      <w:r>
        <w:rPr>
          <w:rFonts w:hint="eastAsia" w:ascii="宋体" w:hAnsi="宋体" w:eastAsia="宋体" w:cs="宋体"/>
          <w:color w:val="auto"/>
          <w:sz w:val="21"/>
          <w:szCs w:val="21"/>
          <w:highlight w:val="none"/>
          <w:u w:val="single"/>
          <w:lang w:val="en-US" w:eastAsia="zh-CN"/>
        </w:rPr>
        <w:t>咸阳</w:t>
      </w:r>
      <w:r>
        <w:rPr>
          <w:rFonts w:hint="eastAsia" w:ascii="宋体" w:hAnsi="宋体" w:eastAsia="宋体" w:cs="宋体"/>
          <w:color w:val="auto"/>
          <w:sz w:val="21"/>
          <w:szCs w:val="21"/>
          <w:highlight w:val="none"/>
          <w:u w:val="single"/>
        </w:rPr>
        <w:t>市对文明工地的要求。</w:t>
      </w:r>
    </w:p>
    <w:p w14:paraId="1FAEC82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w:t>
      </w:r>
    </w:p>
    <w:p w14:paraId="4866B96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6.1.9安全生产责任：</w:t>
      </w:r>
      <w:r>
        <w:rPr>
          <w:rFonts w:hint="eastAsia" w:ascii="宋体" w:hAnsi="宋体" w:eastAsia="宋体" w:cs="宋体"/>
          <w:color w:val="auto"/>
          <w:sz w:val="21"/>
          <w:szCs w:val="21"/>
          <w:highlight w:val="none"/>
          <w:u w:val="single"/>
        </w:rPr>
        <w:t>施工现场发生的一切安全事故由承包人承担全部责任及损失。</w:t>
      </w:r>
    </w:p>
    <w:bookmarkEnd w:id="189"/>
    <w:bookmarkEnd w:id="190"/>
    <w:bookmarkEnd w:id="191"/>
    <w:bookmarkEnd w:id="192"/>
    <w:bookmarkEnd w:id="193"/>
    <w:bookmarkEnd w:id="194"/>
    <w:bookmarkEnd w:id="195"/>
    <w:p w14:paraId="7099CC15">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97" w:name="_Toc351203639"/>
      <w:r>
        <w:rPr>
          <w:rFonts w:hint="eastAsia" w:ascii="宋体" w:hAnsi="宋体" w:eastAsia="宋体" w:cs="宋体"/>
          <w:b/>
          <w:bCs/>
          <w:color w:val="auto"/>
          <w:sz w:val="21"/>
          <w:szCs w:val="21"/>
          <w:highlight w:val="none"/>
        </w:rPr>
        <w:t>7. 工期和进度</w:t>
      </w:r>
      <w:bookmarkEnd w:id="197"/>
    </w:p>
    <w:p w14:paraId="5AA60FA5">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13894D34">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合同签订7天内 </w:t>
      </w:r>
      <w:r>
        <w:rPr>
          <w:rFonts w:hint="eastAsia" w:ascii="宋体" w:hAnsi="宋体" w:eastAsia="宋体" w:cs="宋体"/>
          <w:color w:val="auto"/>
          <w:sz w:val="21"/>
          <w:szCs w:val="21"/>
          <w:highlight w:val="none"/>
        </w:rPr>
        <w:t>。</w:t>
      </w:r>
    </w:p>
    <w:p w14:paraId="057917C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发包人在收到详细的施工组织设计后确认或提出修改意见的期限：</w:t>
      </w:r>
      <w:r>
        <w:rPr>
          <w:rFonts w:hint="eastAsia" w:ascii="宋体" w:hAnsi="宋体" w:eastAsia="宋体" w:cs="宋体"/>
          <w:color w:val="auto"/>
          <w:sz w:val="21"/>
          <w:szCs w:val="21"/>
          <w:highlight w:val="none"/>
          <w:u w:val="single"/>
        </w:rPr>
        <w:t>执行通用条款</w:t>
      </w:r>
      <w:r>
        <w:rPr>
          <w:rFonts w:hint="eastAsia" w:ascii="宋体" w:hAnsi="宋体" w:eastAsia="宋体" w:cs="宋体"/>
          <w:color w:val="auto"/>
          <w:sz w:val="21"/>
          <w:szCs w:val="21"/>
          <w:highlight w:val="none"/>
        </w:rPr>
        <w:t>。</w:t>
      </w:r>
    </w:p>
    <w:p w14:paraId="6EEC922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98" w:name="_Toc304295541"/>
      <w:bookmarkStart w:id="199" w:name="_Toc297216173"/>
      <w:bookmarkStart w:id="200" w:name="_Toc300934966"/>
      <w:bookmarkStart w:id="201" w:name="_Toc297123514"/>
      <w:bookmarkStart w:id="202" w:name="_Toc312678005"/>
      <w:bookmarkStart w:id="203" w:name="_Toc303539123"/>
      <w:bookmarkStart w:id="204" w:name="_Toc312677479"/>
      <w:r>
        <w:rPr>
          <w:rFonts w:hint="eastAsia" w:ascii="宋体" w:hAnsi="宋体" w:eastAsia="宋体" w:cs="宋体"/>
          <w:color w:val="auto"/>
          <w:sz w:val="21"/>
          <w:szCs w:val="21"/>
          <w:highlight w:val="none"/>
        </w:rPr>
        <w:t>.2 施工进度计划</w:t>
      </w:r>
    </w:p>
    <w:p w14:paraId="1F45DB9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0613EA0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发包人在收到修订的施工进度计划后确认或提出修改意见的期限：</w:t>
      </w:r>
      <w:r>
        <w:rPr>
          <w:rFonts w:hint="eastAsia" w:ascii="宋体" w:hAnsi="宋体" w:eastAsia="宋体" w:cs="宋体"/>
          <w:color w:val="auto"/>
          <w:sz w:val="21"/>
          <w:szCs w:val="21"/>
          <w:highlight w:val="none"/>
          <w:u w:val="single"/>
        </w:rPr>
        <w:t>执行通用条款</w:t>
      </w:r>
      <w:r>
        <w:rPr>
          <w:rFonts w:hint="eastAsia" w:ascii="宋体" w:hAnsi="宋体" w:eastAsia="宋体" w:cs="宋体"/>
          <w:color w:val="auto"/>
          <w:sz w:val="21"/>
          <w:szCs w:val="21"/>
          <w:highlight w:val="none"/>
        </w:rPr>
        <w:t>。</w:t>
      </w:r>
    </w:p>
    <w:p w14:paraId="5B31133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0EA5416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207369B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合同签订后5天内，但不得晚于通用条款7.3.2项[开工通知]载明的开工日期前10天</w:t>
      </w:r>
      <w:r>
        <w:rPr>
          <w:rFonts w:hint="eastAsia" w:ascii="宋体" w:hAnsi="宋体" w:eastAsia="宋体" w:cs="宋体"/>
          <w:color w:val="auto"/>
          <w:sz w:val="21"/>
          <w:szCs w:val="21"/>
          <w:highlight w:val="none"/>
        </w:rPr>
        <w:t>。</w:t>
      </w:r>
    </w:p>
    <w:p w14:paraId="6937380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扬尘治理专项方案，合同签订后15个日历天内    </w:t>
      </w:r>
      <w:r>
        <w:rPr>
          <w:rFonts w:hint="eastAsia" w:ascii="宋体" w:hAnsi="宋体" w:eastAsia="宋体" w:cs="宋体"/>
          <w:color w:val="auto"/>
          <w:sz w:val="21"/>
          <w:szCs w:val="21"/>
          <w:highlight w:val="none"/>
        </w:rPr>
        <w:t>。</w:t>
      </w:r>
    </w:p>
    <w:bookmarkEnd w:id="198"/>
    <w:bookmarkEnd w:id="199"/>
    <w:bookmarkEnd w:id="200"/>
    <w:bookmarkEnd w:id="201"/>
    <w:bookmarkEnd w:id="202"/>
    <w:bookmarkEnd w:id="203"/>
    <w:bookmarkEnd w:id="204"/>
    <w:p w14:paraId="7212D2E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05" w:name="_Toc300934968"/>
      <w:bookmarkStart w:id="206" w:name="_Toc297216175"/>
      <w:bookmarkStart w:id="207" w:name="_Toc312678010"/>
      <w:bookmarkStart w:id="208" w:name="_Toc297123516"/>
      <w:bookmarkStart w:id="209" w:name="_Toc304295546"/>
      <w:bookmarkStart w:id="210" w:name="_Toc312677484"/>
      <w:bookmarkStart w:id="211" w:name="_Toc303539125"/>
      <w:r>
        <w:rPr>
          <w:rFonts w:hint="eastAsia" w:ascii="宋体" w:hAnsi="宋体" w:eastAsia="宋体" w:cs="宋体"/>
          <w:color w:val="auto"/>
          <w:sz w:val="21"/>
          <w:szCs w:val="21"/>
          <w:highlight w:val="none"/>
        </w:rPr>
        <w:t>.5 工期延误</w:t>
      </w:r>
    </w:p>
    <w:bookmarkEnd w:id="205"/>
    <w:bookmarkEnd w:id="206"/>
    <w:bookmarkEnd w:id="207"/>
    <w:bookmarkEnd w:id="208"/>
    <w:bookmarkEnd w:id="209"/>
    <w:bookmarkEnd w:id="210"/>
    <w:bookmarkEnd w:id="211"/>
    <w:p w14:paraId="58B6F1D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212" w:name="_Toc312678014"/>
      <w:bookmarkStart w:id="213" w:name="_Toc318581171"/>
      <w:r>
        <w:rPr>
          <w:rFonts w:hint="eastAsia" w:ascii="宋体" w:hAnsi="宋体" w:eastAsia="宋体" w:cs="宋体"/>
          <w:color w:val="auto"/>
          <w:sz w:val="21"/>
          <w:szCs w:val="21"/>
          <w:highlight w:val="none"/>
        </w:rPr>
        <w:t>7.5.1 因发包人原因导致工期延误</w:t>
      </w:r>
    </w:p>
    <w:p w14:paraId="36014E4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不可抗力，此延误工期须在发生后7天内办理延期申请，逾期不予认可</w:t>
      </w:r>
      <w:r>
        <w:rPr>
          <w:rFonts w:hint="eastAsia" w:ascii="宋体" w:hAnsi="宋体" w:eastAsia="宋体" w:cs="宋体"/>
          <w:color w:val="auto"/>
          <w:sz w:val="21"/>
          <w:szCs w:val="21"/>
          <w:highlight w:val="none"/>
        </w:rPr>
        <w:t>。</w:t>
      </w:r>
    </w:p>
    <w:p w14:paraId="642C5D2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14" w:name="_Toc312678012"/>
      <w:bookmarkStart w:id="215" w:name="_Toc312677486"/>
      <w:bookmarkStart w:id="216" w:name="_Toc318581169"/>
      <w:bookmarkStart w:id="217" w:name="_Toc300934970"/>
      <w:bookmarkStart w:id="218" w:name="_Toc304295548"/>
      <w:bookmarkStart w:id="219" w:name="_Toc303539127"/>
      <w:bookmarkStart w:id="220" w:name="_Toc297123518"/>
      <w:bookmarkStart w:id="221" w:name="_Toc297216177"/>
      <w:r>
        <w:rPr>
          <w:rFonts w:hint="eastAsia" w:ascii="宋体" w:hAnsi="宋体" w:eastAsia="宋体" w:cs="宋体"/>
          <w:color w:val="auto"/>
          <w:sz w:val="21"/>
          <w:szCs w:val="21"/>
          <w:highlight w:val="none"/>
        </w:rPr>
        <w:t>.5.2 因承包人原因导致工期延误</w:t>
      </w:r>
    </w:p>
    <w:bookmarkEnd w:id="214"/>
    <w:bookmarkEnd w:id="215"/>
    <w:bookmarkEnd w:id="216"/>
    <w:p w14:paraId="5A109A1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bookmarkStart w:id="222" w:name="_Toc312678013"/>
      <w:bookmarkStart w:id="223" w:name="_Toc312677487"/>
      <w:bookmarkStart w:id="224" w:name="_Toc318581170"/>
      <w:r>
        <w:rPr>
          <w:rFonts w:hint="eastAsia" w:ascii="宋体" w:hAnsi="宋体" w:eastAsia="宋体" w:cs="宋体"/>
          <w:color w:val="auto"/>
          <w:sz w:val="21"/>
          <w:szCs w:val="21"/>
          <w:highlight w:val="none"/>
        </w:rPr>
        <w:t>承包人原因造成工期延误，逾期竣工违约金的计算方法为：</w:t>
      </w:r>
      <w:bookmarkEnd w:id="217"/>
      <w:bookmarkEnd w:id="218"/>
      <w:bookmarkEnd w:id="219"/>
      <w:bookmarkEnd w:id="220"/>
      <w:bookmarkEnd w:id="221"/>
      <w:bookmarkEnd w:id="222"/>
      <w:bookmarkEnd w:id="223"/>
      <w:r>
        <w:rPr>
          <w:rFonts w:hint="eastAsia" w:ascii="宋体" w:hAnsi="宋体" w:eastAsia="宋体" w:cs="宋体"/>
          <w:color w:val="auto"/>
          <w:sz w:val="21"/>
          <w:szCs w:val="21"/>
          <w:highlight w:val="none"/>
          <w:u w:val="single"/>
        </w:rPr>
        <w:t>按投标工期提前无奖励。1）承包人工期每推迟一天除按合同价的万分之二处罚外，若影响发包人使用时，还应按合同总价的5‰向发包人支付使用违约金。2）因工程量变化引起的工期变化，本工程不予调整即总工期不变。</w:t>
      </w:r>
    </w:p>
    <w:bookmarkEnd w:id="224"/>
    <w:p w14:paraId="44FCC88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无上限</w:t>
      </w:r>
      <w:r>
        <w:rPr>
          <w:rFonts w:hint="eastAsia" w:ascii="宋体" w:hAnsi="宋体" w:eastAsia="宋体" w:cs="宋体"/>
          <w:color w:val="auto"/>
          <w:sz w:val="21"/>
          <w:szCs w:val="21"/>
          <w:highlight w:val="none"/>
        </w:rPr>
        <w:t>。</w:t>
      </w:r>
    </w:p>
    <w:bookmarkEnd w:id="212"/>
    <w:bookmarkEnd w:id="213"/>
    <w:p w14:paraId="6BA920F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25" w:name="_Toc300934973"/>
      <w:bookmarkStart w:id="226" w:name="_Toc297123521"/>
      <w:bookmarkStart w:id="227" w:name="_Toc303539130"/>
      <w:bookmarkStart w:id="228" w:name="_Toc297216180"/>
      <w:bookmarkStart w:id="229" w:name="_Toc312678017"/>
      <w:bookmarkStart w:id="230" w:name="_Toc304295551"/>
      <w:r>
        <w:rPr>
          <w:rFonts w:hint="eastAsia" w:ascii="宋体" w:hAnsi="宋体" w:eastAsia="宋体" w:cs="宋体"/>
          <w:color w:val="auto"/>
          <w:sz w:val="21"/>
          <w:szCs w:val="21"/>
          <w:highlight w:val="none"/>
        </w:rPr>
        <w:t>.7异常恶劣的气候条件</w:t>
      </w:r>
    </w:p>
    <w:bookmarkEnd w:id="225"/>
    <w:bookmarkEnd w:id="226"/>
    <w:bookmarkEnd w:id="227"/>
    <w:bookmarkEnd w:id="228"/>
    <w:bookmarkEnd w:id="229"/>
    <w:bookmarkEnd w:id="230"/>
    <w:p w14:paraId="549B9D2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3458C8E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u w:val="single"/>
        </w:rPr>
        <w:t xml:space="preserve">7级以上大风 </w:t>
      </w:r>
      <w:r>
        <w:rPr>
          <w:rFonts w:hint="eastAsia" w:ascii="宋体" w:hAnsi="宋体" w:eastAsia="宋体" w:cs="宋体"/>
          <w:color w:val="auto"/>
          <w:sz w:val="21"/>
          <w:szCs w:val="21"/>
          <w:highlight w:val="none"/>
        </w:rPr>
        <w:t>。</w:t>
      </w:r>
    </w:p>
    <w:p w14:paraId="2CF1B49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u w:val="single"/>
        </w:rPr>
        <w:t xml:space="preserve">3小时内降雨量将达50毫米以上，或者已达50毫米以上且降雨可能持续 </w:t>
      </w:r>
      <w:r>
        <w:rPr>
          <w:rFonts w:hint="eastAsia" w:ascii="宋体" w:hAnsi="宋体" w:eastAsia="宋体" w:cs="宋体"/>
          <w:color w:val="auto"/>
          <w:sz w:val="21"/>
          <w:szCs w:val="21"/>
          <w:highlight w:val="none"/>
        </w:rPr>
        <w:t>。</w:t>
      </w:r>
    </w:p>
    <w:p w14:paraId="3B4B01F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Cs/>
          <w:color w:val="auto"/>
          <w:sz w:val="21"/>
          <w:szCs w:val="21"/>
          <w:highlight w:val="none"/>
          <w:u w:val="single"/>
        </w:rPr>
        <w:t>雾霾红色预警</w:t>
      </w:r>
      <w:r>
        <w:rPr>
          <w:rFonts w:hint="eastAsia" w:ascii="宋体" w:hAnsi="宋体" w:eastAsia="宋体" w:cs="宋体"/>
          <w:color w:val="auto"/>
          <w:sz w:val="21"/>
          <w:szCs w:val="21"/>
          <w:highlight w:val="none"/>
        </w:rPr>
        <w:t>。</w:t>
      </w:r>
    </w:p>
    <w:p w14:paraId="170C4B7C">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231" w:name="_Toc351203640"/>
      <w:r>
        <w:rPr>
          <w:rFonts w:hint="eastAsia" w:ascii="宋体" w:hAnsi="宋体" w:eastAsia="宋体" w:cs="宋体"/>
          <w:b/>
          <w:bCs/>
          <w:color w:val="auto"/>
          <w:sz w:val="21"/>
          <w:szCs w:val="21"/>
          <w:highlight w:val="none"/>
        </w:rPr>
        <w:t>8. 材料与设备</w:t>
      </w:r>
      <w:bookmarkEnd w:id="231"/>
    </w:p>
    <w:bookmarkEnd w:id="179"/>
    <w:bookmarkEnd w:id="180"/>
    <w:bookmarkEnd w:id="181"/>
    <w:bookmarkEnd w:id="182"/>
    <w:bookmarkEnd w:id="183"/>
    <w:bookmarkEnd w:id="184"/>
    <w:bookmarkEnd w:id="185"/>
    <w:bookmarkEnd w:id="186"/>
    <w:bookmarkEnd w:id="187"/>
    <w:bookmarkEnd w:id="188"/>
    <w:p w14:paraId="15B75EE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232" w:name="_Toc297048354"/>
      <w:bookmarkStart w:id="233" w:name="_Toc296503168"/>
      <w:bookmarkStart w:id="234" w:name="_Toc312677494"/>
      <w:bookmarkStart w:id="235" w:name="_Toc303539137"/>
      <w:bookmarkStart w:id="236" w:name="_Toc280868655"/>
      <w:bookmarkStart w:id="237" w:name="_Toc280868656"/>
      <w:bookmarkStart w:id="238" w:name="_Toc297123528"/>
      <w:bookmarkStart w:id="239" w:name="_Toc318581173"/>
      <w:bookmarkStart w:id="240" w:name="_Toc304295557"/>
      <w:bookmarkStart w:id="241" w:name="_Toc296347167"/>
      <w:bookmarkStart w:id="242" w:name="_Toc312678020"/>
      <w:bookmarkStart w:id="243" w:name="_Toc267251424"/>
      <w:bookmarkStart w:id="244" w:name="_Toc296890996"/>
      <w:bookmarkStart w:id="245" w:name="_Toc300934980"/>
      <w:bookmarkStart w:id="246" w:name="_Toc297216187"/>
      <w:bookmarkStart w:id="247" w:name="_Toc297120468"/>
      <w:bookmarkStart w:id="248" w:name="_Toc296891208"/>
      <w:bookmarkStart w:id="249" w:name="_Toc296346669"/>
      <w:bookmarkStart w:id="250" w:name="_Toc296944507"/>
      <w:r>
        <w:rPr>
          <w:rFonts w:hint="eastAsia" w:ascii="宋体" w:hAnsi="宋体" w:eastAsia="宋体" w:cs="宋体"/>
          <w:color w:val="auto"/>
          <w:sz w:val="21"/>
          <w:szCs w:val="21"/>
          <w:highlight w:val="none"/>
        </w:rPr>
        <w:t>8.2承包人采购材料与工程设备：</w:t>
      </w:r>
    </w:p>
    <w:p w14:paraId="7231B1B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由发包人暂定价的材料设备必须经发包人认质认价和</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rPr>
        <w:t>审批程序后承包人方可采购，发包人认定的价格与暂定价差额计算材料价差，其差价部分只计取规费、安全文明施工费和税金。发包人暂定价或需认质认价的材料设备单价已包含全部费用（为工地出库价）。</w:t>
      </w:r>
    </w:p>
    <w:p w14:paraId="036E92B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承包人采购的所有材料、设备，除满足</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要求外，且应达到国家规范或设计要求的“合格”及以上标准，且应符合国家、省市关于健康、节能、环保以及强制性认证等要求。由承包人自购的主要材料、设备必须经发包方认质审批后，方可采购。如因材料、设备质量造成的工程损失由承包人负全部责任。</w:t>
      </w:r>
    </w:p>
    <w:p w14:paraId="7334BB51">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其它主要材料价格调整约定：</w:t>
      </w:r>
    </w:p>
    <w:p w14:paraId="5E418BBB">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商品砼市场价中已含运费、泵送费、抗渗费及其它所需添加剂等一切费用。</w:t>
      </w:r>
    </w:p>
    <w:p w14:paraId="14DEAED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中标后，应在一周内提交总采购计划书（包括品牌、规格型号、数量、采购时间等内容）。在各批材料进场一周前，承包人应向发包人提交该批材料采购情况及说明。各批材料进场前应提前通知发包人进行现场复核确认。</w:t>
      </w:r>
    </w:p>
    <w:p w14:paraId="7F2585B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251" w:name="_Toc296347166"/>
      <w:bookmarkStart w:id="252" w:name="_Toc292559372"/>
      <w:bookmarkStart w:id="253" w:name="_Toc297123527"/>
      <w:bookmarkStart w:id="254" w:name="_Toc297120467"/>
      <w:bookmarkStart w:id="255" w:name="_Toc300934979"/>
      <w:bookmarkStart w:id="256" w:name="_Toc296346668"/>
      <w:bookmarkStart w:id="257" w:name="_Toc312678019"/>
      <w:bookmarkStart w:id="258" w:name="_Toc312677493"/>
      <w:bookmarkStart w:id="259" w:name="_Toc297048353"/>
      <w:bookmarkStart w:id="260" w:name="_Toc296890995"/>
      <w:bookmarkStart w:id="261" w:name="_Toc296944506"/>
      <w:bookmarkStart w:id="262" w:name="_Toc296891207"/>
      <w:bookmarkStart w:id="263" w:name="_Toc280868654"/>
      <w:bookmarkStart w:id="264" w:name="_Toc296503167"/>
      <w:bookmarkStart w:id="265" w:name="_Toc304295556"/>
      <w:bookmarkStart w:id="266" w:name="_Toc297216186"/>
      <w:bookmarkStart w:id="267" w:name="_Toc292559877"/>
      <w:bookmarkStart w:id="268" w:name="_Toc303539136"/>
      <w:r>
        <w:rPr>
          <w:rFonts w:hint="eastAsia" w:ascii="宋体" w:hAnsi="宋体" w:eastAsia="宋体" w:cs="宋体"/>
          <w:color w:val="auto"/>
          <w:sz w:val="21"/>
          <w:szCs w:val="21"/>
          <w:highlight w:val="none"/>
        </w:rPr>
        <w:t>.4材料与工程设备的保管与使用：</w:t>
      </w:r>
      <w:r>
        <w:rPr>
          <w:rFonts w:hint="eastAsia" w:ascii="宋体" w:hAnsi="宋体" w:eastAsia="宋体" w:cs="宋体"/>
          <w:color w:val="auto"/>
          <w:sz w:val="21"/>
          <w:szCs w:val="21"/>
          <w:highlight w:val="none"/>
          <w:u w:val="single"/>
        </w:rPr>
        <w:t>本项目采购材料与工程设备由承包人保管。</w:t>
      </w:r>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7FB3F0C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bookmarkStart w:id="269" w:name="_Toc292559373"/>
      <w:bookmarkStart w:id="270" w:name="_Toc292559878"/>
      <w:r>
        <w:rPr>
          <w:rFonts w:hint="eastAsia" w:ascii="宋体" w:hAnsi="宋体" w:eastAsia="宋体" w:cs="宋体"/>
          <w:color w:val="auto"/>
          <w:kern w:val="0"/>
          <w:sz w:val="21"/>
          <w:szCs w:val="21"/>
          <w:highlight w:val="none"/>
        </w:rPr>
        <w:t>8.4.2 承包人采购</w:t>
      </w:r>
      <w:r>
        <w:rPr>
          <w:rFonts w:hint="eastAsia" w:ascii="宋体" w:hAnsi="宋体" w:eastAsia="宋体" w:cs="宋体"/>
          <w:color w:val="auto"/>
          <w:sz w:val="21"/>
          <w:szCs w:val="21"/>
          <w:highlight w:val="none"/>
        </w:rPr>
        <w:t>材料与</w:t>
      </w:r>
      <w:r>
        <w:rPr>
          <w:rFonts w:hint="eastAsia" w:ascii="宋体" w:hAnsi="宋体" w:eastAsia="宋体" w:cs="宋体"/>
          <w:color w:val="auto"/>
          <w:kern w:val="0"/>
          <w:sz w:val="21"/>
          <w:szCs w:val="21"/>
          <w:highlight w:val="none"/>
        </w:rPr>
        <w:t>工程</w:t>
      </w:r>
      <w:r>
        <w:rPr>
          <w:rFonts w:hint="eastAsia" w:ascii="宋体" w:hAnsi="宋体" w:eastAsia="宋体" w:cs="宋体"/>
          <w:color w:val="auto"/>
          <w:sz w:val="21"/>
          <w:szCs w:val="21"/>
          <w:highlight w:val="none"/>
        </w:rPr>
        <w:t>设备的保管与使用：</w:t>
      </w:r>
      <w:bookmarkEnd w:id="269"/>
      <w:bookmarkEnd w:id="270"/>
      <w:r>
        <w:rPr>
          <w:rFonts w:hint="eastAsia" w:ascii="宋体" w:hAnsi="宋体" w:eastAsia="宋体" w:cs="宋体"/>
          <w:color w:val="auto"/>
          <w:sz w:val="21"/>
          <w:szCs w:val="21"/>
          <w:highlight w:val="none"/>
          <w:u w:val="single"/>
        </w:rPr>
        <w:t>执行通用条款。</w:t>
      </w:r>
    </w:p>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14:paraId="55773D2B">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271" w:name="_Toc267251428"/>
      <w:bookmarkStart w:id="272" w:name="_Toc296944512"/>
      <w:bookmarkStart w:id="273" w:name="_Toc292559378"/>
      <w:bookmarkStart w:id="274" w:name="_Toc296503173"/>
      <w:bookmarkStart w:id="275" w:name="_Toc296346674"/>
      <w:bookmarkStart w:id="276" w:name="_Toc296891213"/>
      <w:bookmarkStart w:id="277" w:name="_Toc297048359"/>
      <w:bookmarkStart w:id="278" w:name="_Toc296891001"/>
      <w:bookmarkStart w:id="279" w:name="_Toc297120473"/>
      <w:bookmarkStart w:id="280" w:name="_Toc267251427"/>
      <w:bookmarkStart w:id="281" w:name="_Toc292559883"/>
      <w:bookmarkStart w:id="282" w:name="_Toc296347172"/>
      <w:bookmarkStart w:id="283" w:name="_Toc351203642"/>
      <w:r>
        <w:rPr>
          <w:rFonts w:hint="eastAsia" w:ascii="宋体" w:hAnsi="宋体" w:eastAsia="宋体" w:cs="宋体"/>
          <w:b/>
          <w:bCs/>
          <w:color w:val="auto"/>
          <w:sz w:val="21"/>
          <w:szCs w:val="21"/>
          <w:highlight w:val="none"/>
        </w:rPr>
        <w:t>1</w:t>
      </w:r>
      <w:bookmarkEnd w:id="271"/>
      <w:bookmarkEnd w:id="272"/>
      <w:bookmarkEnd w:id="273"/>
      <w:bookmarkEnd w:id="274"/>
      <w:bookmarkEnd w:id="275"/>
      <w:bookmarkEnd w:id="276"/>
      <w:bookmarkEnd w:id="277"/>
      <w:bookmarkEnd w:id="278"/>
      <w:bookmarkEnd w:id="279"/>
      <w:bookmarkEnd w:id="280"/>
      <w:bookmarkEnd w:id="281"/>
      <w:bookmarkEnd w:id="282"/>
      <w:bookmarkStart w:id="284" w:name="_Toc297120493"/>
      <w:bookmarkStart w:id="285" w:name="_Toc292559398"/>
      <w:bookmarkStart w:id="286" w:name="_Toc297216199"/>
      <w:bookmarkStart w:id="287" w:name="_Toc292559903"/>
      <w:bookmarkStart w:id="288" w:name="_Toc296347192"/>
      <w:bookmarkStart w:id="289" w:name="_Toc296891021"/>
      <w:bookmarkStart w:id="290" w:name="_Toc296944532"/>
      <w:bookmarkStart w:id="291" w:name="_Toc296891233"/>
      <w:bookmarkStart w:id="292" w:name="_Toc304295566"/>
      <w:bookmarkStart w:id="293" w:name="_Toc296503193"/>
      <w:bookmarkStart w:id="294" w:name="_Toc300934989"/>
      <w:bookmarkStart w:id="295" w:name="_Toc297123540"/>
      <w:bookmarkStart w:id="296" w:name="_Toc297048379"/>
      <w:bookmarkStart w:id="297" w:name="_Toc296346694"/>
      <w:bookmarkStart w:id="298" w:name="_Toc303539146"/>
      <w:bookmarkStart w:id="299" w:name="_Toc312678025"/>
      <w:bookmarkStart w:id="300" w:name="_Toc312677499"/>
      <w:bookmarkStart w:id="301" w:name="_Toc267251435"/>
      <w:bookmarkStart w:id="302" w:name="_Toc267251439"/>
      <w:bookmarkStart w:id="303" w:name="_Toc267251440"/>
      <w:bookmarkStart w:id="304" w:name="_Toc267251433"/>
      <w:bookmarkStart w:id="305" w:name="_Toc267251441"/>
      <w:bookmarkStart w:id="306" w:name="_Toc267251437"/>
      <w:bookmarkStart w:id="307" w:name="_Toc267251442"/>
      <w:r>
        <w:rPr>
          <w:rFonts w:hint="eastAsia" w:ascii="宋体" w:hAnsi="宋体" w:eastAsia="宋体" w:cs="宋体"/>
          <w:b/>
          <w:bCs/>
          <w:color w:val="auto"/>
          <w:sz w:val="21"/>
          <w:szCs w:val="21"/>
          <w:highlight w:val="none"/>
        </w:rPr>
        <w:t>0. 变更</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bookmarkEnd w:id="299"/>
    <w:bookmarkEnd w:id="300"/>
    <w:p w14:paraId="141716F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308" w:name="_Toc296891234"/>
      <w:bookmarkStart w:id="309" w:name="_Toc297123541"/>
      <w:bookmarkStart w:id="310" w:name="_Toc303539147"/>
      <w:bookmarkStart w:id="311" w:name="_Toc292559399"/>
      <w:bookmarkStart w:id="312" w:name="_Toc296891022"/>
      <w:bookmarkStart w:id="313" w:name="_Toc297120494"/>
      <w:bookmarkStart w:id="314" w:name="_Toc297048380"/>
      <w:bookmarkStart w:id="315" w:name="_Toc296347193"/>
      <w:bookmarkStart w:id="316" w:name="_Toc300934990"/>
      <w:bookmarkStart w:id="317" w:name="_Toc312678026"/>
      <w:bookmarkStart w:id="318" w:name="_Toc296503194"/>
      <w:bookmarkStart w:id="319" w:name="_Toc292559904"/>
      <w:bookmarkStart w:id="320" w:name="_Toc296944533"/>
      <w:bookmarkStart w:id="321" w:name="_Toc312677500"/>
      <w:bookmarkStart w:id="322" w:name="_Toc296346695"/>
      <w:bookmarkStart w:id="323" w:name="_Toc297216200"/>
      <w:bookmarkStart w:id="324" w:name="_Toc304295567"/>
      <w:r>
        <w:rPr>
          <w:rFonts w:hint="eastAsia" w:ascii="宋体" w:hAnsi="宋体" w:eastAsia="宋体" w:cs="宋体"/>
          <w:color w:val="auto"/>
          <w:sz w:val="21"/>
          <w:szCs w:val="21"/>
          <w:highlight w:val="none"/>
        </w:rPr>
        <w:t>10.1变更的范围</w:t>
      </w:r>
    </w:p>
    <w:p w14:paraId="5DB5F40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：除通用条款外，承包人在施工中提出的合理化建议涉及到对设计图纸或施工组织设计的更改及对材料、设备的换用，须经报发包人批准后以设计变更单的形式通知承包人实施，否则不作为工程设计变更对待。</w:t>
      </w:r>
    </w:p>
    <w:p w14:paraId="2F316EC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任何变更的提出都应当依据合同或国家有关规范和标准提出。任何变更都必须取得发包人的确认。</w:t>
      </w:r>
    </w:p>
    <w:p w14:paraId="58A5453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727033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5E0A2ADE">
      <w:pPr>
        <w:keepNext w:val="0"/>
        <w:keepLines w:val="0"/>
        <w:pageBreakBefore w:val="0"/>
        <w:widowControl/>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关于变更估价的约定：</w:t>
      </w:r>
      <w:r>
        <w:rPr>
          <w:rFonts w:hint="eastAsia" w:ascii="宋体" w:hAnsi="宋体" w:eastAsia="宋体" w:cs="宋体"/>
          <w:color w:val="auto"/>
          <w:sz w:val="21"/>
          <w:szCs w:val="21"/>
          <w:highlight w:val="none"/>
          <w:u w:val="single"/>
          <w:lang w:val="en-US" w:eastAsia="zh-CN"/>
        </w:rPr>
        <w:t xml:space="preserve">    无   </w:t>
      </w:r>
    </w:p>
    <w:p w14:paraId="797B22E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Start w:id="325" w:name="_Toc292559402"/>
      <w:bookmarkStart w:id="326" w:name="_Toc296944536"/>
      <w:bookmarkStart w:id="327" w:name="_Toc297123544"/>
      <w:bookmarkStart w:id="328" w:name="_Toc296503197"/>
      <w:bookmarkStart w:id="329" w:name="_Toc297120497"/>
      <w:bookmarkStart w:id="330" w:name="_Toc296891237"/>
      <w:bookmarkStart w:id="331" w:name="_Toc297216203"/>
      <w:bookmarkStart w:id="332" w:name="_Toc297048383"/>
      <w:bookmarkStart w:id="333" w:name="_Toc300934993"/>
      <w:bookmarkStart w:id="334" w:name="_Toc296346698"/>
      <w:bookmarkStart w:id="335" w:name="_Toc296891025"/>
      <w:bookmarkStart w:id="336" w:name="_Toc292559907"/>
      <w:bookmarkStart w:id="337" w:name="_Toc303539150"/>
      <w:bookmarkStart w:id="338" w:name="_Toc296347196"/>
      <w:bookmarkStart w:id="339" w:name="_Toc312678029"/>
      <w:bookmarkStart w:id="340" w:name="_Toc312677503"/>
      <w:bookmarkStart w:id="341" w:name="_Toc304295570"/>
      <w:r>
        <w:rPr>
          <w:rFonts w:hint="eastAsia" w:ascii="宋体" w:hAnsi="宋体" w:eastAsia="宋体" w:cs="宋体"/>
          <w:color w:val="auto"/>
          <w:sz w:val="21"/>
          <w:szCs w:val="21"/>
          <w:highlight w:val="none"/>
        </w:rPr>
        <w:t>0.5承</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Start w:id="342" w:name="_Toc296944542"/>
      <w:bookmarkStart w:id="343" w:name="_Toc296347202"/>
      <w:bookmarkStart w:id="344" w:name="_Toc296891031"/>
      <w:bookmarkStart w:id="345" w:name="_Toc297123545"/>
      <w:bookmarkStart w:id="346" w:name="_Toc300934994"/>
      <w:bookmarkStart w:id="347" w:name="_Toc296503203"/>
      <w:bookmarkStart w:id="348" w:name="_Toc296346704"/>
      <w:bookmarkStart w:id="349" w:name="_Toc297216204"/>
      <w:bookmarkStart w:id="350" w:name="_Toc297048389"/>
      <w:bookmarkStart w:id="351" w:name="_Toc303539151"/>
      <w:bookmarkStart w:id="352" w:name="_Toc296891243"/>
      <w:bookmarkStart w:id="353" w:name="_Toc297120503"/>
      <w:bookmarkStart w:id="354" w:name="_Toc292559408"/>
      <w:bookmarkStart w:id="355" w:name="_Toc292559913"/>
      <w:r>
        <w:rPr>
          <w:rFonts w:hint="eastAsia" w:ascii="宋体" w:hAnsi="宋体" w:eastAsia="宋体" w:cs="宋体"/>
          <w:color w:val="auto"/>
          <w:sz w:val="21"/>
          <w:szCs w:val="21"/>
          <w:highlight w:val="none"/>
        </w:rPr>
        <w:t>包人的合理化建议</w:t>
      </w:r>
    </w:p>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14:paraId="52751A8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14天内审核完毕</w:t>
      </w:r>
      <w:r>
        <w:rPr>
          <w:rFonts w:hint="eastAsia" w:ascii="宋体" w:hAnsi="宋体" w:eastAsia="宋体" w:cs="宋体"/>
          <w:color w:val="auto"/>
          <w:sz w:val="21"/>
          <w:szCs w:val="21"/>
          <w:highlight w:val="none"/>
        </w:rPr>
        <w:t>。</w:t>
      </w:r>
    </w:p>
    <w:p w14:paraId="72A5278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356" w:name="_Toc296503204"/>
      <w:bookmarkStart w:id="357" w:name="_Toc312678030"/>
      <w:bookmarkStart w:id="358" w:name="_Toc304295571"/>
      <w:bookmarkStart w:id="359" w:name="_Toc296891244"/>
      <w:bookmarkStart w:id="360" w:name="_Toc300934995"/>
      <w:bookmarkStart w:id="361" w:name="_Toc297216205"/>
      <w:bookmarkStart w:id="362" w:name="_Toc296347203"/>
      <w:bookmarkStart w:id="363" w:name="_Toc297048390"/>
      <w:bookmarkStart w:id="364" w:name="_Toc292559409"/>
      <w:bookmarkStart w:id="365" w:name="_Toc296346705"/>
      <w:bookmarkStart w:id="366" w:name="_Toc312677504"/>
      <w:bookmarkStart w:id="367" w:name="_Toc297120504"/>
      <w:bookmarkStart w:id="368" w:name="_Toc296891032"/>
      <w:bookmarkStart w:id="369" w:name="_Toc297123546"/>
      <w:bookmarkStart w:id="370" w:name="_Toc303539152"/>
      <w:bookmarkStart w:id="371" w:name="_Toc318581175"/>
      <w:bookmarkStart w:id="372" w:name="_Toc296944543"/>
      <w:bookmarkStart w:id="373" w:name="_Toc292559914"/>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093F9AE1">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374" w:name="_Toc351203643"/>
      <w:r>
        <w:rPr>
          <w:rFonts w:hint="eastAsia" w:ascii="宋体" w:hAnsi="宋体" w:eastAsia="宋体" w:cs="宋体"/>
          <w:b/>
          <w:bCs/>
          <w:color w:val="auto"/>
          <w:sz w:val="21"/>
          <w:szCs w:val="21"/>
          <w:highlight w:val="none"/>
        </w:rPr>
        <w:t>11. 价格调整</w:t>
      </w:r>
      <w:bookmarkEnd w:id="374"/>
    </w:p>
    <w:bookmarkEnd w:id="301"/>
    <w:bookmarkEnd w:id="302"/>
    <w:bookmarkEnd w:id="303"/>
    <w:bookmarkEnd w:id="304"/>
    <w:bookmarkEnd w:id="305"/>
    <w:bookmarkEnd w:id="306"/>
    <w:p w14:paraId="1BCF1BD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375" w:name="_Toc296346702"/>
      <w:bookmarkStart w:id="376" w:name="_Toc296891241"/>
      <w:bookmarkStart w:id="377" w:name="_Toc296347200"/>
      <w:bookmarkStart w:id="378" w:name="_Toc296503201"/>
      <w:bookmarkStart w:id="379" w:name="_Toc296891029"/>
      <w:bookmarkStart w:id="380" w:name="_Toc297048387"/>
      <w:bookmarkStart w:id="381" w:name="_Toc300935000"/>
      <w:bookmarkStart w:id="382" w:name="_Toc304295577"/>
      <w:bookmarkStart w:id="383" w:name="_Toc297216209"/>
      <w:bookmarkStart w:id="384" w:name="_Toc303539157"/>
      <w:bookmarkStart w:id="385" w:name="_Toc292559406"/>
      <w:bookmarkStart w:id="386" w:name="_Toc297120501"/>
      <w:bookmarkStart w:id="387" w:name="_Toc312678039"/>
      <w:bookmarkStart w:id="388" w:name="_Toc292559911"/>
      <w:bookmarkStart w:id="389" w:name="_Toc297123550"/>
      <w:bookmarkStart w:id="390" w:name="_Toc296944540"/>
      <w:bookmarkStart w:id="391" w:name="_Toc296891245"/>
      <w:bookmarkStart w:id="392" w:name="_Toc297048391"/>
      <w:bookmarkStart w:id="393" w:name="_Toc292559915"/>
      <w:bookmarkStart w:id="394" w:name="_Toc296346706"/>
      <w:bookmarkStart w:id="395" w:name="_Toc296503205"/>
      <w:bookmarkStart w:id="396" w:name="_Toc296347204"/>
      <w:bookmarkStart w:id="397" w:name="_Toc296944544"/>
      <w:bookmarkStart w:id="398" w:name="_Toc297120505"/>
      <w:bookmarkStart w:id="399" w:name="_Toc296891033"/>
      <w:bookmarkStart w:id="400" w:name="_Toc292559410"/>
      <w:bookmarkStart w:id="401" w:name="_Toc351203644"/>
      <w:bookmarkStart w:id="402" w:name="_Toc303539159"/>
      <w:bookmarkStart w:id="403" w:name="_Toc297123552"/>
      <w:bookmarkStart w:id="404" w:name="_Toc304295579"/>
      <w:bookmarkStart w:id="405" w:name="_Toc300935002"/>
      <w:bookmarkStart w:id="406" w:name="_Toc297216211"/>
      <w:bookmarkStart w:id="407" w:name="_Toc312678040"/>
      <w:r>
        <w:rPr>
          <w:rFonts w:hint="eastAsia" w:ascii="宋体" w:hAnsi="宋体" w:eastAsia="宋体" w:cs="宋体"/>
          <w:color w:val="auto"/>
          <w:sz w:val="21"/>
          <w:szCs w:val="21"/>
          <w:highlight w:val="none"/>
        </w:rPr>
        <w:t>11.1 市场价格波动引起的调整</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14:paraId="38BE469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不调整</w:t>
      </w:r>
      <w:r>
        <w:rPr>
          <w:rFonts w:hint="eastAsia" w:ascii="宋体" w:hAnsi="宋体" w:eastAsia="宋体" w:cs="宋体"/>
          <w:color w:val="auto"/>
          <w:sz w:val="21"/>
          <w:szCs w:val="21"/>
          <w:highlight w:val="none"/>
        </w:rPr>
        <w:t>。</w:t>
      </w:r>
    </w:p>
    <w:bookmarkEnd w:id="391"/>
    <w:bookmarkEnd w:id="392"/>
    <w:bookmarkEnd w:id="393"/>
    <w:bookmarkEnd w:id="394"/>
    <w:bookmarkEnd w:id="395"/>
    <w:bookmarkEnd w:id="396"/>
    <w:bookmarkEnd w:id="397"/>
    <w:bookmarkEnd w:id="398"/>
    <w:bookmarkEnd w:id="399"/>
    <w:bookmarkEnd w:id="400"/>
    <w:p w14:paraId="63CA609F">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12.合同价格、计量与支付</w:t>
      </w:r>
      <w:bookmarkEnd w:id="401"/>
    </w:p>
    <w:p w14:paraId="5A1E55F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08" w:name="_Toc267251461"/>
      <w:bookmarkStart w:id="409" w:name="_Toc292559916"/>
      <w:bookmarkStart w:id="410" w:name="_Toc292559411"/>
      <w:bookmarkStart w:id="411" w:name="_Toc296503206"/>
      <w:bookmarkStart w:id="412" w:name="_Toc296891034"/>
      <w:bookmarkStart w:id="413" w:name="_Toc296944545"/>
      <w:bookmarkStart w:id="414" w:name="_Toc297120506"/>
      <w:bookmarkStart w:id="415" w:name="_Toc296891246"/>
      <w:bookmarkStart w:id="416" w:name="_Toc297048392"/>
      <w:bookmarkStart w:id="417" w:name="_Toc296346707"/>
      <w:bookmarkStart w:id="418" w:name="_Toc296347205"/>
      <w:r>
        <w:rPr>
          <w:rFonts w:hint="eastAsia" w:ascii="宋体" w:hAnsi="宋体" w:eastAsia="宋体" w:cs="宋体"/>
          <w:color w:val="auto"/>
          <w:sz w:val="21"/>
          <w:szCs w:val="21"/>
          <w:highlight w:val="none"/>
        </w:rPr>
        <w:t>12.1 合</w:t>
      </w:r>
      <w:bookmarkEnd w:id="408"/>
      <w:bookmarkEnd w:id="409"/>
      <w:bookmarkEnd w:id="410"/>
      <w:r>
        <w:rPr>
          <w:rFonts w:hint="eastAsia" w:ascii="宋体" w:hAnsi="宋体" w:eastAsia="宋体" w:cs="宋体"/>
          <w:color w:val="auto"/>
          <w:sz w:val="21"/>
          <w:szCs w:val="21"/>
          <w:highlight w:val="none"/>
        </w:rPr>
        <w:t>同价</w:t>
      </w:r>
      <w:bookmarkEnd w:id="411"/>
      <w:bookmarkEnd w:id="412"/>
      <w:bookmarkEnd w:id="413"/>
      <w:bookmarkEnd w:id="414"/>
      <w:bookmarkEnd w:id="415"/>
      <w:bookmarkEnd w:id="416"/>
      <w:bookmarkEnd w:id="417"/>
      <w:bookmarkEnd w:id="418"/>
      <w:r>
        <w:rPr>
          <w:rFonts w:hint="eastAsia" w:ascii="宋体" w:hAnsi="宋体" w:eastAsia="宋体" w:cs="宋体"/>
          <w:color w:val="auto"/>
          <w:sz w:val="21"/>
          <w:szCs w:val="21"/>
          <w:highlight w:val="none"/>
        </w:rPr>
        <w:t>格形式</w:t>
      </w:r>
    </w:p>
    <w:bookmarkEnd w:id="307"/>
    <w:bookmarkEnd w:id="402"/>
    <w:bookmarkEnd w:id="403"/>
    <w:bookmarkEnd w:id="404"/>
    <w:bookmarkEnd w:id="405"/>
    <w:bookmarkEnd w:id="406"/>
    <w:bookmarkEnd w:id="407"/>
    <w:p w14:paraId="19C3340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19" w:name="_Toc296891035"/>
      <w:bookmarkStart w:id="420" w:name="_Toc297120507"/>
      <w:bookmarkStart w:id="421" w:name="_Toc292559412"/>
      <w:bookmarkStart w:id="422" w:name="_Toc296944546"/>
      <w:bookmarkStart w:id="423" w:name="_Toc296891247"/>
      <w:bookmarkStart w:id="424" w:name="_Toc296503207"/>
      <w:bookmarkStart w:id="425" w:name="_Toc297048393"/>
      <w:bookmarkStart w:id="426" w:name="_Toc292559917"/>
      <w:bookmarkStart w:id="427" w:name="_Toc296347206"/>
      <w:bookmarkStart w:id="428" w:name="_Toc296346708"/>
      <w:bookmarkStart w:id="429" w:name="_Toc351203645"/>
      <w:bookmarkStart w:id="430" w:name="_Toc297048405"/>
      <w:bookmarkStart w:id="431" w:name="_Toc297120519"/>
      <w:bookmarkStart w:id="432" w:name="_Toc304295593"/>
      <w:bookmarkStart w:id="433" w:name="_Toc296347218"/>
      <w:bookmarkStart w:id="434" w:name="_Toc296503219"/>
      <w:bookmarkStart w:id="435" w:name="_Toc303539172"/>
      <w:bookmarkStart w:id="436" w:name="_Toc292559929"/>
      <w:bookmarkStart w:id="437" w:name="_Toc296346720"/>
      <w:bookmarkStart w:id="438" w:name="_Toc297123564"/>
      <w:bookmarkStart w:id="439" w:name="_Toc296891259"/>
      <w:bookmarkStart w:id="440" w:name="_Toc297216223"/>
      <w:bookmarkStart w:id="441" w:name="_Toc292559424"/>
      <w:bookmarkStart w:id="442" w:name="_Toc312678053"/>
      <w:bookmarkStart w:id="443" w:name="_Toc296944558"/>
      <w:bookmarkStart w:id="444" w:name="_Toc296891047"/>
      <w:bookmarkStart w:id="445" w:name="_Toc300935015"/>
      <w:r>
        <w:rPr>
          <w:rFonts w:hint="eastAsia" w:ascii="宋体" w:hAnsi="宋体" w:eastAsia="宋体" w:cs="宋体"/>
          <w:color w:val="auto"/>
          <w:sz w:val="21"/>
          <w:szCs w:val="21"/>
          <w:highlight w:val="none"/>
        </w:rPr>
        <w:t>12.1.1</w:t>
      </w:r>
      <w:r>
        <w:rPr>
          <w:rFonts w:hint="eastAsia" w:ascii="宋体" w:hAnsi="宋体" w:eastAsia="宋体" w:cs="宋体"/>
          <w:color w:val="auto"/>
          <w:sz w:val="21"/>
          <w:szCs w:val="21"/>
          <w:highlight w:val="none"/>
          <w:lang w:val="en-US" w:eastAsia="zh-CN"/>
        </w:rPr>
        <w:t>总价</w:t>
      </w:r>
      <w:r>
        <w:rPr>
          <w:rFonts w:hint="eastAsia" w:ascii="宋体" w:hAnsi="宋体" w:eastAsia="宋体" w:cs="宋体"/>
          <w:color w:val="auto"/>
          <w:sz w:val="21"/>
          <w:szCs w:val="21"/>
          <w:highlight w:val="none"/>
        </w:rPr>
        <w:t>合同。</w:t>
      </w:r>
    </w:p>
    <w:p w14:paraId="561B9F0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12.1.2合同价款调整：</w:t>
      </w:r>
      <w:r>
        <w:rPr>
          <w:rFonts w:hint="eastAsia" w:ascii="宋体" w:hAnsi="宋体" w:eastAsia="宋体" w:cs="宋体"/>
          <w:color w:val="auto"/>
          <w:sz w:val="21"/>
          <w:szCs w:val="21"/>
          <w:highlight w:val="none"/>
          <w:lang w:val="en-US" w:eastAsia="zh-CN"/>
        </w:rPr>
        <w:t>不调整</w:t>
      </w:r>
    </w:p>
    <w:p w14:paraId="16F84D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bookmarkEnd w:id="419"/>
    <w:bookmarkEnd w:id="420"/>
    <w:bookmarkEnd w:id="421"/>
    <w:bookmarkEnd w:id="422"/>
    <w:bookmarkEnd w:id="423"/>
    <w:bookmarkEnd w:id="424"/>
    <w:bookmarkEnd w:id="425"/>
    <w:bookmarkEnd w:id="426"/>
    <w:bookmarkEnd w:id="427"/>
    <w:bookmarkEnd w:id="428"/>
    <w:p w14:paraId="2533745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74FDBCB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w:t>
      </w:r>
    </w:p>
    <w:p w14:paraId="144833F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A96F0E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w:t>
      </w:r>
    </w:p>
    <w:p w14:paraId="328E406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788A62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承包人提交预付款担保的期限及比例：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AA9ACA0">
      <w:pPr>
        <w:keepNext w:val="0"/>
        <w:keepLines w:val="0"/>
        <w:pageBreakBefore w:val="0"/>
        <w:tabs>
          <w:tab w:val="left" w:pos="3686"/>
        </w:tabs>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担保时效：</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5698A4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7FB6BA8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779A9F40">
      <w:pPr>
        <w:keepNext w:val="0"/>
        <w:keepLines w:val="0"/>
        <w:pageBreakBefore w:val="0"/>
        <w:widowControl w:val="0"/>
        <w:numPr>
          <w:ilvl w:val="0"/>
          <w:numId w:val="0"/>
        </w:numPr>
        <w:shd w:val="clear"/>
        <w:tabs>
          <w:tab w:val="center" w:pos="4535"/>
        </w:tabs>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color w:val="auto"/>
          <w:sz w:val="21"/>
          <w:szCs w:val="21"/>
          <w:highlight w:val="yellow"/>
          <w:lang w:val="en-US" w:eastAsia="zh-CN"/>
        </w:rPr>
      </w:pPr>
      <w:r>
        <w:rPr>
          <w:rFonts w:hint="eastAsia" w:ascii="宋体" w:hAnsi="宋体" w:eastAsia="宋体" w:cs="宋体"/>
          <w:color w:val="auto"/>
          <w:sz w:val="21"/>
          <w:szCs w:val="21"/>
          <w:highlight w:val="none"/>
          <w:u w:val="single"/>
        </w:rPr>
        <w:t>工程量计算规则</w:t>
      </w:r>
      <w:r>
        <w:rPr>
          <w:rFonts w:hint="eastAsia" w:ascii="宋体" w:hAnsi="宋体" w:eastAsia="宋体" w:cs="宋体"/>
          <w:color w:val="auto"/>
          <w:sz w:val="21"/>
          <w:szCs w:val="21"/>
          <w:highlight w:val="none"/>
          <w:u w:val="single"/>
          <w:lang w:val="en-US" w:eastAsia="zh-CN"/>
        </w:rPr>
        <w:t>：工程量依据</w:t>
      </w:r>
      <w:r>
        <w:rPr>
          <w:rFonts w:hint="eastAsia" w:ascii="宋体" w:hAnsi="宋体" w:cs="宋体"/>
          <w:color w:val="auto"/>
          <w:sz w:val="21"/>
          <w:szCs w:val="21"/>
          <w:highlight w:val="none"/>
          <w:u w:val="single"/>
          <w:lang w:val="en-US" w:eastAsia="zh-CN"/>
        </w:rPr>
        <w:t>泾阳县老年人服务中心(泾阳县中心敬老院)提升改造项目</w:t>
      </w:r>
      <w:r>
        <w:rPr>
          <w:rFonts w:hint="eastAsia" w:ascii="宋体" w:hAnsi="宋体" w:eastAsia="宋体" w:cs="宋体"/>
          <w:color w:val="auto"/>
          <w:sz w:val="21"/>
          <w:szCs w:val="21"/>
          <w:highlight w:val="none"/>
          <w:u w:val="single"/>
          <w:lang w:val="en-US" w:eastAsia="zh-CN"/>
        </w:rPr>
        <w:t>图纸及相关工程建设规范、标准、图集等、计价编制依据《陕西省建设工程费用规则（2025）》、《陕西省建设工程工程量清单计价计算标准（2025）》、《陕西省房屋建筑与装饰工程基价表(2025)》、《陕西省房屋建筑与装饰工程消耗量定额(2025)》、《陕西省通用安装工程基价表(2025)》、《陕西省通用安装工程消耗量定额(2025)》、《陕西省市政工程基价表(2025)》、《陕西省市政工程消耗量定额(2025)》及相关费率文件、材料价执行陕西省咸阳市工程造价信息2025年第</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lang w:val="en-US" w:eastAsia="zh-CN"/>
        </w:rPr>
        <w:t>期材料信息价及参考市场价、建筑工人实名制管理费用执行陕建发【2019】1246号“关于发布我省落实建筑工人实名制管理计价依据”的通知、建筑施工安全生产责任保险费执行陕建发【2020】1097号关于建筑施工安全生产责任保险费用计价的通知、建筑企业人员社会养老保险费执行陕建发【2021】1021号关于全省统一停止收缴建筑业劳保费用的通知</w:t>
      </w:r>
      <w:r>
        <w:rPr>
          <w:rFonts w:hint="eastAsia" w:ascii="宋体" w:hAnsi="宋体" w:eastAsia="宋体" w:cs="宋体"/>
          <w:color w:val="auto"/>
          <w:kern w:val="0"/>
          <w:sz w:val="21"/>
          <w:szCs w:val="21"/>
          <w:u w:val="single"/>
          <w:lang w:val="en-US" w:eastAsia="zh-CN" w:bidi="ar"/>
        </w:rPr>
        <w:t>。</w:t>
      </w:r>
    </w:p>
    <w:p w14:paraId="47DBC71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36B1B31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按周计量    </w:t>
      </w:r>
      <w:r>
        <w:rPr>
          <w:rFonts w:hint="eastAsia" w:ascii="宋体" w:hAnsi="宋体" w:eastAsia="宋体" w:cs="宋体"/>
          <w:color w:val="auto"/>
          <w:sz w:val="21"/>
          <w:szCs w:val="21"/>
          <w:highlight w:val="none"/>
        </w:rPr>
        <w:t>。</w:t>
      </w:r>
    </w:p>
    <w:p w14:paraId="3502186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3FB2B19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p w14:paraId="6B1E98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446" w:name="_Toc296503211"/>
      <w:bookmarkStart w:id="447" w:name="_Toc297048397"/>
      <w:bookmarkStart w:id="448" w:name="_Toc297120511"/>
      <w:bookmarkStart w:id="449" w:name="_Toc297123556"/>
      <w:bookmarkStart w:id="450" w:name="_Toc296346712"/>
      <w:bookmarkStart w:id="451" w:name="_Toc297216215"/>
      <w:bookmarkStart w:id="452" w:name="_Toc300935006"/>
      <w:bookmarkStart w:id="453" w:name="_Toc296944550"/>
      <w:bookmarkStart w:id="454" w:name="_Toc296347210"/>
      <w:bookmarkStart w:id="455" w:name="_Toc296891251"/>
      <w:bookmarkStart w:id="456" w:name="_Toc303539163"/>
      <w:bookmarkStart w:id="457" w:name="_Toc296891039"/>
      <w:bookmarkStart w:id="458" w:name="_Toc292559416"/>
      <w:bookmarkStart w:id="459" w:name="_Toc292559921"/>
      <w:r>
        <w:rPr>
          <w:rFonts w:hint="eastAsia" w:ascii="宋体" w:hAnsi="宋体" w:eastAsia="宋体" w:cs="宋体"/>
          <w:color w:val="auto"/>
          <w:sz w:val="21"/>
          <w:szCs w:val="21"/>
          <w:highlight w:val="none"/>
        </w:rPr>
        <w:t>12.4 工程进度款支付</w:t>
      </w:r>
    </w:p>
    <w:p w14:paraId="04DBDFA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 付款</w:t>
      </w:r>
    </w:p>
    <w:p w14:paraId="01ED9E71">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付款</w:t>
      </w:r>
      <w:r>
        <w:rPr>
          <w:rFonts w:hint="eastAsia" w:ascii="宋体" w:hAnsi="宋体" w:cs="宋体"/>
          <w:b/>
          <w:bCs/>
          <w:color w:val="auto"/>
          <w:sz w:val="21"/>
          <w:szCs w:val="21"/>
          <w:highlight w:val="none"/>
          <w:u w:val="single"/>
          <w:lang w:val="en-US" w:eastAsia="zh-CN"/>
        </w:rPr>
        <w:t>方式</w:t>
      </w:r>
      <w:r>
        <w:rPr>
          <w:rFonts w:hint="eastAsia" w:ascii="宋体" w:hAnsi="宋体" w:eastAsia="宋体" w:cs="宋体"/>
          <w:b/>
          <w:bCs/>
          <w:color w:val="auto"/>
          <w:sz w:val="21"/>
          <w:szCs w:val="21"/>
          <w:highlight w:val="none"/>
          <w:u w:val="single"/>
        </w:rPr>
        <w:t>：</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hint="eastAsia" w:ascii="宋体" w:hAnsi="宋体" w:eastAsia="宋体" w:cs="宋体"/>
          <w:b/>
          <w:bCs/>
          <w:color w:val="auto"/>
          <w:sz w:val="21"/>
          <w:szCs w:val="21"/>
          <w:highlight w:val="none"/>
          <w:u w:val="single"/>
          <w:lang w:val="en-US" w:eastAsia="zh-CN"/>
        </w:rPr>
        <w:t>完成总工程量的50%，支付合同总价的50%，全部完工，竣工验收合格</w:t>
      </w:r>
      <w:r>
        <w:rPr>
          <w:rFonts w:hint="eastAsia" w:ascii="宋体" w:hAnsi="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lang w:val="en-US" w:eastAsia="zh-CN"/>
        </w:rPr>
        <w:t>乙方提供完整的竣工资料，项目专项审计结束后，无质量问题</w:t>
      </w:r>
      <w:r>
        <w:rPr>
          <w:rFonts w:hint="eastAsia" w:ascii="宋体" w:hAnsi="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lang w:val="en-US" w:eastAsia="zh-CN"/>
        </w:rPr>
        <w:t>支付至合同总价的100%。</w:t>
      </w:r>
    </w:p>
    <w:p w14:paraId="7336BBC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验收工程</w:t>
      </w:r>
      <w:bookmarkEnd w:id="429"/>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23D9166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460" w:name="_Toc296891263"/>
      <w:bookmarkStart w:id="461" w:name="_Toc296944562"/>
      <w:bookmarkStart w:id="462" w:name="_Toc296891051"/>
      <w:bookmarkStart w:id="463" w:name="_Toc300935016"/>
      <w:bookmarkStart w:id="464" w:name="_Toc296503223"/>
      <w:bookmarkStart w:id="465" w:name="_Toc296347222"/>
      <w:bookmarkStart w:id="466" w:name="_Toc292559428"/>
      <w:bookmarkStart w:id="467" w:name="_Toc297048409"/>
      <w:bookmarkStart w:id="468" w:name="_Toc297123565"/>
      <w:bookmarkStart w:id="469" w:name="_Toc304295596"/>
      <w:bookmarkStart w:id="470" w:name="_Toc303539173"/>
      <w:bookmarkStart w:id="471" w:name="_Toc312678056"/>
      <w:bookmarkStart w:id="472" w:name="_Toc297120523"/>
      <w:bookmarkStart w:id="473" w:name="_Toc292559933"/>
      <w:bookmarkStart w:id="474" w:name="_Toc297216224"/>
      <w:bookmarkStart w:id="475" w:name="_Toc296346724"/>
      <w:bookmarkStart w:id="476" w:name="_Toc267251476"/>
      <w:bookmarkStart w:id="477" w:name="_Toc267251471"/>
      <w:bookmarkStart w:id="478" w:name="_Toc267251475"/>
      <w:bookmarkStart w:id="479" w:name="_Toc267251473"/>
      <w:bookmarkStart w:id="480" w:name="_Toc267251472"/>
      <w:bookmarkStart w:id="481" w:name="_Toc267251474"/>
      <w:bookmarkStart w:id="482" w:name="_Toc267251470"/>
      <w:r>
        <w:rPr>
          <w:rFonts w:hint="eastAsia" w:ascii="宋体" w:hAnsi="宋体" w:eastAsia="宋体" w:cs="宋体"/>
          <w:color w:val="auto"/>
          <w:sz w:val="21"/>
          <w:szCs w:val="21"/>
          <w:highlight w:val="none"/>
        </w:rPr>
        <w:t>13.2 竣工验收</w:t>
      </w:r>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14:paraId="7EB4E89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83" w:name="_Toc280868704"/>
      <w:bookmarkStart w:id="484" w:name="_Toc280868705"/>
      <w:bookmarkStart w:id="485" w:name="_Toc280868706"/>
      <w:bookmarkStart w:id="486" w:name="_Toc280868707"/>
      <w:bookmarkStart w:id="487" w:name="_Toc280868708"/>
      <w:bookmarkStart w:id="488" w:name="_Toc280868709"/>
      <w:r>
        <w:rPr>
          <w:rFonts w:hint="eastAsia" w:ascii="宋体" w:hAnsi="宋体" w:eastAsia="宋体" w:cs="宋体"/>
          <w:color w:val="auto"/>
          <w:sz w:val="21"/>
          <w:szCs w:val="21"/>
          <w:highlight w:val="none"/>
        </w:rPr>
        <w:t>13.2.2竣工验收程序</w:t>
      </w:r>
    </w:p>
    <w:bookmarkEnd w:id="483"/>
    <w:p w14:paraId="3FD65F1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承包人按国家、陕西省、</w:t>
      </w:r>
      <w:r>
        <w:rPr>
          <w:rFonts w:hint="eastAsia" w:ascii="宋体" w:hAnsi="宋体" w:eastAsia="宋体" w:cs="宋体"/>
          <w:color w:val="auto"/>
          <w:sz w:val="21"/>
          <w:szCs w:val="21"/>
          <w:highlight w:val="none"/>
          <w:u w:val="single"/>
          <w:lang w:val="en-US" w:eastAsia="zh-CN"/>
        </w:rPr>
        <w:t>咸阳市</w:t>
      </w:r>
      <w:r>
        <w:rPr>
          <w:rFonts w:hint="eastAsia" w:ascii="宋体" w:hAnsi="宋体" w:eastAsia="宋体" w:cs="宋体"/>
          <w:color w:val="auto"/>
          <w:sz w:val="21"/>
          <w:szCs w:val="21"/>
          <w:highlight w:val="none"/>
          <w:u w:val="single"/>
        </w:rPr>
        <w:t>相关规定，完成验收后，进行工程竣工验收。竣工验收后一个月内，提交竣工图及完整资料文件四套。</w:t>
      </w:r>
    </w:p>
    <w:p w14:paraId="20665CF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w:t>
      </w:r>
    </w:p>
    <w:bookmarkEnd w:id="484"/>
    <w:p w14:paraId="62FFECC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485"/>
    <w:p w14:paraId="5DE4A35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kern w:val="0"/>
          <w:sz w:val="21"/>
          <w:szCs w:val="21"/>
          <w:highlight w:val="none"/>
          <w:u w:val="single"/>
        </w:rPr>
        <w:t>颁发工程接收证书后7天内</w:t>
      </w:r>
      <w:r>
        <w:rPr>
          <w:rFonts w:hint="eastAsia" w:ascii="宋体" w:hAnsi="宋体" w:eastAsia="宋体" w:cs="宋体"/>
          <w:color w:val="auto"/>
          <w:sz w:val="21"/>
          <w:szCs w:val="21"/>
          <w:highlight w:val="none"/>
        </w:rPr>
        <w:t>。</w:t>
      </w:r>
    </w:p>
    <w:p w14:paraId="210868F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bookmarkEnd w:id="486"/>
    <w:p w14:paraId="1563344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按专用条款7.5.2条执行</w:t>
      </w:r>
      <w:r>
        <w:rPr>
          <w:rFonts w:hint="eastAsia" w:ascii="宋体" w:hAnsi="宋体" w:eastAsia="宋体" w:cs="宋体"/>
          <w:color w:val="auto"/>
          <w:sz w:val="21"/>
          <w:szCs w:val="21"/>
          <w:highlight w:val="none"/>
        </w:rPr>
        <w:t>。</w:t>
      </w:r>
    </w:p>
    <w:bookmarkEnd w:id="487"/>
    <w:p w14:paraId="2B90873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737F39E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6D2503C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工程竣工移交后，以发包人书面指令为准  </w:t>
      </w:r>
      <w:r>
        <w:rPr>
          <w:rFonts w:hint="eastAsia" w:ascii="宋体" w:hAnsi="宋体" w:eastAsia="宋体" w:cs="宋体"/>
          <w:color w:val="auto"/>
          <w:kern w:val="0"/>
          <w:sz w:val="21"/>
          <w:szCs w:val="21"/>
          <w:highlight w:val="none"/>
        </w:rPr>
        <w:t>。</w:t>
      </w:r>
    </w:p>
    <w:p w14:paraId="2F91E75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489" w:name="_Toc351203646"/>
      <w:r>
        <w:rPr>
          <w:rFonts w:hint="eastAsia" w:ascii="宋体" w:hAnsi="宋体" w:eastAsia="宋体" w:cs="宋体"/>
          <w:b/>
          <w:bCs/>
          <w:color w:val="auto"/>
          <w:sz w:val="21"/>
          <w:szCs w:val="21"/>
          <w:highlight w:val="none"/>
        </w:rPr>
        <w:t>14. 竣工结算</w:t>
      </w:r>
      <w:bookmarkEnd w:id="489"/>
    </w:p>
    <w:p w14:paraId="462BB57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竣工付款申请</w:t>
      </w:r>
    </w:p>
    <w:p w14:paraId="6B45D68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sz w:val="21"/>
          <w:szCs w:val="21"/>
          <w:highlight w:val="none"/>
          <w:u w:val="single"/>
        </w:rPr>
        <w:t xml:space="preserve">提交的竣工验收报告获得发包人批准后，承包人应在60个工作日内办理并提交“竣工结算资料”    </w:t>
      </w:r>
      <w:r>
        <w:rPr>
          <w:rFonts w:hint="eastAsia" w:ascii="宋体" w:hAnsi="宋体" w:eastAsia="宋体" w:cs="宋体"/>
          <w:color w:val="auto"/>
          <w:sz w:val="21"/>
          <w:szCs w:val="21"/>
          <w:highlight w:val="none"/>
        </w:rPr>
        <w:t>。</w:t>
      </w:r>
    </w:p>
    <w:p w14:paraId="42D256C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sz w:val="21"/>
          <w:szCs w:val="21"/>
          <w:highlight w:val="none"/>
          <w:u w:val="single"/>
        </w:rPr>
        <w:t xml:space="preserve">竣工结算合同总价、已支付的工程价款、应扣留的质量保证金、应支付的竣工付款金额及相关证明材料等  </w:t>
      </w:r>
      <w:r>
        <w:rPr>
          <w:rFonts w:hint="eastAsia" w:ascii="宋体" w:hAnsi="宋体" w:eastAsia="宋体" w:cs="宋体"/>
          <w:color w:val="auto"/>
          <w:sz w:val="21"/>
          <w:szCs w:val="21"/>
          <w:highlight w:val="none"/>
        </w:rPr>
        <w:t>。</w:t>
      </w:r>
    </w:p>
    <w:p w14:paraId="7F4CB46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69E5D3E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结算审查期限，从收到承包人上报的完整的竣工结算资料（竣工图、变更、签证、认价单、结算书、结算申请单）之日起，两个月内审核完成或提出修改意见，结算时间最长不超过12个月</w:t>
      </w:r>
      <w:r>
        <w:rPr>
          <w:rFonts w:hint="eastAsia" w:ascii="宋体" w:hAnsi="宋体" w:eastAsia="宋体" w:cs="宋体"/>
          <w:color w:val="auto"/>
          <w:sz w:val="21"/>
          <w:szCs w:val="21"/>
          <w:highlight w:val="none"/>
        </w:rPr>
        <w:t>。</w:t>
      </w:r>
    </w:p>
    <w:p w14:paraId="4C78752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发包人委托的第三方造价审计机构出具正式结算报告后1个月内</w:t>
      </w:r>
      <w:r>
        <w:rPr>
          <w:rFonts w:hint="eastAsia" w:ascii="宋体" w:hAnsi="宋体" w:eastAsia="宋体" w:cs="宋体"/>
          <w:color w:val="auto"/>
          <w:sz w:val="21"/>
          <w:szCs w:val="21"/>
          <w:highlight w:val="none"/>
        </w:rPr>
        <w:t>。</w:t>
      </w:r>
    </w:p>
    <w:p w14:paraId="7062EA8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由发包人委托的第三方造价审计机构进行复核</w:t>
      </w:r>
      <w:r>
        <w:rPr>
          <w:rFonts w:hint="eastAsia" w:ascii="宋体" w:hAnsi="宋体" w:eastAsia="宋体" w:cs="宋体"/>
          <w:color w:val="auto"/>
          <w:sz w:val="21"/>
          <w:szCs w:val="21"/>
          <w:highlight w:val="none"/>
        </w:rPr>
        <w:t>。</w:t>
      </w:r>
    </w:p>
    <w:p w14:paraId="1D84059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7B0D345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046FA63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6份   </w:t>
      </w:r>
      <w:r>
        <w:rPr>
          <w:rFonts w:hint="eastAsia" w:ascii="宋体" w:hAnsi="宋体" w:eastAsia="宋体" w:cs="宋体"/>
          <w:color w:val="auto"/>
          <w:sz w:val="21"/>
          <w:szCs w:val="21"/>
          <w:highlight w:val="none"/>
        </w:rPr>
        <w:t>。</w:t>
      </w:r>
    </w:p>
    <w:p w14:paraId="490529A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在缺陷责任期终止证书颁发后10天内</w:t>
      </w:r>
      <w:r>
        <w:rPr>
          <w:rFonts w:hint="eastAsia" w:ascii="宋体" w:hAnsi="宋体" w:eastAsia="宋体" w:cs="宋体"/>
          <w:color w:val="auto"/>
          <w:sz w:val="21"/>
          <w:szCs w:val="21"/>
          <w:highlight w:val="none"/>
        </w:rPr>
        <w:t xml:space="preserve">。 </w:t>
      </w:r>
    </w:p>
    <w:p w14:paraId="73626FC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4937CD9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p w14:paraId="173F659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bookmarkEnd w:id="476"/>
    <w:bookmarkEnd w:id="477"/>
    <w:bookmarkEnd w:id="478"/>
    <w:bookmarkEnd w:id="479"/>
    <w:bookmarkEnd w:id="480"/>
    <w:bookmarkEnd w:id="481"/>
    <w:bookmarkEnd w:id="482"/>
    <w:bookmarkEnd w:id="488"/>
    <w:p w14:paraId="49B4628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490" w:name="_Toc351203647"/>
      <w:bookmarkStart w:id="491" w:name="_Toc267251482"/>
      <w:bookmarkStart w:id="492" w:name="_Toc267251484"/>
      <w:bookmarkStart w:id="493" w:name="_Toc267251489"/>
      <w:bookmarkStart w:id="494" w:name="_Toc267251483"/>
      <w:bookmarkStart w:id="495" w:name="_Toc267251490"/>
      <w:bookmarkStart w:id="496" w:name="_Toc267251488"/>
      <w:bookmarkStart w:id="497" w:name="_Toc267251486"/>
      <w:bookmarkStart w:id="498" w:name="_Toc267251485"/>
      <w:bookmarkStart w:id="499" w:name="_Toc267251491"/>
      <w:bookmarkStart w:id="500" w:name="_Toc267251501"/>
      <w:bookmarkStart w:id="501" w:name="_Toc267251496"/>
      <w:bookmarkStart w:id="502" w:name="_Toc267251503"/>
      <w:bookmarkStart w:id="503" w:name="_Toc267251498"/>
      <w:bookmarkStart w:id="504" w:name="_Toc267251492"/>
      <w:bookmarkStart w:id="505" w:name="_Toc267251502"/>
      <w:bookmarkStart w:id="506" w:name="_Toc267251494"/>
      <w:bookmarkStart w:id="507" w:name="_Toc267251497"/>
      <w:bookmarkStart w:id="508" w:name="_Toc267251493"/>
      <w:bookmarkStart w:id="509" w:name="_Toc267251499"/>
      <w:bookmarkStart w:id="510" w:name="_Toc267251495"/>
      <w:bookmarkStart w:id="511" w:name="_Toc267251506"/>
      <w:bookmarkStart w:id="512" w:name="_Toc267251507"/>
      <w:bookmarkStart w:id="513" w:name="_Toc267251504"/>
      <w:bookmarkStart w:id="514" w:name="_Toc267251508"/>
      <w:bookmarkStart w:id="515" w:name="_Toc267251509"/>
      <w:bookmarkStart w:id="516" w:name="_Toc267251510"/>
      <w:bookmarkStart w:id="517" w:name="_Toc267251515"/>
      <w:bookmarkStart w:id="518" w:name="_Toc267251514"/>
      <w:bookmarkStart w:id="519" w:name="_Toc267251513"/>
      <w:bookmarkStart w:id="520" w:name="_Toc267251511"/>
      <w:r>
        <w:rPr>
          <w:rFonts w:hint="eastAsia" w:ascii="宋体" w:hAnsi="宋体" w:eastAsia="宋体" w:cs="宋体"/>
          <w:b/>
          <w:bCs/>
          <w:color w:val="auto"/>
          <w:sz w:val="21"/>
          <w:szCs w:val="21"/>
          <w:highlight w:val="none"/>
        </w:rPr>
        <w:t>15. 缺陷责任期与保修</w:t>
      </w:r>
      <w:bookmarkEnd w:id="490"/>
    </w:p>
    <w:bookmarkEnd w:id="491"/>
    <w:bookmarkEnd w:id="492"/>
    <w:bookmarkEnd w:id="493"/>
    <w:bookmarkEnd w:id="494"/>
    <w:bookmarkEnd w:id="495"/>
    <w:bookmarkEnd w:id="496"/>
    <w:bookmarkEnd w:id="497"/>
    <w:bookmarkEnd w:id="498"/>
    <w:p w14:paraId="7B23EE5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 w:val="0"/>
          <w:bCs w:val="0"/>
          <w:color w:val="auto"/>
          <w:sz w:val="21"/>
          <w:szCs w:val="21"/>
          <w:highlight w:val="none"/>
        </w:rPr>
      </w:pPr>
      <w:bookmarkStart w:id="521" w:name="_Toc351203648"/>
      <w:bookmarkStart w:id="522" w:name="_Toc280868717"/>
      <w:bookmarkStart w:id="523" w:name="_Toc280868718"/>
      <w:r>
        <w:rPr>
          <w:rFonts w:hint="eastAsia" w:ascii="宋体" w:hAnsi="宋体" w:eastAsia="宋体" w:cs="宋体"/>
          <w:b w:val="0"/>
          <w:bCs w:val="0"/>
          <w:color w:val="auto"/>
          <w:sz w:val="21"/>
          <w:szCs w:val="21"/>
          <w:highlight w:val="none"/>
        </w:rPr>
        <w:t>15.2缺陷责任期</w:t>
      </w:r>
    </w:p>
    <w:p w14:paraId="35A68C4D">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缺陷责任期的具体期限：</w:t>
      </w:r>
      <w:r>
        <w:rPr>
          <w:rFonts w:hint="eastAsia" w:ascii="宋体" w:hAnsi="宋体" w:cs="宋体"/>
          <w:b/>
          <w:bCs/>
          <w:color w:val="auto"/>
          <w:sz w:val="21"/>
          <w:szCs w:val="21"/>
          <w:highlight w:val="none"/>
          <w:u w:val="single"/>
          <w:shd w:val="clear" w:color="auto" w:fill="auto"/>
          <w:lang w:val="en-US" w:eastAsia="zh-CN"/>
        </w:rPr>
        <w:t>24</w:t>
      </w:r>
      <w:r>
        <w:rPr>
          <w:rFonts w:hint="eastAsia" w:ascii="宋体" w:hAnsi="宋体" w:eastAsia="宋体" w:cs="宋体"/>
          <w:b/>
          <w:bCs/>
          <w:color w:val="auto"/>
          <w:sz w:val="21"/>
          <w:szCs w:val="21"/>
          <w:highlight w:val="none"/>
          <w:u w:val="single"/>
          <w:shd w:val="clear" w:color="auto" w:fill="auto"/>
        </w:rPr>
        <w:t>个月</w:t>
      </w:r>
      <w:r>
        <w:rPr>
          <w:rFonts w:hint="eastAsia" w:ascii="宋体" w:hAnsi="宋体" w:eastAsia="宋体" w:cs="宋体"/>
          <w:b/>
          <w:bCs/>
          <w:color w:val="auto"/>
          <w:sz w:val="21"/>
          <w:szCs w:val="21"/>
          <w:highlight w:val="none"/>
          <w:shd w:val="clear" w:color="auto" w:fill="auto"/>
        </w:rPr>
        <w:t>。</w:t>
      </w:r>
    </w:p>
    <w:p w14:paraId="378FC18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5F6AF32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lang w:val="en-US" w:eastAsia="zh-CN"/>
        </w:rPr>
        <w:t>/</w:t>
      </w:r>
    </w:p>
    <w:p w14:paraId="610B0B1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 违约</w:t>
      </w:r>
      <w:bookmarkEnd w:id="521"/>
    </w:p>
    <w:p w14:paraId="60183FD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7C9B369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0DBEA1A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3FDE17E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285ED19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42FA7BD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工期顺延</w:t>
      </w:r>
      <w:r>
        <w:rPr>
          <w:rFonts w:hint="eastAsia" w:ascii="宋体" w:hAnsi="宋体" w:eastAsia="宋体" w:cs="宋体"/>
          <w:color w:val="auto"/>
          <w:kern w:val="0"/>
          <w:sz w:val="21"/>
          <w:szCs w:val="21"/>
          <w:highlight w:val="none"/>
        </w:rPr>
        <w:t>。</w:t>
      </w:r>
    </w:p>
    <w:p w14:paraId="6885E6E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kern w:val="0"/>
          <w:sz w:val="21"/>
          <w:szCs w:val="21"/>
          <w:highlight w:val="none"/>
          <w:u w:val="single"/>
        </w:rPr>
        <w:t xml:space="preserve">  双方另行协商 </w:t>
      </w:r>
      <w:r>
        <w:rPr>
          <w:rFonts w:hint="eastAsia" w:ascii="宋体" w:hAnsi="宋体" w:eastAsia="宋体" w:cs="宋体"/>
          <w:color w:val="auto"/>
          <w:kern w:val="0"/>
          <w:sz w:val="21"/>
          <w:szCs w:val="21"/>
          <w:highlight w:val="none"/>
        </w:rPr>
        <w:t>。</w:t>
      </w:r>
    </w:p>
    <w:p w14:paraId="52819D6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双方另行协商 </w:t>
      </w:r>
      <w:r>
        <w:rPr>
          <w:rFonts w:hint="eastAsia" w:ascii="宋体" w:hAnsi="宋体" w:eastAsia="宋体" w:cs="宋体"/>
          <w:color w:val="auto"/>
          <w:kern w:val="0"/>
          <w:sz w:val="21"/>
          <w:szCs w:val="21"/>
          <w:highlight w:val="none"/>
        </w:rPr>
        <w:t>。</w:t>
      </w:r>
    </w:p>
    <w:p w14:paraId="0DAEB28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（4）因发包人违反合同约定造成暂停施工的违约责任：</w:t>
      </w:r>
      <w:r>
        <w:rPr>
          <w:rFonts w:hint="eastAsia" w:ascii="宋体" w:hAnsi="宋体" w:eastAsia="宋体" w:cs="宋体"/>
          <w:color w:val="auto"/>
          <w:kern w:val="0"/>
          <w:sz w:val="21"/>
          <w:szCs w:val="21"/>
          <w:highlight w:val="none"/>
          <w:u w:val="single"/>
        </w:rPr>
        <w:t>若影响工期的，工期予以顺延</w:t>
      </w:r>
      <w:r>
        <w:rPr>
          <w:rFonts w:hint="eastAsia" w:ascii="宋体" w:hAnsi="宋体" w:eastAsia="宋体" w:cs="宋体"/>
          <w:color w:val="auto"/>
          <w:kern w:val="0"/>
          <w:sz w:val="21"/>
          <w:szCs w:val="21"/>
          <w:highlight w:val="none"/>
        </w:rPr>
        <w:t>。</w:t>
      </w:r>
    </w:p>
    <w:p w14:paraId="26E82A8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若影响工期的，工期予以顺延</w:t>
      </w:r>
      <w:r>
        <w:rPr>
          <w:rFonts w:hint="eastAsia" w:ascii="宋体" w:hAnsi="宋体" w:eastAsia="宋体" w:cs="宋体"/>
          <w:color w:val="auto"/>
          <w:kern w:val="0"/>
          <w:sz w:val="21"/>
          <w:szCs w:val="21"/>
          <w:highlight w:val="none"/>
        </w:rPr>
        <w:t>。</w:t>
      </w:r>
    </w:p>
    <w:p w14:paraId="1B48D80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27228240">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0516775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60EDA101">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286685F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kern w:val="0"/>
          <w:sz w:val="21"/>
          <w:szCs w:val="21"/>
          <w:highlight w:val="none"/>
          <w:u w:val="single"/>
        </w:rPr>
        <w:t xml:space="preserve"> 1）擅自更换项目经理的；2）未经发包人许可，擅自采购材料设备表以外设备及材料的或未经准用批准使用的</w:t>
      </w:r>
      <w:r>
        <w:rPr>
          <w:rFonts w:hint="eastAsia" w:ascii="宋体" w:hAnsi="宋体" w:eastAsia="宋体" w:cs="宋体"/>
          <w:color w:val="auto"/>
          <w:kern w:val="0"/>
          <w:sz w:val="21"/>
          <w:szCs w:val="21"/>
          <w:highlight w:val="none"/>
        </w:rPr>
        <w:t>。</w:t>
      </w:r>
    </w:p>
    <w:p w14:paraId="2EC7A10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3F81F27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承包人违约责任的承担方式和计算方法：（1）</w:t>
      </w:r>
      <w:r>
        <w:rPr>
          <w:rFonts w:hint="eastAsia" w:ascii="宋体" w:hAnsi="宋体" w:eastAsia="宋体" w:cs="宋体"/>
          <w:b/>
          <w:color w:val="auto"/>
          <w:sz w:val="21"/>
          <w:szCs w:val="21"/>
          <w:highlight w:val="none"/>
          <w:u w:val="single"/>
        </w:rPr>
        <w:t>建设过程中分部分项工程质量</w:t>
      </w:r>
      <w:r>
        <w:rPr>
          <w:rFonts w:hint="eastAsia" w:ascii="宋体" w:hAnsi="宋体" w:eastAsia="宋体" w:cs="宋体"/>
          <w:color w:val="auto"/>
          <w:sz w:val="21"/>
          <w:szCs w:val="21"/>
          <w:highlight w:val="none"/>
          <w:u w:val="single"/>
        </w:rPr>
        <w:t>若达不到合格标准，承包人应按要求整改至合格（整改费用承包人自行承担），并承担1000-5000元/次的违约金。</w:t>
      </w:r>
    </w:p>
    <w:p w14:paraId="6A3BCE2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确保现场劳务人员基本权益，保证劳务工资按月发放，若发生讨薪投诉事件，承包人承担30000元/次的违约金。</w:t>
      </w:r>
    </w:p>
    <w:p w14:paraId="46B0056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（3）工程建设过程中，承包人没有按照发包人要求进度实施工程建设的，发包人有权对承包人收取1000-5000元/天的违约金。</w:t>
      </w:r>
    </w:p>
    <w:p w14:paraId="27B68FC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（4）以上违约金应在承包人当期进度款中扣除。</w:t>
      </w:r>
      <w:r>
        <w:rPr>
          <w:rFonts w:hint="eastAsia" w:ascii="宋体" w:hAnsi="宋体" w:eastAsia="宋体" w:cs="宋体"/>
          <w:color w:val="auto"/>
          <w:sz w:val="21"/>
          <w:szCs w:val="21"/>
          <w:highlight w:val="none"/>
        </w:rPr>
        <w:t xml:space="preserve">    </w:t>
      </w:r>
    </w:p>
    <w:p w14:paraId="2AE7FF8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5）本工程要求工程质量达到国家规定的合格标准，竣工验收达不到合格标准的，除按国家规定对承包人予以处罚外，承包方按合同价的20%向发包人支付质量违约金并修复至达到验收合格标准。中间验收时如果出现局部或分部或分项质量不合格，承包人除免费立即纠正、修复外，还要按该局部或分部或分项工程的合同价的20%向发包人支付质量违约金。</w:t>
      </w:r>
    </w:p>
    <w:p w14:paraId="6D270451">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3AD6061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sz w:val="21"/>
          <w:szCs w:val="21"/>
          <w:highlight w:val="none"/>
          <w:u w:val="single"/>
        </w:rPr>
        <w:t>（1）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r>
        <w:rPr>
          <w:rFonts w:hint="eastAsia" w:ascii="宋体" w:hAnsi="宋体" w:eastAsia="宋体" w:cs="宋体"/>
          <w:color w:val="auto"/>
          <w:kern w:val="0"/>
          <w:sz w:val="21"/>
          <w:szCs w:val="21"/>
          <w:highlight w:val="none"/>
          <w:u w:val="single"/>
        </w:rPr>
        <w:t>。</w:t>
      </w:r>
    </w:p>
    <w:p w14:paraId="7FED61A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工程材料设备由发包人按照承包人的采购价使用，但不得高于承包人</w:t>
      </w:r>
      <w:r>
        <w:rPr>
          <w:rFonts w:hint="eastAsia" w:ascii="宋体" w:hAnsi="宋体" w:eastAsia="宋体" w:cs="宋体"/>
          <w:color w:val="auto"/>
          <w:sz w:val="21"/>
          <w:szCs w:val="21"/>
          <w:highlight w:val="none"/>
          <w:u w:val="single"/>
          <w:lang w:val="en-US" w:eastAsia="zh-CN"/>
        </w:rPr>
        <w:t>磋商</w:t>
      </w:r>
      <w:r>
        <w:rPr>
          <w:rFonts w:hint="eastAsia" w:ascii="宋体" w:hAnsi="宋体" w:eastAsia="宋体" w:cs="宋体"/>
          <w:color w:val="auto"/>
          <w:kern w:val="0"/>
          <w:sz w:val="21"/>
          <w:szCs w:val="21"/>
          <w:highlight w:val="none"/>
          <w:u w:val="single"/>
          <w:lang w:eastAsia="zh-CN"/>
        </w:rPr>
        <w:t>报价</w:t>
      </w:r>
      <w:r>
        <w:rPr>
          <w:rFonts w:hint="eastAsia" w:ascii="宋体" w:hAnsi="宋体" w:eastAsia="宋体" w:cs="宋体"/>
          <w:color w:val="auto"/>
          <w:kern w:val="0"/>
          <w:sz w:val="21"/>
          <w:szCs w:val="21"/>
          <w:highlight w:val="none"/>
          <w:u w:val="single"/>
        </w:rPr>
        <w:t>中的材料单价；施工设备、临时工程、承包人文件和由承包人或以其名义编制的其他文件的由发包人免费使用，由承包人负责维护、拆除及退场并承担费用</w:t>
      </w:r>
      <w:r>
        <w:rPr>
          <w:rFonts w:hint="eastAsia" w:ascii="宋体" w:hAnsi="宋体" w:eastAsia="宋体" w:cs="宋体"/>
          <w:color w:val="auto"/>
          <w:kern w:val="0"/>
          <w:sz w:val="21"/>
          <w:szCs w:val="21"/>
          <w:highlight w:val="none"/>
        </w:rPr>
        <w:t>。</w:t>
      </w:r>
    </w:p>
    <w:p w14:paraId="46A4C23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524" w:name="_Toc351203649"/>
      <w:r>
        <w:rPr>
          <w:rFonts w:hint="eastAsia" w:ascii="宋体" w:hAnsi="宋体" w:eastAsia="宋体" w:cs="宋体"/>
          <w:b/>
          <w:bCs/>
          <w:color w:val="auto"/>
          <w:sz w:val="21"/>
          <w:szCs w:val="21"/>
          <w:highlight w:val="none"/>
        </w:rPr>
        <w:t>17. 不可抗力</w:t>
      </w:r>
      <w:bookmarkEnd w:id="524"/>
      <w:r>
        <w:rPr>
          <w:rFonts w:hint="eastAsia" w:ascii="宋体" w:hAnsi="宋体" w:eastAsia="宋体" w:cs="宋体"/>
          <w:b/>
          <w:bCs/>
          <w:color w:val="auto"/>
          <w:sz w:val="21"/>
          <w:szCs w:val="21"/>
          <w:highlight w:val="none"/>
        </w:rPr>
        <w:t xml:space="preserve"> </w:t>
      </w:r>
      <w:bookmarkEnd w:id="522"/>
    </w:p>
    <w:p w14:paraId="4D72A1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0289EA0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sz w:val="21"/>
          <w:szCs w:val="21"/>
          <w:highlight w:val="none"/>
          <w:u w:val="single"/>
        </w:rPr>
        <w:t>按通用条款执行。其中正常年份的风、雨、雪、雾天气不属于不可抗力；一个有经验的承包商应当能够估计到的自然气候、环境（制约）变化的影响原则上也不做为不可抗力事件对待；高考、中考、运动会以及政府部门发出的有碍于施工的临时性指令均不做为不可抗力事件对待。由于发生30年以上一遇的降雨引起的洪水灾害、雪灾造成对工程的影响，经国家有关部门鉴定后可按不可抗力对待；发生破坏性地震的属于不可抗力事件</w:t>
      </w:r>
      <w:r>
        <w:rPr>
          <w:rFonts w:hint="eastAsia" w:ascii="宋体" w:hAnsi="宋体" w:eastAsia="宋体" w:cs="宋体"/>
          <w:color w:val="auto"/>
          <w:kern w:val="0"/>
          <w:sz w:val="21"/>
          <w:szCs w:val="21"/>
          <w:highlight w:val="none"/>
        </w:rPr>
        <w:t>。</w:t>
      </w:r>
    </w:p>
    <w:p w14:paraId="68E074F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79D3696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100 </w:t>
      </w:r>
      <w:r>
        <w:rPr>
          <w:rFonts w:hint="eastAsia" w:ascii="宋体" w:hAnsi="宋体" w:eastAsia="宋体" w:cs="宋体"/>
          <w:color w:val="auto"/>
          <w:sz w:val="21"/>
          <w:szCs w:val="21"/>
          <w:highlight w:val="none"/>
        </w:rPr>
        <w:t>天内完成款项的支付。</w:t>
      </w:r>
    </w:p>
    <w:bookmarkEnd w:id="499"/>
    <w:bookmarkEnd w:id="500"/>
    <w:bookmarkEnd w:id="501"/>
    <w:bookmarkEnd w:id="502"/>
    <w:bookmarkEnd w:id="503"/>
    <w:bookmarkEnd w:id="504"/>
    <w:bookmarkEnd w:id="505"/>
    <w:bookmarkEnd w:id="506"/>
    <w:bookmarkEnd w:id="507"/>
    <w:bookmarkEnd w:id="508"/>
    <w:bookmarkEnd w:id="509"/>
    <w:bookmarkEnd w:id="510"/>
    <w:bookmarkEnd w:id="523"/>
    <w:p w14:paraId="7F8058A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525" w:name="_Toc351203651"/>
      <w:r>
        <w:rPr>
          <w:rFonts w:hint="eastAsia" w:ascii="宋体" w:hAnsi="宋体" w:eastAsia="宋体" w:cs="宋体"/>
          <w:b/>
          <w:bCs/>
          <w:color w:val="auto"/>
          <w:sz w:val="21"/>
          <w:szCs w:val="21"/>
          <w:highlight w:val="none"/>
        </w:rPr>
        <w:t>20. 争议解决</w:t>
      </w:r>
      <w:bookmarkEnd w:id="525"/>
    </w:p>
    <w:bookmarkEnd w:id="511"/>
    <w:bookmarkEnd w:id="512"/>
    <w:bookmarkEnd w:id="513"/>
    <w:p w14:paraId="0D00389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514"/>
    </w:p>
    <w:p w14:paraId="507C79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种方式解决：</w:t>
      </w:r>
    </w:p>
    <w:p w14:paraId="4E5F923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525126A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lang w:val="en-US" w:eastAsia="zh-CN"/>
        </w:rPr>
        <w:t xml:space="preserve"> 甲方所在地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bookmarkEnd w:id="515"/>
      <w:bookmarkEnd w:id="516"/>
      <w:bookmarkEnd w:id="517"/>
      <w:bookmarkEnd w:id="518"/>
      <w:bookmarkEnd w:id="519"/>
      <w:bookmarkEnd w:id="520"/>
    </w:p>
    <w:p w14:paraId="6972EBE5">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补充条款：</w:t>
      </w:r>
    </w:p>
    <w:p w14:paraId="7480A95B">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1承包人在工程施工管理过程中应当推行标准化管理，开工前应当建立健全各项规章制度和有关程序文件等，随时接受发包人的检查。</w:t>
      </w:r>
    </w:p>
    <w:p w14:paraId="6E4BAC7F">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2承包人的中标价作为合同价已经包含了发包人在</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中和招标答疑文件所提出承包（招标）范围内全部工程量的费用，承包人不得以投标时未计某一部分（不论在投标文件中注明与否）为由向发包人提出重新计价的要求。</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rPr>
        <w:t>针对</w:t>
      </w:r>
      <w:r>
        <w:rPr>
          <w:rFonts w:hint="eastAsia" w:ascii="宋体" w:hAnsi="宋体" w:eastAsia="宋体" w:cs="宋体"/>
          <w:color w:val="auto"/>
          <w:sz w:val="21"/>
          <w:szCs w:val="21"/>
          <w:highlight w:val="none"/>
          <w:u w:val="single"/>
          <w:lang w:eastAsia="zh-CN"/>
        </w:rPr>
        <w:t>采购人</w:t>
      </w:r>
      <w:r>
        <w:rPr>
          <w:rFonts w:hint="eastAsia" w:ascii="宋体" w:hAnsi="宋体" w:eastAsia="宋体" w:cs="宋体"/>
          <w:color w:val="auto"/>
          <w:sz w:val="21"/>
          <w:szCs w:val="21"/>
          <w:highlight w:val="none"/>
          <w:u w:val="single"/>
        </w:rPr>
        <w:t>提供的工程量清单及其描述内容进行报价。如施工现场发生变化，发包人与承包人另行签署补充协议，补充协议与本合同具备同等效力。</w:t>
      </w:r>
    </w:p>
    <w:p w14:paraId="6A8C9C79">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使用劳务分包和招聘的农民工情况，应当定期向发包人报送备案。承包人应当确保农民工工资的按时、足额发放。承包人在申报当期进度款计划时应当包括农民工工资。发包人有权监督承包人在支付的当期进度款中发放农民工工资情况。如承包人未按时发放农民工工资，影响到本工程的施工进度及工程质量，则发包人有权在工程进度款中将承包人所欠的工资额扣除，直接发放给农民工，并另按发放金额的50%从承包人的工程结算款中扣除作为违约金。</w:t>
      </w:r>
    </w:p>
    <w:p w14:paraId="0E7B1DA4">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4承包人必须按照自报的并经发包人审定的施工组织设计方案进行施工，不得任意修改和变更其内容、方法等。确需修改时，应当会同发包人商议，取得发包人同意。但不能因施工组织设计的变化而调整中标价。</w:t>
      </w:r>
    </w:p>
    <w:p w14:paraId="79A35832">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本项目受周围环境和施工场地的限制，承包人应充分考察周围环境和施工现场。</w:t>
      </w:r>
    </w:p>
    <w:p w14:paraId="66D50335">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承包方必须按规定做好工程的安全管理、文明施工工作，落实职业健康管理，必须达到省、市级文明工地标准和创卫标准。严格按文明工地和创卫标准施工，设立专用、分类垃圾场（箱），不得在施工区内任意堆放或乱倒垃圾，定期将垃圾清理外运。</w:t>
      </w:r>
    </w:p>
    <w:p w14:paraId="616968A8">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在进入施工现场直至工程竣工验收移交期间，应当遵守发包人的有关管理制度，接受发包人有关部门的相应管理。由于承包人过错或不服从发包人有关人员的管理出现承包人违纪、违章，造成发包人的道路、线路等设施损坏，环境受到破坏和污染，排水管道堵塞等，承包人均应自费进行纠正、修补、恢复或予以赔偿。</w:t>
      </w:r>
    </w:p>
    <w:p w14:paraId="083D984A">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7承包人安全管理人员必须持证上岗，严格按照 “三标”管理体系运行管理，负责检查现场和施工人员安全情况。如发包人管理人员发现有不安全因素存在且未采取预防保护的，每项支付违约金5000元人民币；经指出未及时纠正，再次检查又发现问题的，则支付违约金10000元/项和责令停工整改；出现安全事故的，承包人应当承担全部责任后果。</w:t>
      </w:r>
    </w:p>
    <w:p w14:paraId="7E51C745">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8承包人现场用电必须按照发包人要求，三相五线制，一机一闸必须带漏电保护，不许用电炉。如施工现场出现用电漏电或短路跳闸，造成停电、影响到发包人用电的，每次支付违约金2000元。</w:t>
      </w:r>
    </w:p>
    <w:p w14:paraId="49014273">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本工程竣工验收合格后，承包人应在发包人规定时间内免费将施工现场周围和施工单位生活区周围清除干净；无建筑材料、无建筑设备、无临时垃圾、无坑池渠沟、无掩埋的硬化道路和垃圾，场地整洁。否则发包人不予支付工程款。</w:t>
      </w:r>
    </w:p>
    <w:p w14:paraId="2CFE08F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10承包单位的项目经理部到位人员、投入劳动力、投入机械设备、投入周转材料等必须与投标施工组织设计所列相符，否则视为中标人违约，应按每项5000元向发包人支付违约金。</w:t>
      </w:r>
    </w:p>
    <w:p w14:paraId="3ED3964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11施工单位应当确保安全防护、文明施工措施费专款专用，不得挪用安全防护、文明施工措施费。在财务管理中应单独核算列出安全防护、文明施工措施费用，且必须有详细的费用支付计划表。</w:t>
      </w:r>
    </w:p>
    <w:p w14:paraId="42CEA55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12承包单位进场后应承担办理有关施工许可证、环保、卫生、城管、噪音等有关手续，以上工作实施中涉及有关缴纳费用按相关规定由发承包双方各自承担。</w:t>
      </w:r>
    </w:p>
    <w:p w14:paraId="65075FE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13工程承包人应在投标工期内，负责完成本工程的综合验收、维护交接和竣工验收备案工作，否则按本工程未完成对待。以上工作实施中涉及有关缴纳费用按相关规定由发承包双方各自承担。</w:t>
      </w:r>
    </w:p>
    <w:p w14:paraId="3D701F9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14承包方应保证项目实施过程顺利进行，自行协调处理项目周边建设环境及相关各方利益关系，严禁发生项目劳务用工或村民进行上访、堵门、堵路等事件及媒体、网络发布的因施工引起的不良影响，如发生此类事件，将视情节严重程度，由承包方按1～5万元／次向发包方缴纳违约金。</w:t>
      </w:r>
    </w:p>
    <w:p w14:paraId="40898FF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15所有专业工种必须持证上岗，证书等级必须满足国家有关文件规定。</w:t>
      </w:r>
    </w:p>
    <w:p w14:paraId="4140DA1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16工程决算中，为了避免给发包人造成不必要的额外损失，工程审计的审减率应控制在5%以内，如超出5%审减率时，将按发包人与审计单位签定合同规定，超额部分的基础审计费和审减审计费由承包人向审计单位另行支付。</w:t>
      </w:r>
    </w:p>
    <w:p w14:paraId="443BD8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17税务条款</w:t>
      </w:r>
    </w:p>
    <w:p w14:paraId="5AD4201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合同双方将承担中国有关机构根据中国税务法律向其征收的所有与合同执行有关的税款，在本合同履行过程中无偷漏税等违法行为，双方应各自承担其未按中华人民共和国相关税务法规足额缴纳税款而产生的全部责任。承包人在发包人支付合同款项时，应向发包人开具符合国家法律法规和税制的建筑施工发票。不开具或开具不合格发票的，发包人有权迟延支付应付款项直至承包人开具合格票据之日且不承担任何违约责任，同时承包人的各项合同义务仍应按合同约定履行</w:t>
      </w:r>
      <w:r>
        <w:rPr>
          <w:rFonts w:hint="eastAsia" w:ascii="宋体" w:hAnsi="宋体" w:eastAsia="宋体" w:cs="宋体"/>
          <w:color w:val="auto"/>
          <w:sz w:val="21"/>
          <w:szCs w:val="21"/>
          <w:highlight w:val="none"/>
          <w:u w:val="single"/>
          <w:lang w:eastAsia="zh-CN"/>
        </w:rPr>
        <w:t>。</w:t>
      </w:r>
    </w:p>
    <w:p w14:paraId="4A45699B">
      <w:pPr>
        <w:keepLines w:val="0"/>
        <w:pageBreakBefore w:val="0"/>
        <w:kinsoku/>
        <w:wordWrap/>
        <w:overflowPunct/>
        <w:topLinePunct w:val="0"/>
        <w:bidi w:val="0"/>
        <w:spacing w:line="360" w:lineRule="exac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br w:type="page"/>
      </w:r>
    </w:p>
    <w:p w14:paraId="51224A3B">
      <w:pPr>
        <w:keepNext w:val="0"/>
        <w:keepLines w:val="0"/>
        <w:pageBreakBefore w:val="0"/>
        <w:kinsoku/>
        <w:wordWrap/>
        <w:overflowPunct/>
        <w:topLinePunct w:val="0"/>
        <w:autoSpaceDE/>
        <w:autoSpaceDN/>
        <w:bidi w:val="0"/>
        <w:spacing w:line="360" w:lineRule="exact"/>
        <w:ind w:left="0" w:leftChars="0" w:firstLine="422" w:firstLineChars="20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sz w:val="21"/>
          <w:szCs w:val="21"/>
          <w:highlight w:val="none"/>
        </w:rPr>
        <w:t>附</w:t>
      </w:r>
      <w:bookmarkStart w:id="526" w:name="_Toc267261693"/>
      <w:bookmarkStart w:id="527" w:name="_Toc296891266"/>
      <w:bookmarkStart w:id="528" w:name="_Toc296346727"/>
      <w:bookmarkStart w:id="529" w:name="_Toc296944565"/>
      <w:bookmarkStart w:id="530" w:name="_Toc296503226"/>
      <w:bookmarkStart w:id="531" w:name="_Toc296891054"/>
      <w:bookmarkStart w:id="532" w:name="_Toc296347225"/>
      <w:r>
        <w:rPr>
          <w:rFonts w:hint="eastAsia" w:ascii="宋体" w:hAnsi="宋体" w:eastAsia="宋体" w:cs="宋体"/>
          <w:b/>
          <w:bCs/>
          <w:color w:val="auto"/>
          <w:sz w:val="21"/>
          <w:szCs w:val="21"/>
          <w:highlight w:val="none"/>
        </w:rPr>
        <w:t>件1：</w:t>
      </w:r>
      <w:bookmarkEnd w:id="526"/>
      <w:bookmarkEnd w:id="527"/>
      <w:bookmarkEnd w:id="528"/>
      <w:bookmarkEnd w:id="529"/>
      <w:bookmarkEnd w:id="530"/>
      <w:bookmarkEnd w:id="531"/>
      <w:bookmarkEnd w:id="532"/>
    </w:p>
    <w:p w14:paraId="7D3A19A4">
      <w:pPr>
        <w:keepNext w:val="0"/>
        <w:keepLines w:val="0"/>
        <w:pageBreakBefore w:val="0"/>
        <w:kinsoku/>
        <w:wordWrap/>
        <w:overflowPunct/>
        <w:topLinePunct w:val="0"/>
        <w:autoSpaceDE/>
        <w:autoSpaceDN/>
        <w:bidi w:val="0"/>
        <w:spacing w:line="360" w:lineRule="exact"/>
        <w:ind w:left="0" w:leftChars="0" w:firstLine="422" w:firstLineChars="200"/>
        <w:jc w:val="center"/>
        <w:textAlignment w:val="auto"/>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工程质量保修书</w:t>
      </w:r>
    </w:p>
    <w:p w14:paraId="70451CF2">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p>
    <w:p w14:paraId="3E4DD329">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4AA1790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发包人、承包人根据《中华人民共和国建筑法》和《建设工程质量管理条例》，经协商一致就</w:t>
      </w:r>
      <w:r>
        <w:rPr>
          <w:rFonts w:hint="eastAsia" w:ascii="宋体" w:hAnsi="宋体" w:cs="宋体"/>
          <w:color w:val="auto"/>
          <w:sz w:val="21"/>
          <w:szCs w:val="21"/>
          <w:highlight w:val="none"/>
          <w:u w:val="single"/>
          <w:lang w:val="en-US" w:eastAsia="zh-CN"/>
        </w:rPr>
        <w:t>泾阳县老年人服务中心(泾阳县中心敬老院)提升改造项目</w:t>
      </w:r>
      <w:r>
        <w:rPr>
          <w:rFonts w:hint="eastAsia" w:ascii="宋体" w:hAnsi="宋体" w:eastAsia="宋体" w:cs="宋体"/>
          <w:color w:val="auto"/>
          <w:sz w:val="21"/>
          <w:szCs w:val="21"/>
          <w:highlight w:val="none"/>
        </w:rPr>
        <w:t>签订工程质量保修书。</w:t>
      </w:r>
    </w:p>
    <w:p w14:paraId="2390C89E">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693ECBC1">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5EE7942C">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CD32C38">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469B154F">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根据《建设工程质量管理条例》及有关规定，工程的质量保修期如下：</w:t>
      </w:r>
    </w:p>
    <w:p w14:paraId="2FE4892F">
      <w:pPr>
        <w:keepNext w:val="0"/>
        <w:keepLines w:val="0"/>
        <w:pageBreakBefore w:val="0"/>
        <w:widowControl/>
        <w:numPr>
          <w:ilvl w:val="0"/>
          <w:numId w:val="2"/>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基础设施工程、房屋建筑的地基基础工程和主体结构工程，为设计文件规定的该工程的合理使用年限；</w:t>
      </w:r>
    </w:p>
    <w:p w14:paraId="42AE60C2">
      <w:pPr>
        <w:keepNext w:val="0"/>
        <w:keepLines w:val="0"/>
        <w:pageBreakBefore w:val="0"/>
        <w:widowControl/>
        <w:numPr>
          <w:ilvl w:val="0"/>
          <w:numId w:val="2"/>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屋面防水工程、有防水要求的卫生间、房间和外墙面的防渗漏，为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年；</w:t>
      </w:r>
    </w:p>
    <w:p w14:paraId="7E216FDA">
      <w:pPr>
        <w:keepNext w:val="0"/>
        <w:keepLines w:val="0"/>
        <w:pageBreakBefore w:val="0"/>
        <w:widowControl/>
        <w:numPr>
          <w:ilvl w:val="0"/>
          <w:numId w:val="2"/>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供热与供冷系统，为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个采暖期、供冷期；</w:t>
      </w:r>
    </w:p>
    <w:p w14:paraId="6B1BB257">
      <w:pPr>
        <w:keepNext w:val="0"/>
        <w:keepLines w:val="0"/>
        <w:pageBreakBefore w:val="0"/>
        <w:widowControl/>
        <w:numPr>
          <w:ilvl w:val="0"/>
          <w:numId w:val="2"/>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电气管线、给排水管道、设备安装和装修工程，为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年。</w:t>
      </w:r>
    </w:p>
    <w:p w14:paraId="2EF10BCC">
      <w:pPr>
        <w:keepNext w:val="0"/>
        <w:keepLines w:val="0"/>
        <w:pageBreakBefore w:val="0"/>
        <w:widowControl/>
        <w:numPr>
          <w:ilvl w:val="0"/>
          <w:numId w:val="2"/>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其他项目保修期限约定如下</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本项目质量保修期为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年 </w:t>
      </w:r>
      <w:r>
        <w:rPr>
          <w:rFonts w:hint="eastAsia" w:ascii="宋体" w:hAnsi="宋体" w:eastAsia="宋体" w:cs="宋体"/>
          <w:color w:val="auto"/>
          <w:kern w:val="0"/>
          <w:sz w:val="21"/>
          <w:szCs w:val="21"/>
          <w:highlight w:val="none"/>
          <w:u w:val="none"/>
        </w:rPr>
        <w:t xml:space="preserve"> 。</w:t>
      </w:r>
    </w:p>
    <w:p w14:paraId="1FA54C2B">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质量保修期自工程竣工验收合格之日起计算。</w:t>
      </w:r>
    </w:p>
    <w:p w14:paraId="0867014E">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三、缺陷责任期</w:t>
      </w:r>
    </w:p>
    <w:p w14:paraId="0329CCE1">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工程缺陷责任期为</w:t>
      </w:r>
      <w:r>
        <w:rPr>
          <w:rFonts w:hint="eastAsia" w:ascii="宋体" w:hAnsi="宋体" w:cs="宋体"/>
          <w:b/>
          <w:bCs/>
          <w:color w:val="auto"/>
          <w:kern w:val="0"/>
          <w:sz w:val="21"/>
          <w:szCs w:val="21"/>
          <w:highlight w:val="none"/>
          <w:u w:val="single"/>
          <w:lang w:val="en-US" w:eastAsia="zh-CN"/>
        </w:rPr>
        <w:t>24</w:t>
      </w:r>
      <w:r>
        <w:rPr>
          <w:rFonts w:hint="eastAsia" w:ascii="宋体" w:hAnsi="宋体" w:eastAsia="宋体" w:cs="宋体"/>
          <w:b/>
          <w:bCs/>
          <w:color w:val="auto"/>
          <w:kern w:val="0"/>
          <w:sz w:val="21"/>
          <w:szCs w:val="21"/>
          <w:highlight w:val="none"/>
        </w:rPr>
        <w:t>个月，</w:t>
      </w:r>
      <w:r>
        <w:rPr>
          <w:rFonts w:hint="eastAsia" w:ascii="宋体" w:hAnsi="宋体" w:eastAsia="宋体" w:cs="宋体"/>
          <w:color w:val="auto"/>
          <w:kern w:val="0"/>
          <w:sz w:val="21"/>
          <w:szCs w:val="21"/>
          <w:highlight w:val="none"/>
        </w:rPr>
        <w:t>缺陷责任期自工程通过竣工验收之日起计算。单位工程先于全部工程进行验收，单位工程缺陷责任期自单位工程验收合格之日起算。</w:t>
      </w:r>
    </w:p>
    <w:p w14:paraId="5CAE78E6">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缺陷责任期终止后，发包人应退还剩余的质量保证金。</w:t>
      </w:r>
    </w:p>
    <w:p w14:paraId="5EFE1531">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四、质量保修责任</w:t>
      </w:r>
    </w:p>
    <w:p w14:paraId="52021D21">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1.保修费用由造成质量缺陷的责任方承担。</w:t>
      </w:r>
    </w:p>
    <w:p w14:paraId="2346EDA5">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2.保修金为工程竣工结算审定总价的 </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%，在工程竣工结算时预留。质保期间无质量问题则于质保期后支付至保修金总额的</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%（无息）。</w:t>
      </w:r>
    </w:p>
    <w:p w14:paraId="5E87D269">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3.属于保修范围、内容的项目，承包人应当在接到保修通知之日起1天内派人保修。承包人不在约定期限内派人保修的，发包人可以委托他人修理，</w:t>
      </w:r>
      <w:r>
        <w:rPr>
          <w:rFonts w:hint="eastAsia" w:ascii="宋体" w:hAnsi="宋体" w:eastAsia="宋体" w:cs="宋体"/>
          <w:color w:val="auto"/>
          <w:sz w:val="21"/>
          <w:szCs w:val="21"/>
          <w:highlight w:val="none"/>
        </w:rPr>
        <w:t>由此产生的费用从保修金中扣除。</w:t>
      </w:r>
    </w:p>
    <w:p w14:paraId="157A59C0">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4.发生紧急抢修事故的，承包人在接到事故通知后，应当立即到达事故现场抢修。</w:t>
      </w:r>
    </w:p>
    <w:p w14:paraId="31F99781">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4E5206C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6.质量保修完成后，由发包人组织验收。</w:t>
      </w:r>
    </w:p>
    <w:p w14:paraId="7B355A5F">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kern w:val="0"/>
          <w:sz w:val="21"/>
          <w:szCs w:val="21"/>
          <w:highlight w:val="none"/>
        </w:rPr>
        <w:t>缺陷责任期从工程通过竣工验收之日起计。由于承包人原因导致工程无法按规定期限进行竣（交）工验收的，缺陷责任期从实际通过竣（交）工验收之日起计。由于发包人原因导致工程无法按规定期限进行竣（交）工验收的，在承包人提交竣（交）工验收报告90天后，工程自动进入缺陷责任期。</w:t>
      </w:r>
    </w:p>
    <w:p w14:paraId="3CB96ABB">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缺陷责任期内，由承包人原因造成的缺陷，承包人应负责维修，并承担鉴定及维修费用。如承包人不维修也不承担费用，发包人可按合同约定扣除保证金，并由承包人承担违约责任。承包人维修并承担相应费用后，不免除对工程的一般损失赔偿责任。由他人原因造成的缺陷，发包人负责组织维修，承包人不承担费用，且发包人不得从保证金中扣除费用。</w:t>
      </w:r>
    </w:p>
    <w:p w14:paraId="72B26EE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9.缺陷责任期内，承包人认真履行合同约定的责任，到期后，承包人向发包人申请返还保证金。</w:t>
      </w:r>
    </w:p>
    <w:p w14:paraId="75DDE36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在接到承包人返还保证金申请后，应于14日内会同承包人按照合同约定的内容进行核实。如无异议，发包人应当在核实后14日内将保证金返还给承包人，逾期支付的，从逾期之日起，按照同期银行贷款利率计付利息，并承担违约责任。发包人在接到承包人返还保证金申请后14日内不予答复，经催告后14日内仍不予答复，视同认可承包人的返还保证金申请。</w:t>
      </w:r>
    </w:p>
    <w:p w14:paraId="48026AD0">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发包人和承包人对保证金预留、返还以及工程维修质量、费用有争议，按承包合同约定的争议和纠纷解决程序处理</w:t>
      </w:r>
    </w:p>
    <w:p w14:paraId="0C105BE4">
      <w:pPr>
        <w:keepNext w:val="0"/>
        <w:keepLines w:val="0"/>
        <w:pageBreakBefore w:val="0"/>
        <w:numPr>
          <w:ilvl w:val="0"/>
          <w:numId w:val="3"/>
        </w:numPr>
        <w:kinsoku/>
        <w:wordWrap/>
        <w:overflowPunct/>
        <w:topLinePunct w:val="0"/>
        <w:autoSpaceDE/>
        <w:autoSpaceDN/>
        <w:bidi w:val="0"/>
        <w:spacing w:line="360" w:lineRule="exact"/>
        <w:ind w:left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保修费用</w:t>
      </w:r>
    </w:p>
    <w:p w14:paraId="1646E39D">
      <w:pPr>
        <w:keepNext w:val="0"/>
        <w:keepLines w:val="0"/>
        <w:pageBreakBefore w:val="0"/>
        <w:numPr>
          <w:ilvl w:val="0"/>
          <w:numId w:val="0"/>
        </w:numPr>
        <w:kinsoku/>
        <w:wordWrap/>
        <w:overflowPunct/>
        <w:topLinePunct w:val="0"/>
        <w:autoSpaceDE/>
        <w:autoSpaceDN/>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6DB31DCC">
      <w:pPr>
        <w:keepNext w:val="0"/>
        <w:keepLines w:val="0"/>
        <w:pageBreakBefore w:val="0"/>
        <w:kinsoku/>
        <w:wordWrap/>
        <w:overflowPunct/>
        <w:topLinePunct w:val="0"/>
        <w:autoSpaceDE/>
        <w:autoSpaceDN/>
        <w:bidi w:val="0"/>
        <w:spacing w:line="36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537F044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87C024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51F89BFC">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承包人(公章)：</w:t>
      </w:r>
      <w:r>
        <w:rPr>
          <w:rFonts w:hint="eastAsia" w:ascii="宋体" w:hAnsi="宋体" w:eastAsia="宋体" w:cs="宋体"/>
          <w:color w:val="auto"/>
          <w:sz w:val="21"/>
          <w:szCs w:val="21"/>
          <w:highlight w:val="none"/>
          <w:u w:val="single"/>
        </w:rPr>
        <w:t xml:space="preserve">              </w:t>
      </w:r>
    </w:p>
    <w:p w14:paraId="761B9F05">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w:t>
      </w:r>
    </w:p>
    <w:p w14:paraId="009DCFCD">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法定代表人(签章)：</w:t>
      </w:r>
      <w:r>
        <w:rPr>
          <w:rFonts w:hint="eastAsia" w:ascii="宋体" w:hAnsi="宋体" w:eastAsia="宋体" w:cs="宋体"/>
          <w:color w:val="auto"/>
          <w:sz w:val="21"/>
          <w:szCs w:val="21"/>
          <w:highlight w:val="none"/>
          <w:u w:val="single"/>
        </w:rPr>
        <w:t xml:space="preserve">            </w:t>
      </w:r>
    </w:p>
    <w:p w14:paraId="61394E7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委托代理人(签章)：</w:t>
      </w:r>
      <w:r>
        <w:rPr>
          <w:rFonts w:hint="eastAsia" w:ascii="宋体" w:hAnsi="宋体" w:eastAsia="宋体" w:cs="宋体"/>
          <w:color w:val="auto"/>
          <w:sz w:val="21"/>
          <w:szCs w:val="21"/>
          <w:highlight w:val="none"/>
          <w:u w:val="single"/>
        </w:rPr>
        <w:t xml:space="preserve">               </w:t>
      </w:r>
    </w:p>
    <w:p w14:paraId="4819C0A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057285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3FC8AA6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施工安全生产协议格式</w:t>
      </w:r>
    </w:p>
    <w:p w14:paraId="4FD915B8">
      <w:pPr>
        <w:keepNext w:val="0"/>
        <w:keepLines w:val="0"/>
        <w:pageBreakBefore w:val="0"/>
        <w:widowControl w:val="0"/>
        <w:kinsoku/>
        <w:wordWrap/>
        <w:overflowPunct/>
        <w:topLinePunct w:val="0"/>
        <w:autoSpaceDE/>
        <w:autoSpaceDN/>
        <w:bidi w:val="0"/>
        <w:spacing w:line="360" w:lineRule="exact"/>
        <w:ind w:left="0" w:leftChars="0" w:firstLine="422" w:firstLineChars="200"/>
        <w:jc w:val="center"/>
        <w:textAlignment w:val="auto"/>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安全生产协议</w:t>
      </w:r>
    </w:p>
    <w:p w14:paraId="5D17468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发包人（甲方）：</w:t>
      </w:r>
      <w:r>
        <w:rPr>
          <w:rFonts w:hint="eastAsia" w:ascii="宋体" w:hAnsi="宋体" w:eastAsia="宋体" w:cs="宋体"/>
          <w:color w:val="auto"/>
          <w:sz w:val="21"/>
          <w:szCs w:val="21"/>
          <w:highlight w:val="none"/>
          <w:u w:val="single"/>
        </w:rPr>
        <w:t xml:space="preserve">                              </w:t>
      </w:r>
    </w:p>
    <w:p w14:paraId="227EBB6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承包人（乙方）：</w:t>
      </w:r>
      <w:r>
        <w:rPr>
          <w:rFonts w:hint="eastAsia" w:ascii="宋体" w:hAnsi="宋体" w:eastAsia="宋体" w:cs="宋体"/>
          <w:color w:val="auto"/>
          <w:sz w:val="21"/>
          <w:szCs w:val="21"/>
          <w:highlight w:val="none"/>
          <w:u w:val="single"/>
        </w:rPr>
        <w:t xml:space="preserve">                              </w:t>
      </w:r>
    </w:p>
    <w:p w14:paraId="5D1727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建设工程安全生产管理，落实安全生产责任，防止和减少生产安全事故，经甲乙双方在平等、自愿的基础上协商一致，根据《中华人民共和国安全生产法》、《建设工程安全生产管理条例》及相关法律、法规的规定，达成《安全生产协议》如下： </w:t>
      </w:r>
    </w:p>
    <w:p w14:paraId="765305D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一、承包工程项目：</w:t>
      </w:r>
    </w:p>
    <w:p w14:paraId="6FD2FCE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1、工程项目名称：</w:t>
      </w:r>
      <w:r>
        <w:rPr>
          <w:rFonts w:hint="eastAsia" w:ascii="宋体" w:hAnsi="宋体" w:eastAsia="宋体" w:cs="宋体"/>
          <w:color w:val="auto"/>
          <w:kern w:val="0"/>
          <w:sz w:val="21"/>
          <w:szCs w:val="21"/>
          <w:highlight w:val="none"/>
          <w:u w:val="single"/>
        </w:rPr>
        <w:t xml:space="preserve">                                           </w:t>
      </w:r>
    </w:p>
    <w:p w14:paraId="43AC63A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 程 地 址： </w:t>
      </w:r>
      <w:r>
        <w:rPr>
          <w:rFonts w:hint="eastAsia" w:ascii="宋体" w:hAnsi="宋体" w:eastAsia="宋体" w:cs="宋体"/>
          <w:color w:val="auto"/>
          <w:sz w:val="21"/>
          <w:szCs w:val="21"/>
          <w:highlight w:val="none"/>
          <w:u w:val="single"/>
        </w:rPr>
        <w:t xml:space="preserve">                                           </w:t>
      </w:r>
    </w:p>
    <w:p w14:paraId="7B32AC6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 包 范 围：</w:t>
      </w:r>
      <w:r>
        <w:rPr>
          <w:rFonts w:hint="eastAsia" w:ascii="宋体" w:hAnsi="宋体" w:eastAsia="宋体" w:cs="宋体"/>
          <w:color w:val="auto"/>
          <w:sz w:val="21"/>
          <w:szCs w:val="21"/>
          <w:highlight w:val="none"/>
          <w:u w:val="single"/>
        </w:rPr>
        <w:t>见协议书</w:t>
      </w:r>
      <w:r>
        <w:rPr>
          <w:rFonts w:hint="eastAsia" w:ascii="宋体" w:hAnsi="宋体" w:eastAsia="宋体" w:cs="宋体"/>
          <w:color w:val="auto"/>
          <w:sz w:val="21"/>
          <w:szCs w:val="21"/>
          <w:highlight w:val="none"/>
        </w:rPr>
        <w:t xml:space="preserve">                       </w:t>
      </w:r>
    </w:p>
    <w:p w14:paraId="5C7B2A5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 包 方 式：</w:t>
      </w:r>
      <w:r>
        <w:rPr>
          <w:rFonts w:hint="eastAsia" w:ascii="宋体" w:hAnsi="宋体" w:eastAsia="宋体" w:cs="宋体"/>
          <w:color w:val="auto"/>
          <w:sz w:val="21"/>
          <w:szCs w:val="21"/>
          <w:highlight w:val="none"/>
          <w:u w:val="single"/>
        </w:rPr>
        <w:t>见协议书</w:t>
      </w:r>
      <w:r>
        <w:rPr>
          <w:rFonts w:hint="eastAsia" w:ascii="宋体" w:hAnsi="宋体" w:eastAsia="宋体" w:cs="宋体"/>
          <w:color w:val="auto"/>
          <w:sz w:val="21"/>
          <w:szCs w:val="21"/>
          <w:highlight w:val="none"/>
        </w:rPr>
        <w:t xml:space="preserve">        </w:t>
      </w:r>
    </w:p>
    <w:p w14:paraId="685DCC9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二、建设工程安全生产管理目标及必须达到安全事故控制指标</w:t>
      </w:r>
    </w:p>
    <w:p w14:paraId="053D6ED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遵守《建设工程安全生产管理条例》的规定，实现安全生产管理目标：无重伤、无死亡、无施工坍塌、无高处坠落、无滑坡、无火灾、无用电事故、无重大机械事故等各类安全生产事故。即：</w:t>
      </w:r>
    </w:p>
    <w:p w14:paraId="11E3A16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1、因工死亡率为零；</w:t>
      </w:r>
    </w:p>
    <w:p w14:paraId="0251296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2、因工重伤率为零；</w:t>
      </w:r>
    </w:p>
    <w:p w14:paraId="0A9E1F8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3、因工轻伤事故频率不高于15%；</w:t>
      </w:r>
    </w:p>
    <w:p w14:paraId="0705585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4、不发生2万元以上的机械、设备、交通和火灾事故。</w:t>
      </w:r>
    </w:p>
    <w:p w14:paraId="6D63D55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三、本协议有效期限</w:t>
      </w:r>
    </w:p>
    <w:p w14:paraId="4B62A85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自承包人入驻施工场地之日起，至工程竣工验收合格交付发包人使用时止（同施工合同期限）。</w:t>
      </w:r>
    </w:p>
    <w:p w14:paraId="682AC97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四、甲方的安全生产管理权利</w:t>
      </w:r>
    </w:p>
    <w:p w14:paraId="7BA22A4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1、监督检查乙方的各项安全生产工作，对建筑工地现场实施日常检查和定期、不定期的巡查。</w:t>
      </w:r>
    </w:p>
    <w:p w14:paraId="0723091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2、在实施检查、巡查过程中，发现建设工程存在安全事故隐患的，有权要求乙方暂时停止施工进行整改，直至消除安全事故隐患。</w:t>
      </w:r>
    </w:p>
    <w:p w14:paraId="1452BE5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3、根据本协议约定，甲方享有对乙方违反安全生产约定的经济处罚权。</w:t>
      </w:r>
    </w:p>
    <w:p w14:paraId="0B1381A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4、查阅与检查、巡查事项有关的文件、资料。并可根据实际情况，对施工现场进行检测、拍照、录音、摄像等。</w:t>
      </w:r>
    </w:p>
    <w:p w14:paraId="550EAA3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五、甲方的安全生产管理义务</w:t>
      </w:r>
    </w:p>
    <w:p w14:paraId="269E026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1、甲方不得对乙方提出不符合建设工程安全生产法律、法规和强制性标准的要求。</w:t>
      </w:r>
    </w:p>
    <w:p w14:paraId="3290CFA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2、甲方不得明示或暗示乙方购买、租赁、使用不符合安全施工要求的安全防护用具、机械设备、施工机具及配件、消防设施和器材。</w:t>
      </w:r>
    </w:p>
    <w:p w14:paraId="6BFE046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3、对乙方施工现场采取的安全施工技术措施，根据乙方的请求，提供必要的协助。</w:t>
      </w:r>
    </w:p>
    <w:p w14:paraId="3E5FE5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六、乙方的安全生产责任与义务</w:t>
      </w:r>
    </w:p>
    <w:p w14:paraId="748E4D1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1、乙方应当在其资质等级许可范围内，并具备安全生产许可证的条件下承揽工程。</w:t>
      </w:r>
    </w:p>
    <w:p w14:paraId="685F8F1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当严格按照建设工程安全生产的法律、法规、规章及安全生产的标准、规程的有关规定，组织工程施工，并对工程建设施工的安全生产工作全面负责。因乙方安全生产措施不力造成事故的责任和因此而发生的费用由乙方承担。</w:t>
      </w:r>
    </w:p>
    <w:p w14:paraId="2F9F2F4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3、建立、健全与落实安全生产责任制度、安全生产教育培训制度、安全生产规章制度和操作规程。</w:t>
      </w:r>
    </w:p>
    <w:p w14:paraId="6212C3B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4、设立安全生产管理机构，配备专职安全生产管理人员。</w:t>
      </w:r>
    </w:p>
    <w:p w14:paraId="44E3D43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5、根据工程特点组织制定安全施工措施，消除安全事故隐患。强化对基坑开挖、起重吊装、模板工程等危险性较大的工程施工的监控和安全防护措施的落实，严防高空坠落、施工坍塌等安全事故的发生。</w:t>
      </w:r>
    </w:p>
    <w:p w14:paraId="6766E30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6、随时接受甲方实施的安全检查、巡查、并按照甲方的要求进行整改，消除安全事故隐患，确保安全生产。</w:t>
      </w:r>
    </w:p>
    <w:p w14:paraId="32EB733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7、乙方应当在施工现场入口处、施工起重机械、临时用电设施、脚手架、出入通道口、基坑边沿等危险部位，设置明显的安全警示标志，安全警示标志必须符合国家标准。</w:t>
      </w:r>
    </w:p>
    <w:p w14:paraId="615A534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8、乙方应根据不同施工阶段和周围环境及季节、气候气象的变化，在施工现场采取相应的安全施工措施。确保雨季等特殊气候气象情况下的施工安全。</w:t>
      </w:r>
    </w:p>
    <w:p w14:paraId="65FF912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9、对建设工程施工进行定期和专项安全自检，并做好安全检查记录，及时发现并消除安全生产事故隐患。</w:t>
      </w:r>
    </w:p>
    <w:p w14:paraId="4D75B73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10、在施工现场建立消防安全责任制度，确定消防安全责任人，制定用火、用电等各项消防安全管理制度和操作规程。</w:t>
      </w:r>
    </w:p>
    <w:p w14:paraId="017C1E8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11、制定实施工程现场生产安全事故应急救援预案，并定期组织演练。</w:t>
      </w:r>
    </w:p>
    <w:p w14:paraId="6E1F196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12、根据安全生产法律、法规规章，标准、规程的规定，乙方应承担的其它责任与义务。</w:t>
      </w:r>
    </w:p>
    <w:p w14:paraId="613AE1F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七、现场停工整改约定</w:t>
      </w:r>
    </w:p>
    <w:p w14:paraId="2B3229D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在乙方施工现场检查、巡查过程中，发现存在安全事故隐患，认为必须暂停施工的，应以书面形式下达停工整改通知。乙方对甲方的停工整改通知应予以执行，并按照甲方要求停止施工进行整改，妥善保护已完工程。</w:t>
      </w:r>
    </w:p>
    <w:p w14:paraId="327A98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2、乙方进行整改后，经甲方检查已消除安全事故隐患的，可以进行复工。</w:t>
      </w:r>
    </w:p>
    <w:p w14:paraId="56DE597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3、若在一个月内由于乙方出现安全事故隐患，被甲方下达停工整改通知累计两次的，则乙方同意甲方暂停支付其当月的工程进度款，该扣款延期至工程竣工验收合格后再行支付。</w:t>
      </w:r>
    </w:p>
    <w:p w14:paraId="3E3074E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八、安全生产奖励约定</w:t>
      </w:r>
    </w:p>
    <w:p w14:paraId="58A29EE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乙方在本安全生产期间，全面实现建设工程安全生产管理目标，无安全生产事故发生，并且未违反本协议约定，未被甲方发出停工整改通知单与经济处罚的，甲方应当给予乙方安全生产奖励。奖励标准为：无。奖励金额为：无。</w:t>
      </w:r>
    </w:p>
    <w:p w14:paraId="44EB03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九、安全生产处罚约定</w:t>
      </w:r>
    </w:p>
    <w:p w14:paraId="0C57B1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1、若乙方未能实现本协议约定的安全生产管理目标，发生安全生产事故的，乙方同意，甲方将其缴纳的安全生产保证金予以扣除，扣除金额不再向乙方返还。具体扣除办法由下款约定。乙方对此不持异议。</w:t>
      </w:r>
    </w:p>
    <w:p w14:paraId="29E78B8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进行安全生产检查与巡查过程中，若乙方违反本协议约定，甲方有权要求乙方支付违约金。甲方可根据乙方违约的事实、性质、情节，就安全生产的危害程度要求支付违约金。违约金金额一次性最高不超过5000元。</w:t>
      </w:r>
    </w:p>
    <w:p w14:paraId="1786E96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3、甲方要求乙方支付违约金，应当以书面形式通知乙方。其中：</w:t>
      </w:r>
    </w:p>
    <w:p w14:paraId="218D75B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（1）乙方有下列行为之一的，违约金金额为50000元。</w:t>
      </w:r>
    </w:p>
    <w:p w14:paraId="06D6922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①发生人员死亡的生产安全事故；</w:t>
      </w:r>
    </w:p>
    <w:p w14:paraId="2D69501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②发生人员重伤的生产安全事故。</w:t>
      </w:r>
    </w:p>
    <w:p w14:paraId="1B0E69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（2）乙方有下列行为之一的，违约金金额为3000元。</w:t>
      </w:r>
    </w:p>
    <w:p w14:paraId="02CBD32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①发生人员轻伤的生产安全事故超过三次或一个月内连续发生两次；</w:t>
      </w:r>
    </w:p>
    <w:p w14:paraId="780772B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②发生2万元以上的机械、设备、交通和火灾生产安全事故一次的。</w:t>
      </w:r>
    </w:p>
    <w:p w14:paraId="5D6DD96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4、甲方按本协议约定要求乙方支付违约金，并不能免除乙方应承担的有关国家机关行政处罚与民事赔偿责任，以及应负的其他法律责任。</w:t>
      </w:r>
    </w:p>
    <w:p w14:paraId="4DD36F1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十、附则</w:t>
      </w:r>
    </w:p>
    <w:p w14:paraId="583C73A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1、本协议与双方签订的《合同》具有同等法律效力。《合同》中没有约定或约定与本协议冲突的，均以本协议约定为准。</w:t>
      </w:r>
    </w:p>
    <w:p w14:paraId="0709415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2、本协议自双方签字盖章后生效。</w:t>
      </w:r>
    </w:p>
    <w:p w14:paraId="1F958A8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3、本协议一式拾份，甲方执伍份，乙方执伍份，具有同等法律效力。</w:t>
      </w:r>
    </w:p>
    <w:p w14:paraId="59A12A8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0C14B45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 方：</w:t>
      </w:r>
    </w:p>
    <w:p w14:paraId="19326CF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法定代表人（或授权代表人）：                  法定代表人（或授权代表人）</w:t>
      </w:r>
    </w:p>
    <w:p w14:paraId="43504FC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   年   月   日                     签订日期：   年   月   日</w:t>
      </w:r>
    </w:p>
    <w:p w14:paraId="46C5B9A8">
      <w:pPr>
        <w:pStyle w:val="30"/>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p>
    <w:p w14:paraId="23CACA8C">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11FA5318">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65C5D096">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2760D415">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bookmarkEnd w:id="65"/>
    <w:bookmarkEnd w:id="66"/>
    <w:p w14:paraId="736C0EC3">
      <w:pPr>
        <w:pStyle w:val="2"/>
        <w:keepLines w:val="0"/>
        <w:pageBreakBefore w:val="0"/>
        <w:kinsoku/>
        <w:bidi w:val="0"/>
        <w:spacing w:line="360" w:lineRule="auto"/>
        <w:rPr>
          <w:rFonts w:hint="eastAsia" w:ascii="宋体" w:hAnsi="宋体" w:eastAsia="宋体" w:cs="宋体"/>
          <w:b/>
          <w:bCs/>
          <w:color w:val="auto"/>
          <w:sz w:val="36"/>
          <w:szCs w:val="36"/>
          <w:highlight w:val="none"/>
          <w:lang w:val="zh-CN"/>
        </w:rPr>
      </w:pPr>
      <w:bookmarkStart w:id="533" w:name="_Toc5498"/>
      <w:bookmarkStart w:id="534" w:name="_Toc12043"/>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八</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响应文件格式</w:t>
      </w:r>
      <w:bookmarkEnd w:id="533"/>
      <w:bookmarkEnd w:id="534"/>
    </w:p>
    <w:p w14:paraId="2E3C071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67FA38EB">
      <w:pPr>
        <w:keepLines w:val="0"/>
        <w:pageBreakBefore w:val="0"/>
        <w:kinsoku/>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响应文件格式是磋商供应商的部分磋商响应文件格式，磋商供应商应按照这些格式编制磋商响应文件。编制磋商响应文件前，请详细阅读竞争性磋商文件，理解文件中的每一项要求，逐一做出实质性响应，认为有必要，可做补充说明。</w:t>
      </w:r>
    </w:p>
    <w:p w14:paraId="11FC1160">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1"/>
          <w:szCs w:val="21"/>
          <w:highlight w:val="none"/>
          <w:lang w:val="zh-CN"/>
        </w:rPr>
      </w:pPr>
    </w:p>
    <w:p w14:paraId="137C9453">
      <w:pPr>
        <w:keepLines w:val="0"/>
        <w:pageBreakBefore w:val="0"/>
        <w:kinsoku/>
        <w:bidi w:val="0"/>
        <w:spacing w:line="360" w:lineRule="auto"/>
        <w:ind w:firstLine="413" w:firstLineChars="196"/>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注:非独立企业法人参与本次磋商的，竞争性磋商响应文件内涉及到法人签字盖章的部分均可由负责人签字盖章，授权书格式参照法人代表授权书。</w:t>
      </w:r>
    </w:p>
    <w:p w14:paraId="449222AA">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32CD98F6">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1A791DEE">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92C4095">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6F43983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262EDC69">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C90EB03">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81A31C9">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0365CB93">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12EE00CA">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0BFA258">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310F05C">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5DB201F0">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0DB3DB6">
      <w:pPr>
        <w:pStyle w:val="16"/>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7745DCE4">
      <w:pPr>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6877627D">
      <w:pPr>
        <w:pStyle w:val="16"/>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53E343A9">
      <w:pPr>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6DB96BDC">
      <w:pPr>
        <w:keepLines w:val="0"/>
        <w:pageBreakBefore w:val="0"/>
        <w:kinsoku/>
        <w:autoSpaceDE w:val="0"/>
        <w:autoSpaceDN w:val="0"/>
        <w:bidi w:val="0"/>
        <w:adjustRightInd w:val="0"/>
        <w:snapToGrid w:val="0"/>
        <w:spacing w:line="360" w:lineRule="auto"/>
        <w:jc w:val="both"/>
        <w:rPr>
          <w:rFonts w:hint="eastAsia" w:ascii="宋体" w:hAnsi="宋体" w:eastAsia="宋体" w:cs="宋体"/>
          <w:b/>
          <w:bCs/>
          <w:color w:val="auto"/>
          <w:sz w:val="36"/>
          <w:szCs w:val="36"/>
          <w:highlight w:val="none"/>
          <w:lang w:val="zh-CN"/>
        </w:rPr>
      </w:pPr>
    </w:p>
    <w:p w14:paraId="0819FE6B">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36"/>
          <w:szCs w:val="36"/>
          <w:highlight w:val="none"/>
          <w:lang w:val="zh-CN"/>
        </w:rPr>
      </w:pPr>
    </w:p>
    <w:p w14:paraId="754B1CD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正本/副本</w:t>
      </w:r>
    </w:p>
    <w:p w14:paraId="7AA2AFD3">
      <w:pPr>
        <w:keepLines w:val="0"/>
        <w:pageBreakBefore w:val="0"/>
        <w:kinsoku/>
        <w:bidi w:val="0"/>
        <w:spacing w:line="360" w:lineRule="auto"/>
        <w:rPr>
          <w:rFonts w:hint="eastAsia" w:ascii="宋体" w:hAnsi="宋体" w:eastAsia="宋体" w:cs="宋体"/>
          <w:b/>
          <w:bCs/>
          <w:color w:val="auto"/>
          <w:sz w:val="28"/>
          <w:szCs w:val="28"/>
          <w:highlight w:val="none"/>
        </w:rPr>
      </w:pPr>
    </w:p>
    <w:p w14:paraId="492C6023">
      <w:pPr>
        <w:pStyle w:val="5"/>
        <w:keepLines w:val="0"/>
        <w:pageBreakBefore w:val="0"/>
        <w:kinsoku/>
        <w:bidi w:val="0"/>
        <w:spacing w:line="360" w:lineRule="auto"/>
        <w:jc w:val="both"/>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ZFCG-泾阳县-2026-00005</w:t>
      </w:r>
    </w:p>
    <w:p w14:paraId="10B63D22">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b/>
          <w:bCs/>
          <w:color w:val="auto"/>
          <w:sz w:val="52"/>
          <w:szCs w:val="52"/>
          <w:highlight w:val="none"/>
          <w:lang w:val="zh-CN"/>
        </w:rPr>
      </w:pPr>
    </w:p>
    <w:p w14:paraId="402F250E">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b/>
          <w:bCs/>
          <w:color w:val="auto"/>
          <w:sz w:val="52"/>
          <w:szCs w:val="52"/>
          <w:highlight w:val="none"/>
          <w:lang w:val="zh-CN"/>
        </w:rPr>
      </w:pPr>
    </w:p>
    <w:p w14:paraId="6D61F6DA">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52"/>
          <w:szCs w:val="52"/>
          <w:highlight w:val="none"/>
          <w:lang w:val="en-US" w:eastAsia="zh-CN"/>
        </w:rPr>
      </w:pPr>
      <w:r>
        <w:rPr>
          <w:rFonts w:hint="eastAsia" w:ascii="宋体" w:hAnsi="宋体" w:cs="宋体"/>
          <w:b/>
          <w:bCs/>
          <w:color w:val="auto"/>
          <w:sz w:val="52"/>
          <w:szCs w:val="52"/>
          <w:highlight w:val="none"/>
          <w:lang w:val="zh-CN"/>
        </w:rPr>
        <w:t>泾阳县老年人服务中心(泾阳县中心敬老院)提升改造</w:t>
      </w:r>
      <w:r>
        <w:rPr>
          <w:rFonts w:hint="eastAsia" w:ascii="宋体" w:hAnsi="宋体" w:cs="宋体"/>
          <w:b/>
          <w:bCs/>
          <w:color w:val="auto"/>
          <w:sz w:val="52"/>
          <w:szCs w:val="52"/>
          <w:highlight w:val="none"/>
          <w:lang w:val="en-US" w:eastAsia="zh-CN"/>
        </w:rPr>
        <w:t>项目</w:t>
      </w:r>
    </w:p>
    <w:p w14:paraId="27C53DE2">
      <w:pPr>
        <w:rPr>
          <w:rFonts w:hint="eastAsia" w:ascii="宋体" w:hAnsi="宋体" w:eastAsia="宋体" w:cs="宋体"/>
          <w:color w:val="auto"/>
          <w:highlight w:val="none"/>
        </w:rPr>
      </w:pPr>
    </w:p>
    <w:p w14:paraId="29832616">
      <w:pPr>
        <w:pStyle w:val="16"/>
        <w:rPr>
          <w:rFonts w:hint="eastAsia" w:ascii="宋体" w:hAnsi="宋体" w:eastAsia="宋体" w:cs="宋体"/>
          <w:color w:val="auto"/>
        </w:rPr>
      </w:pPr>
    </w:p>
    <w:p w14:paraId="68220E50">
      <w:pPr>
        <w:pStyle w:val="16"/>
        <w:rPr>
          <w:rFonts w:hint="eastAsia" w:ascii="宋体" w:hAnsi="宋体" w:eastAsia="宋体" w:cs="宋体"/>
          <w:color w:val="auto"/>
        </w:rPr>
      </w:pPr>
    </w:p>
    <w:p w14:paraId="59888F68">
      <w:pPr>
        <w:pStyle w:val="16"/>
        <w:rPr>
          <w:rFonts w:hint="eastAsia" w:ascii="宋体" w:hAnsi="宋体" w:eastAsia="宋体" w:cs="宋体"/>
          <w:color w:val="auto"/>
        </w:rPr>
      </w:pPr>
    </w:p>
    <w:p w14:paraId="0EB1AE69">
      <w:pPr>
        <w:keepLines w:val="0"/>
        <w:pageBreakBefore w:val="0"/>
        <w:widowControl w:val="0"/>
        <w:kinsoku/>
        <w:wordWrap/>
        <w:overflowPunct/>
        <w:topLinePunct w:val="0"/>
        <w:bidi w:val="0"/>
        <w:spacing w:line="360" w:lineRule="auto"/>
        <w:textAlignment w:val="auto"/>
        <w:rPr>
          <w:rFonts w:hint="eastAsia" w:ascii="宋体" w:hAnsi="宋体" w:eastAsia="宋体" w:cs="宋体"/>
          <w:color w:val="auto"/>
          <w:highlight w:val="none"/>
        </w:rPr>
      </w:pPr>
    </w:p>
    <w:p w14:paraId="1868CDA7">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竞争性磋商响应文件</w:t>
      </w:r>
    </w:p>
    <w:p w14:paraId="44F24845">
      <w:pPr>
        <w:pStyle w:val="16"/>
        <w:rPr>
          <w:rFonts w:hint="eastAsia" w:ascii="宋体" w:hAnsi="宋体" w:eastAsia="宋体" w:cs="宋体"/>
          <w:color w:val="auto"/>
          <w:sz w:val="28"/>
          <w:szCs w:val="28"/>
          <w:highlight w:val="none"/>
        </w:rPr>
      </w:pPr>
    </w:p>
    <w:p w14:paraId="73B59C89">
      <w:pPr>
        <w:rPr>
          <w:rFonts w:hint="eastAsia" w:ascii="宋体" w:hAnsi="宋体" w:eastAsia="宋体" w:cs="宋体"/>
          <w:color w:val="auto"/>
          <w:highlight w:val="none"/>
        </w:rPr>
      </w:pPr>
    </w:p>
    <w:p w14:paraId="225EB62D">
      <w:pPr>
        <w:pStyle w:val="16"/>
        <w:rPr>
          <w:rFonts w:hint="eastAsia" w:ascii="宋体" w:hAnsi="宋体" w:eastAsia="宋体" w:cs="宋体"/>
          <w:color w:val="auto"/>
          <w:highlight w:val="none"/>
        </w:rPr>
      </w:pPr>
    </w:p>
    <w:p w14:paraId="742975ED">
      <w:pPr>
        <w:keepLines w:val="0"/>
        <w:pageBreakBefore w:val="0"/>
        <w:kinsoku/>
        <w:autoSpaceDE w:val="0"/>
        <w:autoSpaceDN w:val="0"/>
        <w:bidi w:val="0"/>
        <w:adjustRightInd w:val="0"/>
        <w:snapToGrid w:val="0"/>
        <w:spacing w:line="360" w:lineRule="auto"/>
        <w:rPr>
          <w:rFonts w:hint="eastAsia" w:ascii="宋体" w:hAnsi="宋体" w:eastAsia="宋体" w:cs="宋体"/>
          <w:color w:val="auto"/>
          <w:sz w:val="28"/>
          <w:szCs w:val="28"/>
          <w:highlight w:val="none"/>
          <w:u w:val="single"/>
        </w:rPr>
      </w:pPr>
    </w:p>
    <w:p w14:paraId="30E6091E">
      <w:pPr>
        <w:keepLines w:val="0"/>
        <w:pageBreakBefore w:val="0"/>
        <w:kinsoku/>
        <w:autoSpaceDE w:val="0"/>
        <w:autoSpaceDN w:val="0"/>
        <w:bidi w:val="0"/>
        <w:adjustRightInd w:val="0"/>
        <w:snapToGrid w:val="0"/>
        <w:spacing w:line="360" w:lineRule="auto"/>
        <w:ind w:firstLine="869" w:firstLineChars="309"/>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lang w:val="zh-CN"/>
        </w:rPr>
        <w:t>磋商供应商：</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（单位盖章）</w:t>
      </w:r>
    </w:p>
    <w:p w14:paraId="628E8CA7">
      <w:pPr>
        <w:keepLines w:val="0"/>
        <w:pageBreakBefore w:val="0"/>
        <w:kinsoku/>
        <w:autoSpaceDE w:val="0"/>
        <w:autoSpaceDN w:val="0"/>
        <w:bidi w:val="0"/>
        <w:adjustRightInd w:val="0"/>
        <w:snapToGrid w:val="0"/>
        <w:spacing w:line="360" w:lineRule="auto"/>
        <w:ind w:firstLine="869" w:firstLineChars="309"/>
        <w:jc w:val="lef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法定代表人或其授权代表：</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（签字或盖章）</w:t>
      </w:r>
    </w:p>
    <w:p w14:paraId="0ABD992B">
      <w:pPr>
        <w:keepLines w:val="0"/>
        <w:pageBreakBefore w:val="0"/>
        <w:kinsoku/>
        <w:autoSpaceDE w:val="0"/>
        <w:autoSpaceDN w:val="0"/>
        <w:bidi w:val="0"/>
        <w:adjustRightInd w:val="0"/>
        <w:snapToGrid w:val="0"/>
        <w:spacing w:line="360" w:lineRule="auto"/>
        <w:ind w:firstLine="869" w:firstLineChars="309"/>
        <w:rPr>
          <w:rFonts w:hint="eastAsia" w:ascii="宋体" w:hAnsi="宋体" w:eastAsia="宋体" w:cs="宋体"/>
          <w:bCs/>
          <w:color w:val="auto"/>
          <w:sz w:val="28"/>
          <w:szCs w:val="28"/>
          <w:highlight w:val="none"/>
          <w:lang w:eastAsia="zh-CN"/>
        </w:rPr>
      </w:pPr>
      <w:r>
        <w:rPr>
          <w:rFonts w:hint="eastAsia" w:ascii="宋体" w:hAnsi="宋体" w:eastAsia="宋体" w:cs="宋体"/>
          <w:b/>
          <w:bCs/>
          <w:color w:val="auto"/>
          <w:sz w:val="28"/>
          <w:szCs w:val="28"/>
          <w:highlight w:val="none"/>
          <w:lang w:val="zh-CN"/>
        </w:rPr>
        <w:t>时</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CN"/>
        </w:rPr>
        <w:t>间：</w:t>
      </w:r>
      <w:r>
        <w:rPr>
          <w:rFonts w:hint="eastAsia" w:ascii="宋体" w:hAnsi="宋体" w:eastAsia="宋体" w:cs="宋体"/>
          <w:b/>
          <w:bCs/>
          <w:color w:val="auto"/>
          <w:sz w:val="28"/>
          <w:szCs w:val="28"/>
          <w:highlight w:val="none"/>
          <w:u w:val="single"/>
          <w:lang w:val="en-US" w:eastAsia="zh-CN"/>
        </w:rPr>
        <w:t xml:space="preserve">                          </w:t>
      </w:r>
    </w:p>
    <w:p w14:paraId="7F489DE6">
      <w:pPr>
        <w:keepLines w:val="0"/>
        <w:pageBreakBefore w:val="0"/>
        <w:kinsoku/>
        <w:autoSpaceDE w:val="0"/>
        <w:autoSpaceDN w:val="0"/>
        <w:bidi w:val="0"/>
        <w:adjustRightInd w:val="0"/>
        <w:snapToGrid w:val="0"/>
        <w:spacing w:line="360" w:lineRule="auto"/>
        <w:rPr>
          <w:rFonts w:hint="eastAsia" w:ascii="宋体" w:hAnsi="宋体" w:eastAsia="宋体" w:cs="宋体"/>
          <w:b/>
          <w:bCs/>
          <w:color w:val="auto"/>
          <w:sz w:val="28"/>
          <w:szCs w:val="28"/>
          <w:highlight w:val="none"/>
          <w:lang w:val="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5C09D19B">
      <w:pPr>
        <w:spacing w:line="360" w:lineRule="auto"/>
        <w:jc w:val="center"/>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 xml:space="preserve">目 </w:t>
      </w:r>
      <w:r>
        <w:rPr>
          <w:rFonts w:hint="eastAsia" w:cs="Times New Roman"/>
          <w:b/>
          <w:bCs/>
          <w:color w:val="auto"/>
          <w:sz w:val="28"/>
          <w:szCs w:val="28"/>
          <w:highlight w:val="none"/>
          <w:lang w:val="en-US" w:eastAsia="zh-CN"/>
        </w:rPr>
        <w:t xml:space="preserve">  </w:t>
      </w:r>
      <w:r>
        <w:rPr>
          <w:rFonts w:hint="default" w:ascii="Times New Roman" w:hAnsi="Times New Roman" w:cs="Times New Roman"/>
          <w:b/>
          <w:bCs/>
          <w:color w:val="auto"/>
          <w:sz w:val="28"/>
          <w:szCs w:val="28"/>
          <w:highlight w:val="none"/>
          <w:lang w:val="en-US" w:eastAsia="zh-CN"/>
        </w:rPr>
        <w:t>录</w:t>
      </w:r>
    </w:p>
    <w:p w14:paraId="71B7C710">
      <w:pPr>
        <w:keepNext w:val="0"/>
        <w:keepLines w:val="0"/>
        <w:pageBreakBefore w:val="0"/>
        <w:widowControl w:val="0"/>
        <w:kinsoku/>
        <w:wordWrap/>
        <w:overflowPunct/>
        <w:topLinePunct w:val="0"/>
        <w:autoSpaceDE/>
        <w:autoSpaceDN/>
        <w:bidi w:val="0"/>
        <w:adjustRightInd/>
        <w:snapToGrid/>
        <w:spacing w:line="720" w:lineRule="auto"/>
        <w:ind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一、磋商响应函</w:t>
      </w:r>
    </w:p>
    <w:p w14:paraId="6E5C1A69">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二、磋商报价一览表</w:t>
      </w:r>
    </w:p>
    <w:p w14:paraId="5E3037B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三、资格证明文件</w:t>
      </w:r>
    </w:p>
    <w:p w14:paraId="0030DB69">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四、</w:t>
      </w:r>
      <w:r>
        <w:rPr>
          <w:rFonts w:hint="default" w:ascii="Times New Roman" w:hAnsi="Times New Roman" w:cs="Times New Roman"/>
          <w:b w:val="0"/>
          <w:bCs w:val="0"/>
          <w:color w:val="auto"/>
          <w:kern w:val="2"/>
          <w:sz w:val="24"/>
          <w:szCs w:val="24"/>
          <w:highlight w:val="none"/>
          <w:lang w:val="en-US" w:eastAsia="zh-CN" w:bidi="ar-SA"/>
        </w:rPr>
        <w:t>商务响应偏离表</w:t>
      </w:r>
    </w:p>
    <w:p w14:paraId="0C93107A">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五、企业近三年</w:t>
      </w:r>
      <w:r>
        <w:rPr>
          <w:rFonts w:hint="default" w:ascii="Times New Roman" w:hAnsi="Times New Roman" w:cs="Times New Roman"/>
          <w:b w:val="0"/>
          <w:bCs w:val="0"/>
          <w:color w:val="auto"/>
          <w:kern w:val="2"/>
          <w:sz w:val="24"/>
          <w:szCs w:val="24"/>
          <w:highlight w:val="none"/>
          <w:lang w:val="en-US" w:eastAsia="zh-CN" w:bidi="ar-SA"/>
        </w:rPr>
        <w:t>内</w:t>
      </w:r>
      <w:r>
        <w:rPr>
          <w:rFonts w:hint="default" w:ascii="Times New Roman" w:hAnsi="Times New Roman" w:eastAsia="宋体" w:cs="Times New Roman"/>
          <w:b w:val="0"/>
          <w:bCs w:val="0"/>
          <w:color w:val="auto"/>
          <w:kern w:val="2"/>
          <w:sz w:val="24"/>
          <w:szCs w:val="24"/>
          <w:highlight w:val="none"/>
          <w:lang w:val="en-US" w:eastAsia="zh-CN" w:bidi="ar-SA"/>
        </w:rPr>
        <w:t>类似业绩证明</w:t>
      </w:r>
    </w:p>
    <w:p w14:paraId="75B69C4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六、施工组织设计</w:t>
      </w:r>
    </w:p>
    <w:p w14:paraId="24B90BA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七、陕西省政府采购供应商拒绝政府采购领域商业贿赂承诺书</w:t>
      </w:r>
    </w:p>
    <w:p w14:paraId="0C286FE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八、</w:t>
      </w:r>
      <w:r>
        <w:rPr>
          <w:rFonts w:hint="default" w:ascii="Times New Roman" w:hAnsi="Times New Roman" w:eastAsia="宋体" w:cs="Times New Roman"/>
          <w:b w:val="0"/>
          <w:bCs w:val="0"/>
          <w:color w:val="auto"/>
          <w:sz w:val="24"/>
          <w:szCs w:val="24"/>
          <w:highlight w:val="none"/>
          <w:lang w:val="en-US" w:eastAsia="zh-CN" w:bidi="ar-SA"/>
        </w:rPr>
        <w:t>其他资料（如有）</w:t>
      </w:r>
    </w:p>
    <w:p w14:paraId="72920F98">
      <w:pPr>
        <w:spacing w:line="480" w:lineRule="auto"/>
        <w:rPr>
          <w:rFonts w:hint="default" w:ascii="Times New Roman" w:hAnsi="Times New Roman" w:eastAsia="宋体" w:cs="Times New Roman"/>
          <w:color w:val="auto"/>
          <w:sz w:val="24"/>
          <w:szCs w:val="24"/>
          <w:highlight w:val="none"/>
        </w:rPr>
      </w:pPr>
    </w:p>
    <w:p w14:paraId="58911392">
      <w:pPr>
        <w:spacing w:line="480" w:lineRule="auto"/>
        <w:ind w:left="2310" w:leftChars="1100"/>
        <w:jc w:val="left"/>
        <w:rPr>
          <w:rFonts w:hint="default" w:ascii="Times New Roman" w:hAnsi="Times New Roman" w:eastAsia="宋体" w:cs="Times New Roman"/>
          <w:b/>
          <w:bCs/>
          <w:color w:val="auto"/>
          <w:sz w:val="24"/>
          <w:szCs w:val="24"/>
          <w:highlight w:val="none"/>
        </w:rPr>
      </w:pPr>
      <w:bookmarkStart w:id="535" w:name="_Toc23278"/>
      <w:bookmarkStart w:id="536" w:name="_Toc32749"/>
      <w:bookmarkStart w:id="537" w:name="_Toc421778386"/>
      <w:bookmarkStart w:id="538" w:name="_Toc420591667"/>
      <w:bookmarkStart w:id="539" w:name="_Toc425240481"/>
      <w:bookmarkStart w:id="540" w:name="_Toc387"/>
    </w:p>
    <w:p w14:paraId="2BBBA935">
      <w:pPr>
        <w:jc w:val="center"/>
        <w:outlineLvl w:val="1"/>
        <w:rPr>
          <w:rFonts w:hint="default" w:ascii="Times New Roman" w:hAnsi="Times New Roman" w:eastAsia="宋体" w:cs="Times New Roman"/>
          <w:b/>
          <w:bCs/>
          <w:color w:val="auto"/>
          <w:sz w:val="32"/>
          <w:szCs w:val="32"/>
          <w:highlight w:val="none"/>
        </w:rPr>
      </w:pPr>
      <w:bookmarkStart w:id="541" w:name="_Toc4645"/>
      <w:bookmarkStart w:id="542" w:name="_Toc24435"/>
      <w:bookmarkStart w:id="543" w:name="_Toc25568"/>
    </w:p>
    <w:p w14:paraId="70A93FD9">
      <w:pPr>
        <w:jc w:val="center"/>
        <w:outlineLvl w:val="1"/>
        <w:rPr>
          <w:rFonts w:hint="default" w:ascii="Times New Roman" w:hAnsi="Times New Roman" w:eastAsia="宋体" w:cs="Times New Roman"/>
          <w:b/>
          <w:bCs/>
          <w:color w:val="auto"/>
          <w:sz w:val="32"/>
          <w:szCs w:val="32"/>
          <w:highlight w:val="none"/>
        </w:rPr>
      </w:pPr>
    </w:p>
    <w:p w14:paraId="663A8A9F">
      <w:pPr>
        <w:jc w:val="center"/>
        <w:outlineLvl w:val="1"/>
        <w:rPr>
          <w:rFonts w:hint="default" w:ascii="Times New Roman" w:hAnsi="Times New Roman" w:eastAsia="宋体" w:cs="Times New Roman"/>
          <w:b/>
          <w:bCs/>
          <w:color w:val="auto"/>
          <w:sz w:val="32"/>
          <w:szCs w:val="32"/>
          <w:highlight w:val="none"/>
        </w:rPr>
      </w:pPr>
    </w:p>
    <w:p w14:paraId="6A6F5201">
      <w:pPr>
        <w:jc w:val="center"/>
        <w:outlineLvl w:val="1"/>
        <w:rPr>
          <w:rFonts w:hint="default" w:ascii="Times New Roman" w:hAnsi="Times New Roman" w:eastAsia="宋体" w:cs="Times New Roman"/>
          <w:b/>
          <w:bCs/>
          <w:color w:val="auto"/>
          <w:sz w:val="32"/>
          <w:szCs w:val="32"/>
          <w:highlight w:val="none"/>
        </w:rPr>
      </w:pPr>
    </w:p>
    <w:p w14:paraId="3DDC3AE2">
      <w:pPr>
        <w:jc w:val="center"/>
        <w:outlineLvl w:val="1"/>
        <w:rPr>
          <w:rFonts w:hint="default" w:ascii="Times New Roman" w:hAnsi="Times New Roman" w:eastAsia="宋体" w:cs="Times New Roman"/>
          <w:b/>
          <w:bCs/>
          <w:color w:val="auto"/>
          <w:sz w:val="32"/>
          <w:szCs w:val="32"/>
          <w:highlight w:val="none"/>
        </w:rPr>
      </w:pPr>
    </w:p>
    <w:p w14:paraId="5A92053C">
      <w:pPr>
        <w:jc w:val="center"/>
        <w:outlineLvl w:val="1"/>
        <w:rPr>
          <w:rFonts w:hint="default" w:ascii="Times New Roman" w:hAnsi="Times New Roman" w:eastAsia="宋体" w:cs="Times New Roman"/>
          <w:b/>
          <w:bCs/>
          <w:color w:val="auto"/>
          <w:sz w:val="32"/>
          <w:szCs w:val="32"/>
          <w:highlight w:val="none"/>
        </w:rPr>
      </w:pPr>
    </w:p>
    <w:p w14:paraId="4DEA6771">
      <w:pPr>
        <w:jc w:val="center"/>
        <w:outlineLvl w:val="1"/>
        <w:rPr>
          <w:rFonts w:hint="default" w:ascii="Times New Roman" w:hAnsi="Times New Roman" w:eastAsia="宋体" w:cs="Times New Roman"/>
          <w:b/>
          <w:bCs/>
          <w:color w:val="auto"/>
          <w:sz w:val="32"/>
          <w:szCs w:val="32"/>
          <w:highlight w:val="none"/>
        </w:rPr>
      </w:pPr>
    </w:p>
    <w:p w14:paraId="5B821826">
      <w:pPr>
        <w:jc w:val="center"/>
        <w:outlineLvl w:val="1"/>
        <w:rPr>
          <w:rFonts w:hint="default" w:ascii="Times New Roman" w:hAnsi="Times New Roman" w:eastAsia="宋体" w:cs="Times New Roman"/>
          <w:b/>
          <w:bCs/>
          <w:color w:val="auto"/>
          <w:sz w:val="32"/>
          <w:szCs w:val="32"/>
          <w:highlight w:val="none"/>
        </w:rPr>
      </w:pPr>
    </w:p>
    <w:p w14:paraId="6170A019">
      <w:pPr>
        <w:jc w:val="center"/>
        <w:outlineLvl w:val="1"/>
        <w:rPr>
          <w:rFonts w:hint="default" w:ascii="Times New Roman" w:hAnsi="Times New Roman" w:eastAsia="宋体" w:cs="Times New Roman"/>
          <w:b/>
          <w:bCs/>
          <w:color w:val="auto"/>
          <w:sz w:val="32"/>
          <w:szCs w:val="32"/>
          <w:highlight w:val="none"/>
        </w:rPr>
      </w:pPr>
    </w:p>
    <w:p w14:paraId="409BC229">
      <w:pPr>
        <w:jc w:val="center"/>
        <w:outlineLvl w:val="1"/>
        <w:rPr>
          <w:rFonts w:hint="default" w:ascii="Times New Roman" w:hAnsi="Times New Roman" w:eastAsia="宋体" w:cs="Times New Roman"/>
          <w:b/>
          <w:bCs/>
          <w:color w:val="auto"/>
          <w:sz w:val="32"/>
          <w:szCs w:val="32"/>
          <w:highlight w:val="none"/>
        </w:rPr>
      </w:pPr>
    </w:p>
    <w:p w14:paraId="2A0755C7">
      <w:pPr>
        <w:jc w:val="center"/>
        <w:outlineLvl w:val="1"/>
        <w:rPr>
          <w:rFonts w:hint="default" w:ascii="Times New Roman" w:hAnsi="Times New Roman" w:eastAsia="宋体" w:cs="Times New Roman"/>
          <w:b/>
          <w:bCs/>
          <w:color w:val="auto"/>
          <w:sz w:val="32"/>
          <w:szCs w:val="32"/>
          <w:highlight w:val="none"/>
        </w:rPr>
      </w:pPr>
    </w:p>
    <w:p w14:paraId="6CB217A2">
      <w:pPr>
        <w:jc w:val="center"/>
        <w:outlineLvl w:val="1"/>
        <w:rPr>
          <w:rFonts w:hint="default" w:ascii="Times New Roman" w:hAnsi="Times New Roman" w:eastAsia="宋体" w:cs="Times New Roman"/>
          <w:b/>
          <w:bCs/>
          <w:color w:val="auto"/>
          <w:sz w:val="32"/>
          <w:szCs w:val="32"/>
          <w:highlight w:val="none"/>
        </w:rPr>
      </w:pPr>
    </w:p>
    <w:p w14:paraId="6C08B06C">
      <w:pPr>
        <w:jc w:val="center"/>
        <w:outlineLvl w:val="1"/>
        <w:rPr>
          <w:rFonts w:hint="default" w:ascii="Times New Roman" w:hAnsi="Times New Roman" w:eastAsia="宋体" w:cs="Times New Roman"/>
          <w:b/>
          <w:bCs/>
          <w:color w:val="auto"/>
          <w:sz w:val="32"/>
          <w:szCs w:val="32"/>
          <w:highlight w:val="none"/>
        </w:rPr>
      </w:pPr>
    </w:p>
    <w:p w14:paraId="522F7EEF">
      <w:pPr>
        <w:jc w:val="center"/>
        <w:outlineLvl w:val="1"/>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一、</w:t>
      </w:r>
      <w:bookmarkEnd w:id="535"/>
      <w:bookmarkEnd w:id="536"/>
      <w:bookmarkEnd w:id="537"/>
      <w:bookmarkEnd w:id="538"/>
      <w:bookmarkEnd w:id="539"/>
      <w:bookmarkEnd w:id="540"/>
      <w:r>
        <w:rPr>
          <w:rFonts w:hint="default" w:ascii="Times New Roman" w:hAnsi="Times New Roman" w:eastAsia="宋体" w:cs="Times New Roman"/>
          <w:b/>
          <w:bCs/>
          <w:color w:val="auto"/>
          <w:sz w:val="32"/>
          <w:szCs w:val="32"/>
          <w:highlight w:val="none"/>
          <w:lang w:eastAsia="zh-CN"/>
        </w:rPr>
        <w:t>磋商响应函</w:t>
      </w:r>
      <w:bookmarkEnd w:id="541"/>
      <w:bookmarkEnd w:id="542"/>
      <w:bookmarkEnd w:id="543"/>
    </w:p>
    <w:p w14:paraId="69C7EA4A">
      <w:pPr>
        <w:kinsoku w:val="0"/>
        <w:autoSpaceDE w:val="0"/>
        <w:autoSpaceDN w:val="0"/>
        <w:adjustRightInd w:val="0"/>
        <w:snapToGrid w:val="0"/>
        <w:spacing w:before="228" w:line="220" w:lineRule="auto"/>
        <w:ind w:left="27"/>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bookmarkStart w:id="544" w:name="_Toc3994"/>
      <w:bookmarkStart w:id="545" w:name="_Toc11697"/>
      <w:bookmarkStart w:id="546" w:name="_Toc421778387"/>
      <w:bookmarkStart w:id="547" w:name="_Toc32443"/>
      <w:bookmarkStart w:id="548" w:name="_Toc3816"/>
      <w:bookmarkStart w:id="549" w:name="_Toc420591668"/>
      <w:bookmarkStart w:id="550" w:name="_Toc425240482"/>
      <w:bookmarkStart w:id="551" w:name="_Toc24948"/>
      <w:bookmarkStart w:id="552" w:name="_Toc23593"/>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zh-CN" w:bidi="ar-SA"/>
        </w:rPr>
        <w:t>（采购人名称）</w:t>
      </w:r>
      <w:r>
        <w:rPr>
          <w:rFonts w:hint="default" w:ascii="Times New Roman" w:hAnsi="Times New Roman" w:eastAsia="宋体" w:cs="Times New Roman"/>
          <w:snapToGrid w:val="0"/>
          <w:color w:val="auto"/>
          <w:spacing w:val="-2"/>
          <w:kern w:val="0"/>
          <w:sz w:val="21"/>
          <w:szCs w:val="21"/>
          <w:highlight w:val="none"/>
          <w:u w:val="single" w:color="auto"/>
          <w:lang w:val="en-US" w:eastAsia="en-US" w:bidi="ar-SA"/>
        </w:rPr>
        <w:t>：</w:t>
      </w:r>
    </w:p>
    <w:p w14:paraId="051B236A">
      <w:pPr>
        <w:kinsoku w:val="0"/>
        <w:autoSpaceDE w:val="0"/>
        <w:autoSpaceDN w:val="0"/>
        <w:adjustRightInd w:val="0"/>
        <w:snapToGrid w:val="0"/>
        <w:spacing w:before="182" w:line="344" w:lineRule="auto"/>
        <w:ind w:left="15" w:right="146" w:firstLine="476"/>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en-US" w:bidi="ar-SA"/>
        </w:rPr>
        <w:t>我方获取到贵单位关于</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zh-CN" w:bidi="ar-SA"/>
        </w:rPr>
        <w:t xml:space="preserve">         （项目名称、</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项目编</w:t>
      </w:r>
      <w:r>
        <w:rPr>
          <w:rFonts w:hint="default" w:ascii="Times New Roman" w:hAnsi="Times New Roman" w:eastAsia="宋体" w:cs="Times New Roman"/>
          <w:snapToGrid w:val="0"/>
          <w:color w:val="auto"/>
          <w:kern w:val="0"/>
          <w:sz w:val="21"/>
          <w:szCs w:val="21"/>
          <w:highlight w:val="none"/>
          <w:u w:val="single" w:color="auto"/>
          <w:lang w:val="en-US" w:eastAsia="en-US" w:bidi="ar-SA"/>
        </w:rPr>
        <w:t>号</w:t>
      </w:r>
      <w:r>
        <w:rPr>
          <w:rFonts w:hint="default" w:ascii="Times New Roman" w:hAnsi="Times New Roman" w:eastAsia="宋体" w:cs="Times New Roman"/>
          <w:snapToGrid w:val="0"/>
          <w:color w:val="auto"/>
          <w:kern w:val="0"/>
          <w:sz w:val="21"/>
          <w:szCs w:val="21"/>
          <w:highlight w:val="none"/>
          <w:u w:val="single" w:color="auto"/>
          <w:lang w:val="en-US" w:eastAsia="zh-CN" w:bidi="ar-SA"/>
        </w:rPr>
        <w:t>）</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lang w:val="en-US" w:eastAsia="en-US" w:bidi="ar-SA"/>
        </w:rPr>
        <w:t>竞争性磋商文</w:t>
      </w:r>
      <w:r>
        <w:rPr>
          <w:rFonts w:hint="default" w:ascii="Times New Roman" w:hAnsi="Times New Roman" w:eastAsia="宋体" w:cs="Times New Roman"/>
          <w:snapToGrid w:val="0"/>
          <w:color w:val="auto"/>
          <w:spacing w:val="-1"/>
          <w:kern w:val="0"/>
          <w:sz w:val="21"/>
          <w:szCs w:val="21"/>
          <w:highlight w:val="none"/>
          <w:lang w:val="en-US" w:eastAsia="en-US" w:bidi="ar-SA"/>
        </w:rPr>
        <w:t>件，经研究，决定参加本次采购活动。</w:t>
      </w:r>
    </w:p>
    <w:p w14:paraId="7DB84E5B">
      <w:pPr>
        <w:kinsoku w:val="0"/>
        <w:autoSpaceDE w:val="0"/>
        <w:autoSpaceDN w:val="0"/>
        <w:adjustRightInd w:val="0"/>
        <w:snapToGrid w:val="0"/>
        <w:spacing w:before="38" w:line="220" w:lineRule="auto"/>
        <w:ind w:left="492"/>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b/>
          <w:bCs/>
          <w:snapToGrid w:val="0"/>
          <w:color w:val="auto"/>
          <w:spacing w:val="-2"/>
          <w:kern w:val="0"/>
          <w:sz w:val="21"/>
          <w:szCs w:val="21"/>
          <w:highlight w:val="none"/>
          <w:lang w:val="en-US" w:eastAsia="en-US" w:bidi="ar-SA"/>
        </w:rPr>
        <w:t>为此，我方郑重声明以下诸点，并愿意承担相应</w:t>
      </w:r>
      <w:r>
        <w:rPr>
          <w:rFonts w:hint="default" w:ascii="Times New Roman" w:hAnsi="Times New Roman" w:eastAsia="宋体" w:cs="Times New Roman"/>
          <w:b/>
          <w:bCs/>
          <w:snapToGrid w:val="0"/>
          <w:color w:val="auto"/>
          <w:spacing w:val="-3"/>
          <w:kern w:val="0"/>
          <w:sz w:val="21"/>
          <w:szCs w:val="21"/>
          <w:highlight w:val="none"/>
          <w:lang w:val="en-US" w:eastAsia="en-US" w:bidi="ar-SA"/>
        </w:rPr>
        <w:t>的法律责任。</w:t>
      </w:r>
    </w:p>
    <w:p w14:paraId="462BB10C">
      <w:pPr>
        <w:numPr>
          <w:ilvl w:val="0"/>
          <w:numId w:val="4"/>
        </w:numPr>
        <w:kinsoku w:val="0"/>
        <w:autoSpaceDE w:val="0"/>
        <w:autoSpaceDN w:val="0"/>
        <w:adjustRightInd w:val="0"/>
        <w:snapToGrid w:val="0"/>
        <w:spacing w:before="181" w:line="221" w:lineRule="auto"/>
        <w:ind w:left="21" w:firstLine="416" w:firstLineChars="200"/>
        <w:jc w:val="left"/>
        <w:textAlignment w:val="baseline"/>
        <w:rPr>
          <w:rFonts w:hint="default" w:ascii="Times New Roman" w:hAnsi="Times New Roman" w:eastAsia="宋体" w:cs="Times New Roman"/>
          <w:snapToGrid w:val="0"/>
          <w:color w:val="auto"/>
          <w:kern w:val="0"/>
          <w:sz w:val="21"/>
          <w:szCs w:val="21"/>
          <w:highlight w:val="none"/>
          <w:u w:val="single" w:color="auto"/>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我方所附磋商响应报价表中应提交和交付的工程总价为人民币：</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p>
    <w:p w14:paraId="64A226C6">
      <w:pPr>
        <w:numPr>
          <w:ilvl w:val="0"/>
          <w:numId w:val="0"/>
        </w:numPr>
        <w:kinsoku w:val="0"/>
        <w:autoSpaceDE w:val="0"/>
        <w:autoSpaceDN w:val="0"/>
        <w:adjustRightInd w:val="0"/>
        <w:snapToGrid w:val="0"/>
        <w:spacing w:before="181" w:line="221" w:lineRule="auto"/>
        <w:ind w:leftChars="20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u w:val="single" w:color="auto"/>
          <w:lang w:val="en-US" w:eastAsia="zh-CN" w:bidi="ar-SA"/>
        </w:rPr>
        <w:t>（大写：         ）</w:t>
      </w:r>
    </w:p>
    <w:p w14:paraId="3BA6278C">
      <w:pPr>
        <w:kinsoku w:val="0"/>
        <w:autoSpaceDE w:val="0"/>
        <w:autoSpaceDN w:val="0"/>
        <w:adjustRightInd w:val="0"/>
        <w:snapToGrid w:val="0"/>
        <w:spacing w:before="179" w:line="347" w:lineRule="auto"/>
        <w:ind w:left="32" w:firstLine="46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2.我方已详细审阅竞争性磋商文件全部内容，完全理解并同意放弃对这方面有不</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4"/>
          <w:kern w:val="0"/>
          <w:sz w:val="21"/>
          <w:szCs w:val="21"/>
          <w:highlight w:val="none"/>
          <w:lang w:val="en-US" w:eastAsia="en-US" w:bidi="ar-SA"/>
        </w:rPr>
        <w:t>明及误解质疑的权力。</w:t>
      </w:r>
    </w:p>
    <w:p w14:paraId="1943838F">
      <w:pPr>
        <w:kinsoku w:val="0"/>
        <w:autoSpaceDE w:val="0"/>
        <w:autoSpaceDN w:val="0"/>
        <w:adjustRightInd w:val="0"/>
        <w:snapToGrid w:val="0"/>
        <w:spacing w:before="34" w:line="350" w:lineRule="auto"/>
        <w:ind w:left="8" w:firstLine="485"/>
        <w:jc w:val="both"/>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3.磋商有效期：自竞争性磋商响应文件递交截止之日起</w:t>
      </w:r>
      <w:r>
        <w:rPr>
          <w:rFonts w:hint="default" w:ascii="Times New Roman" w:hAnsi="Times New Roman" w:eastAsia="宋体" w:cs="Times New Roman"/>
          <w:snapToGrid w:val="0"/>
          <w:color w:val="auto"/>
          <w:spacing w:val="-3"/>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10"/>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zh-CN" w:bidi="ar-SA"/>
        </w:rPr>
        <w:t>日历天</w:t>
      </w:r>
      <w:r>
        <w:rPr>
          <w:rFonts w:hint="default" w:ascii="Times New Roman" w:hAnsi="Times New Roman" w:eastAsia="宋体" w:cs="Times New Roman"/>
          <w:snapToGrid w:val="0"/>
          <w:color w:val="auto"/>
          <w:spacing w:val="-3"/>
          <w:kern w:val="0"/>
          <w:sz w:val="21"/>
          <w:szCs w:val="21"/>
          <w:highlight w:val="none"/>
          <w:lang w:val="en-US" w:eastAsia="en-US" w:bidi="ar-SA"/>
        </w:rPr>
        <w:t>。我</w:t>
      </w:r>
      <w:r>
        <w:rPr>
          <w:rFonts w:hint="default" w:ascii="Times New Roman" w:hAnsi="Times New Roman" w:eastAsia="宋体" w:cs="Times New Roman"/>
          <w:snapToGrid w:val="0"/>
          <w:color w:val="auto"/>
          <w:spacing w:val="-4"/>
          <w:kern w:val="0"/>
          <w:sz w:val="21"/>
          <w:szCs w:val="21"/>
          <w:highlight w:val="none"/>
          <w:lang w:val="en-US" w:eastAsia="en-US" w:bidi="ar-SA"/>
        </w:rPr>
        <w:t>方若</w:t>
      </w:r>
      <w:r>
        <w:rPr>
          <w:rFonts w:hint="default" w:ascii="Times New Roman" w:hAnsi="Times New Roman" w:eastAsia="宋体" w:cs="Times New Roman"/>
          <w:snapToGrid w:val="0"/>
          <w:color w:val="auto"/>
          <w:spacing w:val="-3"/>
          <w:kern w:val="0"/>
          <w:sz w:val="21"/>
          <w:szCs w:val="21"/>
          <w:highlight w:val="none"/>
          <w:lang w:val="en-US" w:eastAsia="en-US" w:bidi="ar-SA"/>
        </w:rPr>
        <w:t>在规定的磋商有效期内撤回竞争性磋商响应文件，自愿接受政府采购法律法规规定的</w:t>
      </w:r>
      <w:r>
        <w:rPr>
          <w:rFonts w:hint="default" w:ascii="Times New Roman" w:hAnsi="Times New Roman" w:eastAsia="宋体" w:cs="Times New Roman"/>
          <w:snapToGrid w:val="0"/>
          <w:color w:val="auto"/>
          <w:spacing w:val="7"/>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2"/>
          <w:kern w:val="0"/>
          <w:sz w:val="21"/>
          <w:szCs w:val="21"/>
          <w:highlight w:val="none"/>
          <w:lang w:val="en-US" w:eastAsia="en-US" w:bidi="ar-SA"/>
        </w:rPr>
        <w:t>不利后果。</w:t>
      </w:r>
    </w:p>
    <w:p w14:paraId="4EAC8BBA">
      <w:pPr>
        <w:kinsoku w:val="0"/>
        <w:autoSpaceDE w:val="0"/>
        <w:autoSpaceDN w:val="0"/>
        <w:adjustRightInd w:val="0"/>
        <w:snapToGrid w:val="0"/>
        <w:spacing w:before="34" w:line="347" w:lineRule="auto"/>
        <w:ind w:left="488" w:right="185" w:firstLine="5"/>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2"/>
          <w:kern w:val="0"/>
          <w:sz w:val="21"/>
          <w:szCs w:val="21"/>
          <w:highlight w:val="none"/>
          <w:lang w:val="en-US" w:eastAsia="en-US" w:bidi="ar-SA"/>
        </w:rPr>
        <w:t>3.我方同意提供贵单位可能另外要求的与本项目采购活动和履约有关的资格。</w:t>
      </w:r>
      <w:r>
        <w:rPr>
          <w:rFonts w:hint="default" w:ascii="Times New Roman" w:hAnsi="Times New Roman" w:eastAsia="宋体" w:cs="Times New Roman"/>
          <w:snapToGrid w:val="0"/>
          <w:color w:val="auto"/>
          <w:spacing w:val="16"/>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4.若我方有幸成交，我方承诺：</w:t>
      </w:r>
    </w:p>
    <w:p w14:paraId="68AB2340">
      <w:pPr>
        <w:kinsoku w:val="0"/>
        <w:autoSpaceDE w:val="0"/>
        <w:autoSpaceDN w:val="0"/>
        <w:adjustRightInd w:val="0"/>
        <w:snapToGrid w:val="0"/>
        <w:spacing w:before="33" w:line="289" w:lineRule="auto"/>
        <w:ind w:left="10" w:right="26" w:firstLine="49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（1）按照规定签订政府采购合同，履行并承担竞争性磋商文件和政府采购合同</w:t>
      </w:r>
      <w:r>
        <w:rPr>
          <w:rFonts w:hint="default" w:ascii="Times New Roman" w:hAnsi="Times New Roman" w:eastAsia="宋体" w:cs="Times New Roman"/>
          <w:snapToGrid w:val="0"/>
          <w:color w:val="auto"/>
          <w:spacing w:val="13"/>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2"/>
          <w:kern w:val="0"/>
          <w:sz w:val="21"/>
          <w:szCs w:val="21"/>
          <w:highlight w:val="none"/>
          <w:lang w:val="en-US" w:eastAsia="en-US" w:bidi="ar-SA"/>
        </w:rPr>
        <w:t>规定的责任和义务。</w:t>
      </w:r>
    </w:p>
    <w:p w14:paraId="39C52749">
      <w:pPr>
        <w:kinsoku w:val="0"/>
        <w:autoSpaceDE w:val="0"/>
        <w:autoSpaceDN w:val="0"/>
        <w:adjustRightInd w:val="0"/>
        <w:snapToGrid w:val="0"/>
        <w:spacing w:before="182" w:line="219" w:lineRule="auto"/>
        <w:ind w:left="50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（2）按规定向采购代理机构支付代理服务费。</w:t>
      </w:r>
    </w:p>
    <w:p w14:paraId="42DFB465">
      <w:pPr>
        <w:kinsoku w:val="0"/>
        <w:autoSpaceDE w:val="0"/>
        <w:autoSpaceDN w:val="0"/>
        <w:adjustRightInd w:val="0"/>
        <w:snapToGrid w:val="0"/>
        <w:spacing w:before="181" w:line="219" w:lineRule="auto"/>
        <w:ind w:left="50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（3）竞争性磋商响应文件有效期延长至政府采购合同履行完毕。</w:t>
      </w:r>
    </w:p>
    <w:p w14:paraId="4C245D0F">
      <w:pPr>
        <w:kinsoku w:val="0"/>
        <w:autoSpaceDE w:val="0"/>
        <w:autoSpaceDN w:val="0"/>
        <w:adjustRightInd w:val="0"/>
        <w:snapToGrid w:val="0"/>
        <w:spacing w:before="182" w:line="347" w:lineRule="auto"/>
        <w:ind w:left="9" w:firstLine="484"/>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5.我方完全理解最低报价不是成交的唯一条件，采购人有权选择质优价廉的工程</w:t>
      </w:r>
      <w:r>
        <w:rPr>
          <w:rFonts w:hint="default" w:ascii="Times New Roman" w:hAnsi="Times New Roman" w:eastAsia="宋体" w:cs="Times New Roman"/>
          <w:snapToGrid w:val="0"/>
          <w:color w:val="auto"/>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服务，并尊重磋商小组的评审结论和成交结果。</w:t>
      </w:r>
    </w:p>
    <w:p w14:paraId="344FE6DA">
      <w:pPr>
        <w:kinsoku w:val="0"/>
        <w:autoSpaceDE w:val="0"/>
        <w:autoSpaceDN w:val="0"/>
        <w:adjustRightInd w:val="0"/>
        <w:snapToGrid w:val="0"/>
        <w:spacing w:before="33" w:line="219" w:lineRule="auto"/>
        <w:ind w:left="49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6.所有关于本项目的函电，请按下列地址联系：</w:t>
      </w:r>
    </w:p>
    <w:p w14:paraId="188047C1">
      <w:pPr>
        <w:widowControl/>
        <w:kinsoku w:val="0"/>
        <w:autoSpaceDE w:val="0"/>
        <w:autoSpaceDN w:val="0"/>
        <w:adjustRightInd w:val="0"/>
        <w:snapToGrid w:val="0"/>
        <w:spacing w:line="258"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543FB8A3">
      <w:pPr>
        <w:widowControl/>
        <w:kinsoku w:val="0"/>
        <w:autoSpaceDE w:val="0"/>
        <w:autoSpaceDN w:val="0"/>
        <w:adjustRightInd w:val="0"/>
        <w:snapToGrid w:val="0"/>
        <w:spacing w:line="259"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1E53D5A8">
      <w:pPr>
        <w:widowControl/>
        <w:kinsoku w:val="0"/>
        <w:autoSpaceDE w:val="0"/>
        <w:autoSpaceDN w:val="0"/>
        <w:adjustRightInd w:val="0"/>
        <w:snapToGrid w:val="0"/>
        <w:spacing w:line="259"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7AE9AB62">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u w:val="single" w:color="auto"/>
          <w:lang w:val="en-US" w:eastAsia="en-US" w:bidi="ar-SA"/>
        </w:rPr>
      </w:pPr>
      <w:r>
        <w:rPr>
          <w:rFonts w:hint="default" w:ascii="Times New Roman" w:hAnsi="Times New Roman" w:eastAsia="宋体" w:cs="Times New Roman"/>
          <w:snapToGrid w:val="0"/>
          <w:color w:val="auto"/>
          <w:spacing w:val="-2"/>
          <w:kern w:val="0"/>
          <w:sz w:val="21"/>
          <w:szCs w:val="21"/>
          <w:highlight w:val="none"/>
          <w:lang w:val="en-US" w:eastAsia="en-US" w:bidi="ar-SA"/>
        </w:rPr>
        <w:t>供应商名称（公章</w:t>
      </w:r>
      <w:r>
        <w:rPr>
          <w:rFonts w:hint="default" w:ascii="Times New Roman" w:hAnsi="Times New Roman" w:eastAsia="宋体" w:cs="Times New Roman"/>
          <w:snapToGrid w:val="0"/>
          <w:color w:val="auto"/>
          <w:spacing w:val="2"/>
          <w:kern w:val="0"/>
          <w:sz w:val="21"/>
          <w:szCs w:val="21"/>
          <w:highlight w:val="none"/>
          <w:lang w:val="en-US" w:eastAsia="en-US" w:bidi="ar-SA"/>
        </w:rPr>
        <w:t>）：</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p>
    <w:p w14:paraId="225448C5">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en-US" w:bidi="ar-SA"/>
        </w:rPr>
        <w:t>法定代表人或被授权人(签字或盖章)：</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lang w:val="en-US" w:eastAsia="en-US" w:bidi="ar-SA"/>
        </w:rPr>
        <w:t xml:space="preserve"> </w:t>
      </w:r>
    </w:p>
    <w:p w14:paraId="63247D25">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地址：</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44D3DF70">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电话：</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377474BA">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邮箱：</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43737C18">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日期：</w:t>
      </w:r>
      <w:r>
        <w:rPr>
          <w:rFonts w:hint="default" w:ascii="Times New Roman" w:hAnsi="Times New Roman" w:eastAsia="宋体" w:cs="Times New Roman"/>
          <w:snapToGrid w:val="0"/>
          <w:color w:val="auto"/>
          <w:spacing w:val="-3"/>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10"/>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年</w:t>
      </w:r>
      <w:r>
        <w:rPr>
          <w:rFonts w:hint="default" w:ascii="Times New Roman" w:hAnsi="Times New Roman" w:eastAsia="宋体" w:cs="Times New Roman"/>
          <w:snapToGrid w:val="0"/>
          <w:color w:val="auto"/>
          <w:spacing w:val="29"/>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01"/>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月</w:t>
      </w:r>
      <w:r>
        <w:rPr>
          <w:rFonts w:hint="default" w:ascii="Times New Roman" w:hAnsi="Times New Roman" w:eastAsia="宋体" w:cs="Times New Roman"/>
          <w:snapToGrid w:val="0"/>
          <w:color w:val="auto"/>
          <w:spacing w:val="30"/>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69"/>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日</w:t>
      </w:r>
    </w:p>
    <w:p w14:paraId="548556D0">
      <w:pPr>
        <w:keepLines/>
        <w:pageBreakBefore/>
        <w:jc w:val="center"/>
        <w:outlineLvl w:val="1"/>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二、</w:t>
      </w:r>
      <w:bookmarkEnd w:id="544"/>
      <w:bookmarkEnd w:id="545"/>
      <w:bookmarkEnd w:id="546"/>
      <w:bookmarkEnd w:id="547"/>
      <w:bookmarkEnd w:id="548"/>
      <w:bookmarkEnd w:id="549"/>
      <w:bookmarkEnd w:id="550"/>
      <w:r>
        <w:rPr>
          <w:rFonts w:hint="default" w:ascii="Times New Roman" w:hAnsi="Times New Roman" w:cs="Times New Roman"/>
          <w:b/>
          <w:bCs/>
          <w:color w:val="auto"/>
          <w:sz w:val="32"/>
          <w:szCs w:val="32"/>
          <w:highlight w:val="none"/>
          <w:lang w:val="en-US" w:eastAsia="zh-CN"/>
        </w:rPr>
        <w:t>磋商</w:t>
      </w:r>
      <w:r>
        <w:rPr>
          <w:rFonts w:hint="default" w:ascii="Times New Roman" w:hAnsi="Times New Roman" w:eastAsia="宋体" w:cs="Times New Roman"/>
          <w:b/>
          <w:bCs/>
          <w:color w:val="auto"/>
          <w:sz w:val="32"/>
          <w:szCs w:val="32"/>
          <w:highlight w:val="none"/>
          <w:lang w:eastAsia="zh-CN"/>
        </w:rPr>
        <w:t>报价一览表</w:t>
      </w:r>
      <w:bookmarkEnd w:id="551"/>
      <w:bookmarkEnd w:id="552"/>
    </w:p>
    <w:p w14:paraId="1AB2DA94">
      <w:pPr>
        <w:pStyle w:val="18"/>
        <w:numPr>
          <w:ilvl w:val="0"/>
          <w:numId w:val="0"/>
        </w:numPr>
        <w:ind w:right="33" w:rightChars="0"/>
        <w:jc w:val="center"/>
        <w:rPr>
          <w:rFonts w:hint="default" w:ascii="Times New Roman" w:hAnsi="Times New Roman" w:eastAsia="宋体" w:cs="Times New Roman"/>
          <w:b/>
          <w:bCs/>
          <w:color w:val="auto"/>
          <w:sz w:val="28"/>
          <w:szCs w:val="32"/>
          <w:highlight w:val="none"/>
          <w:lang w:val="en-US" w:eastAsia="zh-CN"/>
        </w:rPr>
      </w:pPr>
    </w:p>
    <w:p w14:paraId="376A3864">
      <w:pPr>
        <w:pStyle w:val="18"/>
        <w:numPr>
          <w:ilvl w:val="0"/>
          <w:numId w:val="0"/>
        </w:numPr>
        <w:ind w:right="33" w:rightChars="0"/>
        <w:jc w:val="center"/>
        <w:rPr>
          <w:rFonts w:hint="default" w:ascii="Times New Roman" w:hAnsi="Times New Roman" w:eastAsia="宋体" w:cs="Times New Roman"/>
          <w:b/>
          <w:bCs/>
          <w:color w:val="auto"/>
          <w:sz w:val="28"/>
          <w:szCs w:val="32"/>
          <w:highlight w:val="none"/>
          <w:lang w:val="en-US" w:eastAsia="zh-CN"/>
        </w:rPr>
      </w:pPr>
      <w:r>
        <w:rPr>
          <w:rFonts w:hint="default" w:ascii="Times New Roman" w:hAnsi="Times New Roman" w:eastAsia="宋体" w:cs="Times New Roman"/>
          <w:b/>
          <w:bCs/>
          <w:color w:val="auto"/>
          <w:sz w:val="28"/>
          <w:szCs w:val="32"/>
          <w:highlight w:val="none"/>
          <w:lang w:val="en-US" w:eastAsia="zh-CN"/>
        </w:rPr>
        <w:t xml:space="preserve">2.1 </w:t>
      </w:r>
      <w:r>
        <w:rPr>
          <w:rFonts w:hint="eastAsia" w:cs="Times New Roman"/>
          <w:b/>
          <w:bCs/>
          <w:color w:val="auto"/>
          <w:sz w:val="28"/>
          <w:szCs w:val="32"/>
          <w:highlight w:val="none"/>
          <w:lang w:val="en-US" w:eastAsia="zh-CN"/>
        </w:rPr>
        <w:t>第一次磋商报价</w:t>
      </w:r>
      <w:r>
        <w:rPr>
          <w:rFonts w:hint="default" w:ascii="Times New Roman" w:hAnsi="Times New Roman" w:eastAsia="宋体" w:cs="Times New Roman"/>
          <w:b/>
          <w:bCs/>
          <w:color w:val="auto"/>
          <w:sz w:val="28"/>
          <w:szCs w:val="32"/>
          <w:highlight w:val="none"/>
          <w:lang w:val="en-US" w:eastAsia="zh-CN"/>
        </w:rPr>
        <w:t>表</w:t>
      </w:r>
    </w:p>
    <w:p w14:paraId="4BF490E0">
      <w:pPr>
        <w:spacing w:line="360" w:lineRule="auto"/>
        <w:ind w:firstLine="480" w:firstLineChars="200"/>
        <w:rPr>
          <w:rFonts w:hint="default" w:ascii="Times New Roman" w:hAnsi="Times New Roman" w:eastAsia="宋体" w:cs="Times New Roman"/>
          <w:color w:val="auto"/>
          <w:sz w:val="24"/>
          <w:szCs w:val="24"/>
          <w:highlight w:val="none"/>
        </w:rPr>
      </w:pPr>
    </w:p>
    <w:p w14:paraId="2C9C8423">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eastAsia="宋体" w:cs="Times New Roman"/>
          <w:b/>
          <w:bCs w:val="0"/>
          <w:color w:val="auto"/>
          <w:kern w:val="2"/>
          <w:sz w:val="28"/>
          <w:szCs w:val="28"/>
          <w:highlight w:val="none"/>
          <w:lang w:val="en-US" w:eastAsia="zh-CN" w:bidi="ar-SA"/>
        </w:rPr>
      </w:pPr>
      <w:bookmarkStart w:id="553" w:name="_Toc17870"/>
      <w:bookmarkStart w:id="554" w:name="_Toc420591669"/>
      <w:bookmarkStart w:id="555" w:name="_Toc8191"/>
      <w:bookmarkStart w:id="556" w:name="_Toc421778388"/>
      <w:bookmarkStart w:id="557" w:name="_Toc23559"/>
      <w:bookmarkStart w:id="558" w:name="_Toc17055"/>
      <w:bookmarkStart w:id="559" w:name="_Toc425240483"/>
      <w:bookmarkStart w:id="560" w:name="_Toc14400"/>
      <w:r>
        <w:rPr>
          <w:rFonts w:hint="default" w:ascii="Times New Roman" w:hAnsi="Times New Roman" w:eastAsia="宋体" w:cs="Times New Roman"/>
          <w:color w:val="auto"/>
          <w:kern w:val="2"/>
          <w:sz w:val="24"/>
          <w:szCs w:val="24"/>
          <w:highlight w:val="none"/>
          <w:lang w:val="en-US" w:eastAsia="zh-CN" w:bidi="ar"/>
        </w:rPr>
        <w:t>项目名称：                      项目编号：</w:t>
      </w:r>
    </w:p>
    <w:tbl>
      <w:tblPr>
        <w:tblStyle w:val="3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0"/>
        <w:gridCol w:w="6609"/>
      </w:tblGrid>
      <w:tr w14:paraId="570D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26629FCC">
            <w:pPr>
              <w:keepNext w:val="0"/>
              <w:keepLines w:val="0"/>
              <w:widowControl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磋商</w:t>
            </w:r>
            <w:r>
              <w:rPr>
                <w:rFonts w:hint="default" w:ascii="Times New Roman" w:hAnsi="Times New Roman" w:cs="Times New Roman"/>
                <w:color w:val="auto"/>
                <w:kern w:val="2"/>
                <w:sz w:val="24"/>
                <w:szCs w:val="24"/>
                <w:highlight w:val="none"/>
                <w:lang w:val="en-US" w:eastAsia="zh-CN" w:bidi="ar"/>
              </w:rPr>
              <w:t>总</w:t>
            </w:r>
            <w:r>
              <w:rPr>
                <w:rFonts w:hint="default" w:ascii="Times New Roman" w:hAnsi="Times New Roman" w:eastAsia="宋体" w:cs="Times New Roman"/>
                <w:color w:val="auto"/>
                <w:kern w:val="2"/>
                <w:sz w:val="24"/>
                <w:szCs w:val="24"/>
                <w:highlight w:val="none"/>
                <w:lang w:val="en-US" w:eastAsia="zh-CN" w:bidi="ar"/>
              </w:rPr>
              <w:t>报价（元）</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246BE21C">
            <w:pPr>
              <w:keepNext w:val="0"/>
              <w:keepLines w:val="0"/>
              <w:widowControl w:val="0"/>
              <w:suppressLineNumbers w:val="0"/>
              <w:spacing w:before="0" w:beforeAutospacing="0" w:after="0" w:afterAutospacing="0" w:line="480" w:lineRule="auto"/>
              <w:ind w:left="0" w:right="0" w:firstLine="0" w:firstLineChars="0"/>
              <w:jc w:val="both"/>
              <w:rPr>
                <w:rFonts w:hint="default" w:ascii="Times New Roman" w:hAnsi="Times New Roman" w:eastAsia="宋体" w:cs="Times New Roman"/>
                <w:color w:val="auto"/>
                <w:kern w:val="2"/>
                <w:sz w:val="24"/>
                <w:szCs w:val="24"/>
                <w:highlight w:val="none"/>
                <w:u w:val="single"/>
              </w:rPr>
            </w:pPr>
            <w:r>
              <w:rPr>
                <w:rFonts w:hint="default" w:ascii="Times New Roman" w:hAnsi="Times New Roman" w:cs="Times New Roman"/>
                <w:color w:val="auto"/>
                <w:kern w:val="2"/>
                <w:sz w:val="24"/>
                <w:szCs w:val="24"/>
                <w:highlight w:val="none"/>
                <w:lang w:val="en-US" w:eastAsia="zh-CN" w:bidi="ar"/>
              </w:rPr>
              <w:t>大写</w:t>
            </w:r>
            <w:r>
              <w:rPr>
                <w:rFonts w:hint="default" w:ascii="Times New Roman" w:hAnsi="Times New Roman" w:eastAsia="宋体" w:cs="Times New Roman"/>
                <w:color w:val="auto"/>
                <w:kern w:val="2"/>
                <w:sz w:val="24"/>
                <w:szCs w:val="24"/>
                <w:highlight w:val="none"/>
                <w:lang w:val="en-US" w:eastAsia="zh-CN" w:bidi="ar"/>
              </w:rPr>
              <w:t>：</w:t>
            </w:r>
            <w:r>
              <w:rPr>
                <w:rFonts w:hint="default" w:ascii="Times New Roman" w:hAnsi="Times New Roman" w:eastAsia="宋体" w:cs="Times New Roman"/>
                <w:color w:val="auto"/>
                <w:kern w:val="2"/>
                <w:sz w:val="24"/>
                <w:szCs w:val="24"/>
                <w:highlight w:val="none"/>
                <w:u w:val="single"/>
                <w:lang w:val="en-US" w:eastAsia="zh-CN" w:bidi="ar"/>
              </w:rPr>
              <w:t xml:space="preserve">                             </w:t>
            </w:r>
          </w:p>
          <w:p w14:paraId="2CE3AB06">
            <w:pPr>
              <w:keepNext w:val="0"/>
              <w:keepLines w:val="0"/>
              <w:widowControl w:val="0"/>
              <w:suppressLineNumbers w:val="0"/>
              <w:spacing w:before="0" w:beforeAutospacing="0" w:after="0" w:afterAutospacing="0" w:line="480" w:lineRule="auto"/>
              <w:ind w:left="0" w:right="0" w:firstLine="0" w:firstLineChars="0"/>
              <w:jc w:val="both"/>
              <w:rPr>
                <w:rFonts w:hint="default" w:ascii="Times New Roman" w:hAnsi="Times New Roman" w:eastAsia="宋体" w:cs="Times New Roman"/>
                <w:color w:val="auto"/>
                <w:kern w:val="2"/>
                <w:sz w:val="24"/>
                <w:szCs w:val="24"/>
                <w:highlight w:val="none"/>
                <w:u w:val="single"/>
              </w:rPr>
            </w:pPr>
            <w:r>
              <w:rPr>
                <w:rFonts w:hint="default" w:ascii="Times New Roman" w:hAnsi="Times New Roman" w:cs="Times New Roman"/>
                <w:color w:val="auto"/>
                <w:kern w:val="2"/>
                <w:sz w:val="24"/>
                <w:szCs w:val="24"/>
                <w:highlight w:val="none"/>
                <w:lang w:val="en-US" w:eastAsia="zh-CN" w:bidi="ar"/>
              </w:rPr>
              <w:t>小</w:t>
            </w:r>
            <w:r>
              <w:rPr>
                <w:rFonts w:hint="default" w:ascii="Times New Roman" w:hAnsi="Times New Roman" w:eastAsia="宋体" w:cs="Times New Roman"/>
                <w:color w:val="auto"/>
                <w:kern w:val="2"/>
                <w:sz w:val="24"/>
                <w:szCs w:val="24"/>
                <w:highlight w:val="none"/>
                <w:lang w:val="en-US" w:eastAsia="zh-CN" w:bidi="ar"/>
              </w:rPr>
              <w:t>写：</w:t>
            </w:r>
            <w:r>
              <w:rPr>
                <w:rFonts w:hint="default" w:ascii="Times New Roman" w:hAnsi="Times New Roman" w:eastAsia="宋体" w:cs="Times New Roman"/>
                <w:color w:val="auto"/>
                <w:kern w:val="2"/>
                <w:sz w:val="24"/>
                <w:szCs w:val="24"/>
                <w:highlight w:val="none"/>
                <w:u w:val="single"/>
                <w:lang w:val="en-US" w:eastAsia="zh-CN" w:bidi="ar"/>
              </w:rPr>
              <w:t xml:space="preserve">                             </w:t>
            </w:r>
          </w:p>
        </w:tc>
      </w:tr>
      <w:tr w14:paraId="5E6E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03A29039">
            <w:pPr>
              <w:keepNext w:val="0"/>
              <w:keepLines w:val="0"/>
              <w:widowControl w:val="0"/>
              <w:suppressLineNumbers w:val="0"/>
              <w:spacing w:before="0" w:beforeAutospacing="0" w:after="0" w:afterAutospacing="0"/>
              <w:ind w:right="0" w:firstLine="240" w:firstLineChars="100"/>
              <w:jc w:val="both"/>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项</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目</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经</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理</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17612661">
            <w:pPr>
              <w:keepNext w:val="0"/>
              <w:keepLines w:val="0"/>
              <w:widowControl/>
              <w:suppressLineNumbers w:val="0"/>
              <w:spacing w:before="100" w:beforeAutospacing="1" w:after="100" w:afterAutospacing="1" w:line="400" w:lineRule="exact"/>
              <w:ind w:left="0" w:firstLine="482"/>
              <w:jc w:val="left"/>
              <w:rPr>
                <w:rFonts w:hint="default" w:ascii="Times New Roman" w:hAnsi="Times New Roman" w:eastAsia="宋体" w:cs="Times New Roman"/>
                <w:b/>
                <w:bCs w:val="0"/>
                <w:color w:val="auto"/>
                <w:spacing w:val="20"/>
                <w:kern w:val="2"/>
                <w:sz w:val="24"/>
                <w:szCs w:val="24"/>
                <w:highlight w:val="none"/>
                <w:lang w:val="en-US" w:eastAsia="zh-CN" w:bidi="ar-SA"/>
              </w:rPr>
            </w:pPr>
          </w:p>
        </w:tc>
      </w:tr>
      <w:tr w14:paraId="53D4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2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237C88">
            <w:pPr>
              <w:keepNext w:val="0"/>
              <w:keepLines w:val="0"/>
              <w:widowControl w:val="0"/>
              <w:suppressLineNumbers w:val="0"/>
              <w:spacing w:before="0" w:beforeAutospacing="0" w:after="0" w:afterAutospacing="0"/>
              <w:ind w:right="0" w:rightChars="0" w:firstLine="240" w:firstLineChars="1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工期</w:t>
            </w:r>
            <w:r>
              <w:rPr>
                <w:rFonts w:hint="default" w:ascii="Times New Roman" w:hAnsi="Times New Roman" w:cs="Times New Roman"/>
                <w:color w:val="auto"/>
                <w:kern w:val="2"/>
                <w:sz w:val="24"/>
                <w:szCs w:val="24"/>
                <w:highlight w:val="none"/>
                <w:lang w:val="en-US" w:eastAsia="zh-CN" w:bidi="ar"/>
              </w:rPr>
              <w:t>（日历天）</w:t>
            </w:r>
          </w:p>
        </w:tc>
        <w:tc>
          <w:tcPr>
            <w:tcW w:w="66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60283D">
            <w:pPr>
              <w:keepNext w:val="0"/>
              <w:keepLines w:val="0"/>
              <w:widowControl/>
              <w:suppressLineNumbers w:val="0"/>
              <w:spacing w:before="100" w:beforeAutospacing="1" w:after="100" w:afterAutospacing="1" w:line="400" w:lineRule="exact"/>
              <w:ind w:left="0" w:leftChars="0" w:firstLine="482" w:firstLineChars="0"/>
              <w:jc w:val="left"/>
              <w:rPr>
                <w:rFonts w:hint="default" w:ascii="Times New Roman" w:hAnsi="Times New Roman" w:eastAsia="宋体" w:cs="Times New Roman"/>
                <w:b/>
                <w:bCs w:val="0"/>
                <w:color w:val="auto"/>
                <w:spacing w:val="20"/>
                <w:kern w:val="2"/>
                <w:sz w:val="24"/>
                <w:szCs w:val="24"/>
                <w:highlight w:val="none"/>
                <w:lang w:val="en-US" w:eastAsia="zh-CN" w:bidi="ar-SA"/>
              </w:rPr>
            </w:pPr>
          </w:p>
        </w:tc>
      </w:tr>
      <w:tr w14:paraId="39B1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2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666B58">
            <w:pPr>
              <w:keepNext w:val="0"/>
              <w:keepLines w:val="0"/>
              <w:widowControl w:val="0"/>
              <w:suppressLineNumbers w:val="0"/>
              <w:spacing w:before="0" w:beforeAutospacing="0" w:after="0" w:afterAutospacing="0"/>
              <w:ind w:right="0" w:rightChars="0" w:firstLine="240" w:firstLineChars="1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质</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量</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标</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准</w:t>
            </w:r>
          </w:p>
        </w:tc>
        <w:tc>
          <w:tcPr>
            <w:tcW w:w="66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56DA44">
            <w:pPr>
              <w:keepNext w:val="0"/>
              <w:keepLines w:val="0"/>
              <w:widowControl w:val="0"/>
              <w:suppressLineNumbers w:val="0"/>
              <w:spacing w:before="0" w:beforeAutospacing="0" w:after="0" w:afterAutospacing="0"/>
              <w:ind w:left="0" w:leftChars="0" w:right="0" w:rightChars="0" w:firstLine="480" w:firstLineChars="0"/>
              <w:jc w:val="center"/>
              <w:rPr>
                <w:rFonts w:hint="default" w:ascii="Times New Roman" w:hAnsi="Times New Roman" w:eastAsia="宋体" w:cs="Times New Roman"/>
                <w:color w:val="auto"/>
                <w:kern w:val="2"/>
                <w:sz w:val="24"/>
                <w:szCs w:val="24"/>
                <w:highlight w:val="none"/>
                <w:lang w:val="en-US" w:eastAsia="zh-CN" w:bidi="ar-SA"/>
              </w:rPr>
            </w:pPr>
          </w:p>
        </w:tc>
      </w:tr>
      <w:tr w14:paraId="3C26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13C77AFB">
            <w:pPr>
              <w:keepNext w:val="0"/>
              <w:keepLines w:val="0"/>
              <w:widowControl w:val="0"/>
              <w:suppressLineNumbers w:val="0"/>
              <w:spacing w:before="0" w:beforeAutospacing="0" w:after="0" w:afterAutospacing="0"/>
              <w:ind w:left="0" w:right="0" w:firstLine="480"/>
              <w:jc w:val="both"/>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cs="Times New Roman"/>
                <w:color w:val="auto"/>
                <w:kern w:val="2"/>
                <w:sz w:val="24"/>
                <w:szCs w:val="24"/>
                <w:highlight w:val="none"/>
                <w:lang w:val="en-US" w:eastAsia="zh-CN"/>
              </w:rPr>
              <w:t>备    注</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0C9A27D2">
            <w:pPr>
              <w:keepNext w:val="0"/>
              <w:keepLines w:val="0"/>
              <w:widowControl w:val="0"/>
              <w:suppressLineNumbers w:val="0"/>
              <w:spacing w:before="0" w:beforeAutospacing="0" w:after="0" w:afterAutospacing="0"/>
              <w:ind w:left="0" w:right="0" w:firstLine="480"/>
              <w:jc w:val="center"/>
              <w:rPr>
                <w:rFonts w:hint="default" w:ascii="Times New Roman" w:hAnsi="Times New Roman" w:eastAsia="宋体" w:cs="Times New Roman"/>
                <w:color w:val="auto"/>
                <w:kern w:val="2"/>
                <w:sz w:val="24"/>
                <w:szCs w:val="24"/>
                <w:highlight w:val="none"/>
              </w:rPr>
            </w:pPr>
          </w:p>
        </w:tc>
      </w:tr>
    </w:tbl>
    <w:p w14:paraId="534B2580">
      <w:pPr>
        <w:keepNext w:val="0"/>
        <w:keepLines w:val="0"/>
        <w:widowControl/>
        <w:suppressLineNumbers w:val="0"/>
        <w:jc w:val="left"/>
        <w:rPr>
          <w:rFonts w:hint="default" w:ascii="Times New Roman" w:hAnsi="Times New Roman" w:eastAsia="宋体" w:cs="Times New Roman"/>
          <w:b/>
          <w:bCs/>
          <w:color w:val="auto"/>
          <w:kern w:val="0"/>
          <w:sz w:val="20"/>
          <w:szCs w:val="20"/>
          <w:highlight w:val="none"/>
          <w:lang w:val="en-US" w:eastAsia="zh-CN" w:bidi="ar"/>
        </w:rPr>
      </w:pPr>
    </w:p>
    <w:p w14:paraId="7EAF65E7">
      <w:pPr>
        <w:keepNext w:val="0"/>
        <w:keepLines w:val="0"/>
        <w:widowControl/>
        <w:suppressLineNumbers w:val="0"/>
        <w:ind w:firstLine="402" w:firstLineChars="200"/>
        <w:jc w:val="left"/>
        <w:rPr>
          <w:rFonts w:hint="default" w:ascii="Times New Roman" w:hAnsi="Times New Roman" w:cs="Times New Roman"/>
          <w:color w:val="auto"/>
          <w:highlight w:val="none"/>
        </w:rPr>
      </w:pPr>
      <w:r>
        <w:rPr>
          <w:rFonts w:hint="default" w:ascii="Times New Roman" w:hAnsi="Times New Roman" w:eastAsia="宋体" w:cs="Times New Roman"/>
          <w:b/>
          <w:bCs/>
          <w:color w:val="auto"/>
          <w:kern w:val="0"/>
          <w:sz w:val="20"/>
          <w:szCs w:val="20"/>
          <w:highlight w:val="none"/>
          <w:lang w:val="en-US" w:eastAsia="zh-CN" w:bidi="ar"/>
        </w:rPr>
        <w:t xml:space="preserve">注：1.大写与小写不一致时以大写为准； </w:t>
      </w:r>
    </w:p>
    <w:p w14:paraId="2CFB0CB6">
      <w:pPr>
        <w:keepNext w:val="0"/>
        <w:keepLines w:val="0"/>
        <w:widowControl/>
        <w:suppressLineNumbers w:val="0"/>
        <w:ind w:firstLine="803" w:firstLineChars="400"/>
        <w:jc w:val="left"/>
        <w:rPr>
          <w:rFonts w:hint="default" w:ascii="Times New Roman" w:hAnsi="Times New Roman" w:cs="Times New Roman"/>
          <w:color w:val="auto"/>
          <w:highlight w:val="none"/>
        </w:rPr>
      </w:pPr>
      <w:r>
        <w:rPr>
          <w:rFonts w:hint="default" w:ascii="Times New Roman" w:hAnsi="Times New Roman" w:eastAsia="宋体" w:cs="Times New Roman"/>
          <w:b/>
          <w:bCs/>
          <w:color w:val="auto"/>
          <w:kern w:val="0"/>
          <w:sz w:val="20"/>
          <w:szCs w:val="20"/>
          <w:highlight w:val="none"/>
          <w:lang w:val="en-US" w:eastAsia="zh-CN" w:bidi="ar"/>
        </w:rPr>
        <w:t>2.表内报价内容以元为单位，精确到小数点后两位。</w:t>
      </w:r>
    </w:p>
    <w:p w14:paraId="776B391C">
      <w:pPr>
        <w:keepNext w:val="0"/>
        <w:keepLines w:val="0"/>
        <w:widowControl w:val="0"/>
        <w:suppressLineNumbers w:val="0"/>
        <w:spacing w:before="0" w:beforeAutospacing="0" w:after="0" w:afterAutospacing="0" w:line="360" w:lineRule="auto"/>
        <w:ind w:left="0" w:leftChars="0" w:right="0" w:firstLine="0" w:firstLineChars="0"/>
        <w:jc w:val="left"/>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97D9133">
      <w:pPr>
        <w:keepNext w:val="0"/>
        <w:keepLines w:val="0"/>
        <w:widowControl/>
        <w:suppressLineNumbers w:val="0"/>
        <w:spacing w:before="0" w:beforeAutospacing="0" w:after="0" w:afterAutospacing="0" w:line="540" w:lineRule="exact"/>
        <w:ind w:left="0" w:right="0"/>
        <w:jc w:val="both"/>
        <w:rPr>
          <w:rFonts w:hint="default" w:ascii="Times New Roman" w:hAnsi="Times New Roman" w:cs="Times New Roman"/>
          <w:color w:val="auto"/>
          <w:kern w:val="2"/>
          <w:sz w:val="28"/>
          <w:szCs w:val="28"/>
          <w:highlight w:val="none"/>
          <w:lang w:val="en-US" w:eastAsia="zh-CN" w:bidi="ar"/>
        </w:rPr>
      </w:pPr>
      <w:r>
        <w:rPr>
          <w:rFonts w:hint="default" w:ascii="Times New Roman" w:hAnsi="Times New Roman" w:eastAsia="宋体" w:cs="Times New Roman"/>
          <w:b/>
          <w:bCs w:val="0"/>
          <w:color w:val="auto"/>
          <w:kern w:val="0"/>
          <w:sz w:val="36"/>
          <w:szCs w:val="36"/>
          <w:highlight w:val="none"/>
          <w:lang w:val="en-US" w:eastAsia="zh-CN" w:bidi="ar"/>
        </w:rPr>
        <w:t xml:space="preserve"> </w:t>
      </w:r>
      <w:r>
        <w:rPr>
          <w:rFonts w:hint="default" w:ascii="Times New Roman" w:hAnsi="Times New Roman" w:eastAsia="宋体" w:cs="Times New Roman"/>
          <w:color w:val="auto"/>
          <w:kern w:val="2"/>
          <w:sz w:val="28"/>
          <w:szCs w:val="28"/>
          <w:highlight w:val="none"/>
          <w:lang w:val="en-US" w:eastAsia="zh-CN" w:bidi="ar"/>
        </w:rPr>
        <w:t xml:space="preserve"> </w:t>
      </w:r>
      <w:r>
        <w:rPr>
          <w:rFonts w:hint="default" w:ascii="Times New Roman" w:hAnsi="Times New Roman" w:cs="Times New Roman"/>
          <w:color w:val="auto"/>
          <w:kern w:val="2"/>
          <w:sz w:val="28"/>
          <w:szCs w:val="28"/>
          <w:highlight w:val="none"/>
          <w:lang w:val="en-US" w:eastAsia="zh-CN" w:bidi="ar"/>
        </w:rPr>
        <w:t xml:space="preserve">                       </w:t>
      </w:r>
    </w:p>
    <w:p w14:paraId="7B071B97">
      <w:pPr>
        <w:keepNext w:val="0"/>
        <w:keepLines w:val="0"/>
        <w:widowControl/>
        <w:suppressLineNumbers w:val="0"/>
        <w:spacing w:before="0" w:beforeAutospacing="0" w:after="0" w:afterAutospacing="0" w:line="540" w:lineRule="exact"/>
        <w:ind w:left="0" w:right="0"/>
        <w:jc w:val="both"/>
        <w:rPr>
          <w:rFonts w:hint="default" w:ascii="Times New Roman" w:hAnsi="Times New Roman" w:cs="Times New Roman"/>
          <w:color w:val="auto"/>
          <w:kern w:val="2"/>
          <w:sz w:val="28"/>
          <w:szCs w:val="28"/>
          <w:highlight w:val="none"/>
          <w:lang w:val="en-US" w:eastAsia="zh-CN" w:bidi="ar"/>
        </w:rPr>
      </w:pPr>
    </w:p>
    <w:p w14:paraId="5490820A">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80" w:lineRule="auto"/>
        <w:ind w:left="0" w:right="0" w:firstLine="3120" w:firstLineChars="13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供应商名称：</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（盖章）</w:t>
      </w:r>
    </w:p>
    <w:p w14:paraId="0EDDEAE8">
      <w:pPr>
        <w:keepNext w:val="0"/>
        <w:keepLines w:val="0"/>
        <w:pageBreakBefore w:val="0"/>
        <w:widowControl w:val="0"/>
        <w:suppressLineNumbers w:val="0"/>
        <w:kinsoku w:val="0"/>
        <w:wordWrap/>
        <w:overflowPunct/>
        <w:topLinePunct w:val="0"/>
        <w:autoSpaceDE/>
        <w:autoSpaceDN/>
        <w:bidi w:val="0"/>
        <w:adjustRightInd/>
        <w:snapToGrid/>
        <w:spacing w:before="0" w:beforeAutospacing="0" w:after="0" w:afterAutospacing="0" w:line="480" w:lineRule="auto"/>
        <w:ind w:right="-50" w:firstLine="3120" w:firstLineChars="1300"/>
        <w:jc w:val="left"/>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法定代表人或被授权人：</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（签字或盖章）</w:t>
      </w:r>
    </w:p>
    <w:p w14:paraId="59A4C819">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日      期：</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年</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月</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日</w:t>
      </w:r>
    </w:p>
    <w:p w14:paraId="76C6E5DF">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p>
    <w:p w14:paraId="1259C6BC">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p>
    <w:p w14:paraId="3E890141">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p>
    <w:p w14:paraId="6B2134FA">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p>
    <w:p w14:paraId="00CEA12C">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p>
    <w:p w14:paraId="4512D0C1">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color w:val="auto"/>
          <w:kern w:val="2"/>
          <w:sz w:val="28"/>
          <w:szCs w:val="28"/>
          <w:highlight w:val="none"/>
          <w:lang w:val="en-US" w:eastAsia="zh-CN" w:bidi="ar-SA"/>
        </w:rPr>
      </w:pPr>
      <w:bookmarkStart w:id="561" w:name="_Toc23803"/>
      <w:bookmarkStart w:id="562" w:name="_Toc377994711"/>
      <w:bookmarkStart w:id="563" w:name="_Toc373399982"/>
      <w:bookmarkStart w:id="564" w:name="_Toc31029"/>
      <w:bookmarkStart w:id="565" w:name="_Toc377982877"/>
      <w:r>
        <w:rPr>
          <w:rFonts w:hint="eastAsia" w:cs="Times New Roman"/>
          <w:b/>
          <w:bCs/>
          <w:color w:val="auto"/>
          <w:kern w:val="2"/>
          <w:sz w:val="28"/>
          <w:szCs w:val="28"/>
          <w:highlight w:val="none"/>
          <w:lang w:val="en-US" w:eastAsia="zh-CN" w:bidi="ar-SA"/>
        </w:rPr>
        <w:t xml:space="preserve">2.2  </w:t>
      </w:r>
      <w:r>
        <w:rPr>
          <w:rFonts w:hint="default" w:ascii="Times New Roman" w:hAnsi="Times New Roman" w:eastAsia="宋体" w:cs="Times New Roman"/>
          <w:b/>
          <w:bCs/>
          <w:color w:val="auto"/>
          <w:kern w:val="2"/>
          <w:sz w:val="28"/>
          <w:szCs w:val="28"/>
          <w:highlight w:val="none"/>
          <w:lang w:val="en-US" w:eastAsia="zh-CN" w:bidi="ar-SA"/>
        </w:rPr>
        <w:t>已标价工程量清单</w:t>
      </w:r>
      <w:bookmarkEnd w:id="561"/>
    </w:p>
    <w:p w14:paraId="5AA722DC">
      <w:pPr>
        <w:keepNext w:val="0"/>
        <w:keepLines w:val="0"/>
        <w:widowControl w:val="0"/>
        <w:suppressLineNumbers w:val="0"/>
        <w:spacing w:before="0" w:beforeAutospacing="0" w:after="0" w:afterAutospacing="0"/>
        <w:ind w:right="0"/>
        <w:jc w:val="left"/>
        <w:rPr>
          <w:rFonts w:hint="default" w:ascii="Times New Roman" w:hAnsi="Times New Roman" w:eastAsia="宋体" w:cs="Times New Roman"/>
          <w:b/>
          <w:bCs/>
          <w:color w:val="auto"/>
          <w:kern w:val="2"/>
          <w:sz w:val="24"/>
          <w:szCs w:val="24"/>
          <w:highlight w:val="none"/>
          <w:lang w:val="en-US" w:eastAsia="zh-CN" w:bidi="ar-SA"/>
        </w:rPr>
      </w:pPr>
    </w:p>
    <w:bookmarkEnd w:id="562"/>
    <w:bookmarkEnd w:id="563"/>
    <w:bookmarkEnd w:id="564"/>
    <w:bookmarkEnd w:id="565"/>
    <w:p w14:paraId="01CF7684">
      <w:pPr>
        <w:numPr>
          <w:ilvl w:val="0"/>
          <w:numId w:val="0"/>
        </w:numPr>
        <w:spacing w:line="360" w:lineRule="auto"/>
        <w:ind w:left="600" w:leftChars="0" w:firstLine="0" w:firstLineChars="0"/>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说明：1.已标价工程量清单按第</w:t>
      </w:r>
      <w:r>
        <w:rPr>
          <w:rFonts w:hint="eastAsia" w:ascii="Times New Roman" w:hAnsi="Times New Roman" w:eastAsia="宋体" w:cs="Times New Roman"/>
          <w:color w:val="auto"/>
          <w:kern w:val="2"/>
          <w:sz w:val="24"/>
          <w:szCs w:val="24"/>
          <w:highlight w:val="none"/>
          <w:lang w:val="en-US" w:eastAsia="zh-CN" w:bidi="ar"/>
        </w:rPr>
        <w:t>六</w:t>
      </w:r>
      <w:r>
        <w:rPr>
          <w:rFonts w:hint="default" w:ascii="Times New Roman" w:hAnsi="Times New Roman" w:eastAsia="宋体" w:cs="Times New Roman"/>
          <w:color w:val="auto"/>
          <w:kern w:val="2"/>
          <w:sz w:val="24"/>
          <w:szCs w:val="24"/>
          <w:highlight w:val="none"/>
          <w:lang w:val="en-US" w:eastAsia="zh-CN" w:bidi="ar"/>
        </w:rPr>
        <w:t>章中“工程量清单”包含的项目名称填写；</w:t>
      </w:r>
    </w:p>
    <w:p w14:paraId="685713DA">
      <w:pPr>
        <w:numPr>
          <w:ilvl w:val="0"/>
          <w:numId w:val="0"/>
        </w:numPr>
        <w:spacing w:line="360" w:lineRule="auto"/>
        <w:ind w:left="600" w:leftChars="0" w:firstLine="720" w:firstLineChars="300"/>
        <w:rPr>
          <w:rFonts w:hint="default" w:ascii="Times New Roman" w:hAnsi="Times New Roman" w:eastAsia="宋体" w:cs="Times New Roman"/>
          <w:color w:val="auto"/>
          <w:kern w:val="2"/>
          <w:sz w:val="24"/>
          <w:szCs w:val="24"/>
          <w:highlight w:val="none"/>
          <w:lang w:val="en-US" w:eastAsia="zh-CN" w:bidi="ar"/>
        </w:rPr>
        <w:sectPr>
          <w:pgSz w:w="11905" w:h="16838"/>
          <w:pgMar w:top="1417" w:right="1134" w:bottom="1417" w:left="1134" w:header="850" w:footer="992" w:gutter="0"/>
          <w:cols w:space="720" w:num="1"/>
          <w:rtlGutter w:val="0"/>
          <w:docGrid w:linePitch="325" w:charSpace="0"/>
        </w:sectPr>
      </w:pPr>
      <w:r>
        <w:rPr>
          <w:rFonts w:hint="default" w:ascii="Times New Roman" w:hAnsi="Times New Roman" w:eastAsia="宋体" w:cs="Times New Roman"/>
          <w:color w:val="auto"/>
          <w:kern w:val="2"/>
          <w:sz w:val="24"/>
          <w:szCs w:val="24"/>
          <w:highlight w:val="none"/>
          <w:lang w:val="en-US" w:eastAsia="zh-CN" w:bidi="ar"/>
        </w:rPr>
        <w:t>2.请各供应商按照磋商文件提供的工程量清单逐项报价，不得缺项、漏项，由此造成的不良后果由供应商自行承担。</w:t>
      </w:r>
    </w:p>
    <w:bookmarkEnd w:id="553"/>
    <w:bookmarkEnd w:id="554"/>
    <w:bookmarkEnd w:id="555"/>
    <w:bookmarkEnd w:id="556"/>
    <w:bookmarkEnd w:id="557"/>
    <w:bookmarkEnd w:id="558"/>
    <w:bookmarkEnd w:id="559"/>
    <w:bookmarkEnd w:id="560"/>
    <w:p w14:paraId="506EF008">
      <w:pPr>
        <w:keepLines/>
        <w:pageBreakBefore/>
        <w:jc w:val="center"/>
        <w:outlineLvl w:val="1"/>
        <w:rPr>
          <w:rFonts w:hint="default" w:ascii="Times New Roman" w:hAnsi="Times New Roman" w:eastAsia="宋体" w:cs="Times New Roman"/>
          <w:b/>
          <w:bCs/>
          <w:color w:val="auto"/>
          <w:sz w:val="32"/>
          <w:szCs w:val="32"/>
          <w:highlight w:val="none"/>
          <w:lang w:val="en-US" w:eastAsia="zh-CN"/>
        </w:rPr>
      </w:pPr>
      <w:bookmarkStart w:id="566" w:name="_Toc6797"/>
      <w:bookmarkStart w:id="567" w:name="_Toc15602"/>
      <w:bookmarkStart w:id="568" w:name="_Toc21095"/>
      <w:bookmarkStart w:id="569" w:name="_Toc32698"/>
      <w:bookmarkStart w:id="570" w:name="_Toc12190"/>
      <w:bookmarkStart w:id="571" w:name="_Toc6747"/>
      <w:bookmarkStart w:id="572" w:name="_Toc5947"/>
      <w:bookmarkStart w:id="573" w:name="_Toc421778390"/>
      <w:bookmarkStart w:id="574" w:name="_Toc3574"/>
      <w:bookmarkStart w:id="575" w:name="_Toc425240485"/>
      <w:r>
        <w:rPr>
          <w:rFonts w:hint="default" w:ascii="Times New Roman" w:hAnsi="Times New Roman" w:cs="Times New Roman"/>
          <w:b/>
          <w:bCs/>
          <w:color w:val="auto"/>
          <w:sz w:val="32"/>
          <w:szCs w:val="32"/>
          <w:highlight w:val="none"/>
          <w:lang w:val="en-US" w:eastAsia="zh-CN"/>
        </w:rPr>
        <w:t>三</w:t>
      </w:r>
      <w:r>
        <w:rPr>
          <w:rFonts w:hint="default" w:ascii="Times New Roman" w:hAnsi="Times New Roman" w:eastAsia="宋体" w:cs="Times New Roman"/>
          <w:b/>
          <w:bCs/>
          <w:color w:val="auto"/>
          <w:sz w:val="32"/>
          <w:szCs w:val="32"/>
          <w:highlight w:val="none"/>
        </w:rPr>
        <w:t>、</w:t>
      </w:r>
      <w:bookmarkEnd w:id="566"/>
      <w:bookmarkEnd w:id="567"/>
      <w:bookmarkEnd w:id="568"/>
      <w:bookmarkEnd w:id="569"/>
      <w:bookmarkEnd w:id="570"/>
      <w:bookmarkEnd w:id="571"/>
      <w:r>
        <w:rPr>
          <w:rFonts w:hint="default" w:ascii="Times New Roman" w:hAnsi="Times New Roman" w:cs="Times New Roman"/>
          <w:b/>
          <w:bCs/>
          <w:color w:val="auto"/>
          <w:sz w:val="32"/>
          <w:szCs w:val="32"/>
          <w:highlight w:val="none"/>
          <w:lang w:val="en-US" w:eastAsia="zh-CN"/>
        </w:rPr>
        <w:t>资格证明文件</w:t>
      </w:r>
    </w:p>
    <w:p w14:paraId="3776DC6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供应商应按照</w:t>
      </w:r>
      <w:r>
        <w:rPr>
          <w:rFonts w:hint="default" w:ascii="Times New Roman" w:hAnsi="Times New Roman" w:eastAsia="宋体" w:cs="Times New Roman"/>
          <w:color w:val="auto"/>
          <w:sz w:val="24"/>
          <w:szCs w:val="24"/>
          <w:highlight w:val="none"/>
          <w:lang w:val="en-US" w:eastAsia="zh-CN"/>
        </w:rPr>
        <w:t>磋商</w:t>
      </w:r>
      <w:r>
        <w:rPr>
          <w:rFonts w:hint="default" w:ascii="Times New Roman" w:hAnsi="Times New Roman" w:eastAsia="宋体" w:cs="Times New Roman"/>
          <w:color w:val="auto"/>
          <w:sz w:val="24"/>
          <w:szCs w:val="24"/>
          <w:highlight w:val="none"/>
        </w:rPr>
        <w:t>文件的要求编制商务要求，主要内容须包括以下几点。</w:t>
      </w:r>
    </w:p>
    <w:p w14:paraId="23368FA0">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、资格审查文件（以下相关资料提供加盖公章的复印件，须清晰可见） </w:t>
      </w:r>
    </w:p>
    <w:p w14:paraId="65306EB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1、营业执照等主体资格证明文件：供应商应具有独立承担民事责任的能力的企业法人、事业法人、其他组织或自然人，出具合法有效的营业执照等相关证明文件，自然人参与的提供其身份证明；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44432EF6">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br w:type="page"/>
      </w:r>
    </w:p>
    <w:p w14:paraId="4892344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lang w:val="en-US" w:eastAsia="zh-CN"/>
        </w:rPr>
        <w:sectPr>
          <w:headerReference r:id="rId19" w:type="default"/>
          <w:footerReference r:id="rId20" w:type="default"/>
          <w:pgSz w:w="11906" w:h="16838"/>
          <w:pgMar w:top="1417" w:right="1417" w:bottom="1417" w:left="1701" w:header="851" w:footer="992" w:gutter="0"/>
          <w:pgNumType w:fmt="decimal"/>
          <w:cols w:space="0" w:num="1"/>
          <w:docGrid w:type="lines" w:linePitch="312" w:charSpace="0"/>
        </w:sectPr>
      </w:pPr>
    </w:p>
    <w:p w14:paraId="2A96D190">
      <w:pPr>
        <w:spacing w:line="360" w:lineRule="auto"/>
        <w:ind w:firstLine="420" w:firstLineChars="200"/>
        <w:jc w:val="left"/>
        <w:rPr>
          <w:rFonts w:hint="default" w:ascii="Times New Roman" w:hAnsi="Times New Roman" w:cs="Times New Roman"/>
          <w:b/>
          <w:bCs/>
          <w:color w:val="auto"/>
          <w:highlight w:val="none"/>
        </w:rPr>
      </w:pP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p>
    <w:p w14:paraId="3C214BBF">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r>
        <w:rPr>
          <w:rFonts w:hint="default" w:ascii="Times New Roman" w:hAnsi="Times New Roman" w:eastAsia="宋体" w:cs="Times New Roman"/>
          <w:b w:val="0"/>
          <w:bCs w:val="0"/>
          <w:color w:val="auto"/>
          <w:kern w:val="2"/>
          <w:sz w:val="24"/>
          <w:szCs w:val="24"/>
          <w:highlight w:val="none"/>
          <w:lang w:val="en-US" w:eastAsia="zh-CN" w:bidi="ar"/>
        </w:rPr>
        <w:t>附一：</w:t>
      </w:r>
    </w:p>
    <w:p w14:paraId="6351FC45">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24"/>
          <w:szCs w:val="24"/>
          <w:highlight w:val="none"/>
        </w:rPr>
        <w:t>法定代表人身份证明</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32"/>
          <w:szCs w:val="32"/>
          <w:highlight w:val="none"/>
          <w:lang w:val="en-US" w:eastAsia="zh-CN"/>
        </w:rPr>
        <w:t xml:space="preserve">                                   </w:t>
      </w:r>
    </w:p>
    <w:p w14:paraId="5FD7A0DC">
      <w:pPr>
        <w:spacing w:line="360" w:lineRule="auto"/>
        <w:ind w:firstLine="420" w:firstLineChars="200"/>
        <w:rPr>
          <w:rFonts w:hint="default" w:ascii="Times New Roman" w:hAnsi="Times New Roman" w:eastAsia="宋体" w:cs="Times New Roman"/>
          <w:color w:val="auto"/>
          <w:highlight w:val="none"/>
        </w:rPr>
      </w:pPr>
    </w:p>
    <w:p w14:paraId="40F3ED5F">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1571F963">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单位性质：</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7397A1D8">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地址：</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3ACB0A8A">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成立时间：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05609357">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经营期限：</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7F441384">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u w:val="single"/>
        </w:rPr>
      </w:pPr>
      <w:r>
        <w:rPr>
          <w:rFonts w:hint="default" w:ascii="Times New Roman" w:hAnsi="Times New Roman" w:eastAsia="宋体" w:cs="Times New Roman"/>
          <w:color w:val="auto"/>
          <w:kern w:val="2"/>
          <w:sz w:val="21"/>
          <w:szCs w:val="21"/>
          <w:highlight w:val="none"/>
          <w:lang w:val="en-US" w:eastAsia="zh-CN" w:bidi="ar"/>
        </w:rPr>
        <w:t>姓名：</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性别：</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年龄：</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职务：</w:t>
      </w:r>
      <w:r>
        <w:rPr>
          <w:rFonts w:hint="default" w:ascii="Times New Roman" w:hAnsi="Times New Roman" w:eastAsia="宋体" w:cs="Times New Roman"/>
          <w:color w:val="auto"/>
          <w:kern w:val="2"/>
          <w:sz w:val="21"/>
          <w:szCs w:val="21"/>
          <w:highlight w:val="none"/>
          <w:u w:val="single"/>
          <w:lang w:val="en-US" w:eastAsia="zh-CN" w:bidi="ar"/>
        </w:rPr>
        <w:t xml:space="preserve">      </w:t>
      </w:r>
    </w:p>
    <w:p w14:paraId="1168B57D">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系</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（供应商名称）的法定代表人。</w:t>
      </w:r>
    </w:p>
    <w:p w14:paraId="0510527A">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特此证明。</w:t>
      </w:r>
    </w:p>
    <w:p w14:paraId="0ADCFEDF">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附件：法定代表人身份证复印件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2"/>
        <w:gridCol w:w="4117"/>
      </w:tblGrid>
      <w:tr w14:paraId="0650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52" w:hRule="atLeast"/>
          <w:jc w:val="center"/>
        </w:trPr>
        <w:tc>
          <w:tcPr>
            <w:tcW w:w="4162" w:type="dxa"/>
            <w:tcBorders>
              <w:top w:val="single" w:color="auto" w:sz="4" w:space="0"/>
              <w:left w:val="single" w:color="auto" w:sz="4" w:space="0"/>
              <w:bottom w:val="single" w:color="auto" w:sz="4" w:space="0"/>
              <w:right w:val="single" w:color="auto" w:sz="4" w:space="0"/>
            </w:tcBorders>
            <w:noWrap w:val="0"/>
            <w:vAlign w:val="center"/>
          </w:tcPr>
          <w:p w14:paraId="45A2F3AB">
            <w:pPr>
              <w:widowControl/>
              <w:ind w:left="0" w:firstLine="562"/>
              <w:outlineLvl w:val="9"/>
              <w:rPr>
                <w:rFonts w:hint="default" w:ascii="Times New Roman" w:hAnsi="Times New Roman" w:eastAsia="宋体" w:cs="Times New Roman"/>
                <w:color w:val="auto"/>
                <w:kern w:val="2"/>
                <w:sz w:val="21"/>
                <w:szCs w:val="21"/>
                <w:highlight w:val="none"/>
                <w:shd w:val="clear" w:color="auto" w:fill="7F7F7F"/>
                <w:lang w:val="en-US" w:eastAsia="zh-CN" w:bidi="ar-SA"/>
              </w:rPr>
            </w:pPr>
            <w:r>
              <w:rPr>
                <w:rFonts w:hint="default" w:ascii="Times New Roman" w:hAnsi="Times New Roman" w:eastAsia="宋体" w:cs="Times New Roman"/>
                <w:b/>
                <w:bCs/>
                <w:color w:val="auto"/>
                <w:kern w:val="2"/>
                <w:sz w:val="32"/>
                <w:szCs w:val="32"/>
                <w:highlight w:val="none"/>
              </w:rPr>
              <w:t xml:space="preserve"> </w:t>
            </w:r>
          </w:p>
        </w:tc>
        <w:tc>
          <w:tcPr>
            <w:tcW w:w="4117" w:type="dxa"/>
            <w:tcBorders>
              <w:top w:val="single" w:color="auto" w:sz="4" w:space="0"/>
              <w:left w:val="single" w:color="auto" w:sz="4" w:space="0"/>
              <w:bottom w:val="single" w:color="auto" w:sz="4" w:space="0"/>
              <w:right w:val="single" w:color="auto" w:sz="4" w:space="0"/>
            </w:tcBorders>
            <w:noWrap w:val="0"/>
            <w:vAlign w:val="center"/>
          </w:tcPr>
          <w:p w14:paraId="4EC70ECF">
            <w:pPr>
              <w:keepNext w:val="0"/>
              <w:keepLines w:val="0"/>
              <w:widowControl w:val="0"/>
              <w:suppressLineNumbers w:val="0"/>
              <w:spacing w:before="0" w:beforeAutospacing="0" w:after="0" w:afterAutospacing="0" w:line="500" w:lineRule="exact"/>
              <w:ind w:left="0" w:right="0" w:firstLine="480"/>
              <w:jc w:val="center"/>
              <w:rPr>
                <w:rFonts w:hint="default" w:ascii="Times New Roman" w:hAnsi="Times New Roman" w:eastAsia="宋体" w:cs="Times New Roman"/>
                <w:color w:val="auto"/>
                <w:kern w:val="2"/>
                <w:sz w:val="21"/>
                <w:szCs w:val="21"/>
                <w:highlight w:val="none"/>
                <w:shd w:val="clear" w:color="auto" w:fill="7F7F7F"/>
                <w:lang w:val="en-US" w:eastAsia="zh-CN" w:bidi="ar-SA"/>
              </w:rPr>
            </w:pPr>
          </w:p>
        </w:tc>
      </w:tr>
    </w:tbl>
    <w:p w14:paraId="2BA58A1D">
      <w:pPr>
        <w:keepNext w:val="0"/>
        <w:keepLines w:val="0"/>
        <w:widowControl w:val="0"/>
        <w:suppressLineNumbers w:val="0"/>
        <w:spacing w:before="0" w:beforeAutospacing="0" w:after="0" w:afterAutospacing="0"/>
        <w:ind w:left="525" w:leftChars="25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12F1BFD9">
      <w:pPr>
        <w:keepNext w:val="0"/>
        <w:keepLines w:val="0"/>
        <w:widowControl w:val="0"/>
        <w:suppressLineNumbers w:val="0"/>
        <w:spacing w:before="0" w:beforeAutospacing="0" w:after="0" w:afterAutospacing="0" w:line="480" w:lineRule="exact"/>
        <w:ind w:left="0" w:right="0" w:firstLine="2100" w:firstLineChars="100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（盖章）  </w:t>
      </w:r>
    </w:p>
    <w:p w14:paraId="3ACC7F68">
      <w:pPr>
        <w:pStyle w:val="16"/>
        <w:ind w:firstLine="2100" w:firstLineChars="100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日      期：</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22FCDE9C">
      <w:pPr>
        <w:pStyle w:val="5"/>
        <w:rPr>
          <w:rFonts w:hint="default" w:ascii="Times New Roman" w:hAnsi="Times New Roman" w:cs="Times New Roman"/>
          <w:color w:val="auto"/>
          <w:sz w:val="21"/>
          <w:szCs w:val="21"/>
          <w:highlight w:val="none"/>
        </w:rPr>
      </w:pPr>
    </w:p>
    <w:p w14:paraId="1079C870">
      <w:pPr>
        <w:pStyle w:val="16"/>
        <w:numPr>
          <w:ilvl w:val="0"/>
          <w:numId w:val="0"/>
        </w:numPr>
        <w:jc w:val="left"/>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说明：</w:t>
      </w:r>
      <w:r>
        <w:rPr>
          <w:rFonts w:hint="default" w:ascii="Times New Roman" w:hAnsi="Times New Roman" w:eastAsia="宋体" w:cs="Times New Roman"/>
          <w:b/>
          <w:bCs/>
          <w:color w:val="auto"/>
          <w:sz w:val="21"/>
          <w:szCs w:val="21"/>
          <w:highlight w:val="none"/>
          <w:lang w:val="zh-CN" w:eastAsia="zh-CN"/>
        </w:rPr>
        <w:t>仅限法定代表人参加时提供。</w:t>
      </w:r>
    </w:p>
    <w:p w14:paraId="0FDEAF52">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r>
        <w:rPr>
          <w:rFonts w:hint="default" w:ascii="Times New Roman" w:hAnsi="Times New Roman" w:eastAsia="宋体" w:cs="Times New Roman"/>
          <w:b w:val="0"/>
          <w:bCs w:val="0"/>
          <w:color w:val="auto"/>
          <w:kern w:val="2"/>
          <w:sz w:val="24"/>
          <w:szCs w:val="24"/>
          <w:highlight w:val="none"/>
          <w:lang w:val="en-US" w:eastAsia="zh-CN" w:bidi="ar"/>
        </w:rPr>
        <w:t>附二：</w:t>
      </w:r>
    </w:p>
    <w:p w14:paraId="780550FC">
      <w:pPr>
        <w:keepNext w:val="0"/>
        <w:keepLines w:val="0"/>
        <w:widowControl w:val="0"/>
        <w:suppressLineNumbers w:val="0"/>
        <w:spacing w:before="0" w:beforeAutospacing="0" w:after="240" w:afterAutospacing="0"/>
        <w:ind w:left="0" w:right="0"/>
        <w:jc w:val="center"/>
        <w:rPr>
          <w:rFonts w:hint="default" w:ascii="Times New Roman" w:hAnsi="Times New Roman" w:eastAsia="宋体" w:cs="Times New Roman"/>
          <w:b/>
          <w:bCs/>
          <w:color w:val="auto"/>
          <w:kern w:val="2"/>
          <w:sz w:val="24"/>
          <w:szCs w:val="24"/>
          <w:highlight w:val="none"/>
          <w:lang w:val="en-US" w:eastAsia="zh-CN" w:bidi="ar"/>
        </w:rPr>
      </w:pPr>
      <w:r>
        <w:rPr>
          <w:rFonts w:hint="default" w:ascii="Times New Roman" w:hAnsi="Times New Roman" w:eastAsia="宋体" w:cs="Times New Roman"/>
          <w:b/>
          <w:bCs/>
          <w:color w:val="auto"/>
          <w:kern w:val="2"/>
          <w:sz w:val="24"/>
          <w:szCs w:val="24"/>
          <w:highlight w:val="none"/>
          <w:lang w:val="en-US" w:eastAsia="zh-CN" w:bidi="ar"/>
        </w:rPr>
        <w:t>法定代表人授权委托书</w:t>
      </w:r>
    </w:p>
    <w:p w14:paraId="5E729CA5">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本人</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（姓名）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系</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w:t>
      </w:r>
      <w:r>
        <w:rPr>
          <w:rFonts w:hint="default" w:ascii="Times New Roman" w:hAnsi="Times New Roman" w:eastAsia="宋体" w:cs="Times New Roman"/>
          <w:color w:val="auto"/>
          <w:sz w:val="21"/>
          <w:szCs w:val="21"/>
          <w:highlight w:val="none"/>
          <w:u w:val="single"/>
          <w:lang w:eastAsia="zh-CN"/>
        </w:rPr>
        <w:t>供应商</w:t>
      </w:r>
      <w:r>
        <w:rPr>
          <w:rFonts w:hint="default" w:ascii="Times New Roman" w:hAnsi="Times New Roman" w:eastAsia="宋体" w:cs="Times New Roman"/>
          <w:color w:val="auto"/>
          <w:sz w:val="21"/>
          <w:szCs w:val="21"/>
          <w:highlight w:val="none"/>
          <w:u w:val="single"/>
        </w:rPr>
        <w:t>名称）</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的法定代表人，现委托</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（姓名）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为我方代理人。代理人根据授权，以我方名义签署、澄清、说明、补正、递交、撤回、修改</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项目名称）（</w:t>
      </w:r>
      <w:r>
        <w:rPr>
          <w:rFonts w:hint="default" w:ascii="Times New Roman" w:hAnsi="Times New Roman" w:eastAsia="宋体" w:cs="Times New Roman"/>
          <w:color w:val="auto"/>
          <w:sz w:val="21"/>
          <w:szCs w:val="21"/>
          <w:highlight w:val="none"/>
          <w:u w:val="single"/>
          <w:lang w:val="en-US" w:eastAsia="zh-CN"/>
        </w:rPr>
        <w:t xml:space="preserve">项目编号）  </w:t>
      </w:r>
      <w:r>
        <w:rPr>
          <w:rFonts w:hint="default" w:ascii="Times New Roman" w:hAnsi="Times New Roman" w:eastAsia="宋体" w:cs="Times New Roman"/>
          <w:color w:val="auto"/>
          <w:sz w:val="21"/>
          <w:szCs w:val="21"/>
          <w:highlight w:val="none"/>
          <w:lang w:eastAsia="zh-CN"/>
        </w:rPr>
        <w:t>竞争性磋商响应文件</w:t>
      </w:r>
      <w:r>
        <w:rPr>
          <w:rFonts w:hint="default" w:ascii="Times New Roman" w:hAnsi="Times New Roman" w:eastAsia="宋体" w:cs="Times New Roman"/>
          <w:color w:val="auto"/>
          <w:sz w:val="21"/>
          <w:szCs w:val="21"/>
          <w:highlight w:val="none"/>
        </w:rPr>
        <w:t>、签订合同和处理有关事宜，其法律后果由我方承担。</w:t>
      </w:r>
    </w:p>
    <w:p w14:paraId="12AB282B">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代理人无转委托权。</w:t>
      </w:r>
    </w:p>
    <w:p w14:paraId="35B7261F">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委托期限：</w:t>
      </w:r>
      <w:r>
        <w:rPr>
          <w:rFonts w:hint="default" w:ascii="Times New Roman" w:hAnsi="Times New Roman" w:cs="Times New Roman"/>
          <w:color w:val="auto"/>
          <w:sz w:val="21"/>
          <w:szCs w:val="21"/>
          <w:highlight w:val="none"/>
          <w:lang w:val="en-US" w:eastAsia="zh-CN"/>
        </w:rPr>
        <w:t xml:space="preserve"> </w:t>
      </w:r>
    </w:p>
    <w:p w14:paraId="4B937B99">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z w:val="21"/>
          <w:szCs w:val="21"/>
          <w:highlight w:val="none"/>
          <w:lang w:eastAsia="zh-CN"/>
        </w:rPr>
        <w:t>字或盖</w:t>
      </w:r>
      <w:r>
        <w:rPr>
          <w:rFonts w:hint="default" w:ascii="Times New Roman" w:hAnsi="Times New Roman" w:eastAsia="宋体" w:cs="Times New Roman"/>
          <w:color w:val="auto"/>
          <w:sz w:val="21"/>
          <w:szCs w:val="21"/>
          <w:highlight w:val="none"/>
        </w:rPr>
        <w:t>章</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被授权人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签字</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p>
    <w:p w14:paraId="2A4764A5">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职务：</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职务：</w:t>
      </w:r>
    </w:p>
    <w:p w14:paraId="74694C5E">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附：法定代表人、被授权人身份证复印件。</w:t>
      </w:r>
    </w:p>
    <w:tbl>
      <w:tblPr>
        <w:tblStyle w:val="37"/>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1"/>
        <w:gridCol w:w="4448"/>
      </w:tblGrid>
      <w:tr w14:paraId="5C24A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3" w:hRule="atLeast"/>
          <w:jc w:val="center"/>
        </w:trPr>
        <w:tc>
          <w:tcPr>
            <w:tcW w:w="4451" w:type="dxa"/>
            <w:vAlign w:val="center"/>
          </w:tcPr>
          <w:p w14:paraId="5E77ECF9">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法定代表人身份证复印件</w:t>
            </w:r>
          </w:p>
          <w:p w14:paraId="4CEEBA1D">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正反面</w:t>
            </w:r>
            <w:r>
              <w:rPr>
                <w:rFonts w:hint="default" w:ascii="Times New Roman" w:hAnsi="Times New Roman" w:eastAsia="宋体" w:cs="Times New Roman"/>
                <w:color w:val="auto"/>
                <w:sz w:val="21"/>
                <w:szCs w:val="21"/>
                <w:highlight w:val="none"/>
                <w:lang w:eastAsia="zh-CN"/>
              </w:rPr>
              <w:t>）</w:t>
            </w:r>
          </w:p>
          <w:p w14:paraId="5BCC50FF">
            <w:pPr>
              <w:spacing w:line="360" w:lineRule="auto"/>
              <w:jc w:val="center"/>
              <w:rPr>
                <w:rFonts w:hint="default" w:ascii="Times New Roman" w:hAnsi="Times New Roman" w:eastAsia="宋体" w:cs="Times New Roman"/>
                <w:color w:val="auto"/>
                <w:sz w:val="21"/>
                <w:szCs w:val="21"/>
                <w:highlight w:val="none"/>
              </w:rPr>
            </w:pPr>
          </w:p>
        </w:tc>
        <w:tc>
          <w:tcPr>
            <w:tcW w:w="4448" w:type="dxa"/>
            <w:vAlign w:val="center"/>
          </w:tcPr>
          <w:p w14:paraId="177251CB">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被授权人身份证复印件</w:t>
            </w:r>
          </w:p>
          <w:p w14:paraId="31EC968C">
            <w:pPr>
              <w:spacing w:line="36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正反面</w:t>
            </w:r>
            <w:r>
              <w:rPr>
                <w:rFonts w:hint="default" w:ascii="Times New Roman" w:hAnsi="Times New Roman" w:eastAsia="宋体" w:cs="Times New Roman"/>
                <w:color w:val="auto"/>
                <w:sz w:val="21"/>
                <w:szCs w:val="21"/>
                <w:highlight w:val="none"/>
                <w:lang w:eastAsia="zh-CN"/>
              </w:rPr>
              <w:t>）</w:t>
            </w:r>
          </w:p>
        </w:tc>
      </w:tr>
    </w:tbl>
    <w:p w14:paraId="02DCB8CB">
      <w:pPr>
        <w:spacing w:line="360" w:lineRule="auto"/>
        <w:rPr>
          <w:rFonts w:hint="default" w:ascii="Times New Roman" w:hAnsi="Times New Roman" w:eastAsia="宋体" w:cs="Times New Roman"/>
          <w:color w:val="auto"/>
          <w:sz w:val="21"/>
          <w:szCs w:val="21"/>
          <w:highlight w:val="none"/>
        </w:rPr>
      </w:pPr>
    </w:p>
    <w:p w14:paraId="5B1C6E54">
      <w:pPr>
        <w:spacing w:line="480" w:lineRule="auto"/>
        <w:ind w:left="424" w:leftChars="202" w:right="540" w:rightChars="257" w:firstLine="1890" w:firstLineChars="9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lang w:val="en-US" w:eastAsia="zh-CN"/>
        </w:rPr>
        <w:t>全称</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xml:space="preserve">（加盖单位公章）      </w:t>
      </w:r>
    </w:p>
    <w:p w14:paraId="3E2BC3B4">
      <w:pPr>
        <w:spacing w:line="480" w:lineRule="auto"/>
        <w:ind w:right="540" w:rightChars="257" w:firstLine="420" w:firstLineChars="200"/>
        <w:jc w:val="left"/>
        <w:rPr>
          <w:rFonts w:hint="default" w:ascii="Times New Roman" w:hAnsi="Times New Roman" w:eastAsia="宋体" w:cs="Times New Roman"/>
          <w:b/>
          <w:color w:val="auto"/>
          <w:sz w:val="21"/>
          <w:szCs w:val="21"/>
          <w:highlight w:val="none"/>
          <w:u w:val="singl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 月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日</w:t>
      </w:r>
    </w:p>
    <w:p w14:paraId="2503DFC7">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注：法定代表人参加时无需提供。</w:t>
      </w:r>
    </w:p>
    <w:p w14:paraId="0F0CB7E3">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5ABD476E">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417CB12F">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29AA1D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default" w:ascii="Times New Roman" w:hAnsi="Times New Roman" w:eastAsia="宋体" w:cs="Times New Roman"/>
          <w:b w:val="0"/>
          <w:bCs w:val="0"/>
          <w:color w:val="auto"/>
          <w:kern w:val="2"/>
          <w:sz w:val="24"/>
          <w:szCs w:val="24"/>
          <w:highlight w:val="none"/>
          <w:lang w:val="en-US" w:eastAsia="zh-CN" w:bidi="ar"/>
        </w:rPr>
      </w:pPr>
    </w:p>
    <w:p w14:paraId="53A38A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default" w:ascii="Times New Roman" w:hAnsi="Times New Roman" w:eastAsia="宋体" w:cs="Times New Roman"/>
          <w:b w:val="0"/>
          <w:bCs w:val="0"/>
          <w:color w:val="auto"/>
          <w:kern w:val="2"/>
          <w:sz w:val="24"/>
          <w:szCs w:val="24"/>
          <w:highlight w:val="none"/>
          <w:lang w:val="en-US" w:eastAsia="zh-CN" w:bidi="ar"/>
        </w:rPr>
      </w:pPr>
    </w:p>
    <w:p w14:paraId="73E30031">
      <w:pPr>
        <w:numPr>
          <w:ilvl w:val="0"/>
          <w:numId w:val="0"/>
        </w:numPr>
        <w:shd w:val="clear" w:color="auto" w:fill="auto"/>
        <w:ind w:left="105" w:leftChars="0" w:firstLine="0" w:firstLineChars="0"/>
        <w:jc w:val="both"/>
        <w:rPr>
          <w:rFonts w:hint="default" w:ascii="宋体" w:hAnsi="宋体" w:eastAsia="宋体" w:cs="宋体"/>
          <w:color w:val="auto"/>
          <w:kern w:val="0"/>
          <w:sz w:val="21"/>
          <w:szCs w:val="21"/>
          <w:shd w:val="clear" w:fill="FFFFFF"/>
          <w:lang w:val="en-US" w:eastAsia="zh-CN" w:bidi="ar-SA"/>
        </w:rPr>
      </w:pPr>
    </w:p>
    <w:p w14:paraId="3BF05A26">
      <w:pPr>
        <w:numPr>
          <w:ilvl w:val="0"/>
          <w:numId w:val="0"/>
        </w:numPr>
        <w:shd w:val="clear" w:color="auto" w:fill="auto"/>
        <w:ind w:left="105" w:leftChars="0" w:firstLine="0" w:firstLineChars="0"/>
        <w:jc w:val="both"/>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shd w:val="clear" w:fill="FFFFFF"/>
          <w:lang w:val="en-US" w:eastAsia="zh-CN" w:bidi="ar-SA"/>
        </w:rPr>
        <w:t>3、</w:t>
      </w:r>
      <w:r>
        <w:rPr>
          <w:rFonts w:hint="default" w:ascii="宋体" w:hAnsi="宋体" w:eastAsia="宋体" w:cs="宋体"/>
          <w:color w:val="auto"/>
          <w:kern w:val="0"/>
          <w:sz w:val="21"/>
          <w:szCs w:val="21"/>
          <w:highlight w:val="none"/>
          <w:shd w:val="clear" w:color="auto" w:fill="FFFFFF"/>
        </w:rPr>
        <w:t>企业资质：</w:t>
      </w:r>
      <w:r>
        <w:rPr>
          <w:rFonts w:hint="default" w:ascii="宋体" w:hAnsi="宋体" w:eastAsia="宋体" w:cs="宋体"/>
          <w:color w:val="0000FF"/>
          <w:kern w:val="0"/>
          <w:sz w:val="21"/>
          <w:szCs w:val="21"/>
          <w:highlight w:val="none"/>
          <w:shd w:val="clear" w:color="auto" w:fill="FFFFFF"/>
        </w:rPr>
        <w:t>供应商须具备建设行政主管部门颁发的建筑工程施工总承包</w:t>
      </w:r>
      <w:r>
        <w:rPr>
          <w:rFonts w:hint="eastAsia" w:cs="宋体"/>
          <w:color w:val="0000FF"/>
          <w:kern w:val="0"/>
          <w:sz w:val="21"/>
          <w:szCs w:val="21"/>
          <w:highlight w:val="none"/>
          <w:shd w:val="clear" w:color="auto" w:fill="FFFFFF"/>
          <w:lang w:val="en-US" w:eastAsia="zh-CN"/>
        </w:rPr>
        <w:t>二</w:t>
      </w:r>
      <w:r>
        <w:rPr>
          <w:rFonts w:hint="default" w:ascii="宋体" w:hAnsi="宋体" w:eastAsia="宋体" w:cs="宋体"/>
          <w:color w:val="0000FF"/>
          <w:kern w:val="0"/>
          <w:sz w:val="21"/>
          <w:szCs w:val="21"/>
          <w:highlight w:val="none"/>
          <w:shd w:val="clear" w:color="auto" w:fill="FFFFFF"/>
        </w:rPr>
        <w:t>级及以上资质，</w:t>
      </w:r>
      <w:r>
        <w:rPr>
          <w:rFonts w:hint="eastAsia" w:ascii="宋体" w:hAnsi="宋体" w:eastAsia="宋体" w:cs="宋体"/>
          <w:color w:val="0000FF"/>
          <w:kern w:val="0"/>
          <w:sz w:val="21"/>
          <w:szCs w:val="21"/>
          <w:highlight w:val="none"/>
          <w:shd w:val="clear" w:color="auto" w:fill="FFFFFF"/>
          <w:lang w:val="en-US" w:eastAsia="zh-CN"/>
        </w:rPr>
        <w:t>同时</w:t>
      </w:r>
      <w:r>
        <w:rPr>
          <w:rFonts w:hint="eastAsia" w:ascii="宋体" w:hAnsi="宋体" w:eastAsia="宋体" w:cs="宋体"/>
          <w:color w:val="0000FF"/>
          <w:kern w:val="0"/>
          <w:sz w:val="21"/>
          <w:szCs w:val="21"/>
          <w:highlight w:val="none"/>
          <w:shd w:val="clear" w:color="auto" w:fill="FFFFFF"/>
          <w:lang w:val="en-US" w:eastAsia="en-US"/>
        </w:rPr>
        <w:t>具有建设行政主管部门颁发的消防设施工程专业承包二级及以上资质，且具备有效的安全生产许可证</w:t>
      </w:r>
      <w:r>
        <w:rPr>
          <w:rFonts w:hint="eastAsia" w:ascii="宋体" w:hAnsi="宋体" w:eastAsia="宋体" w:cs="宋体"/>
          <w:color w:val="0000FF"/>
          <w:kern w:val="0"/>
          <w:sz w:val="21"/>
          <w:szCs w:val="21"/>
          <w:highlight w:val="none"/>
          <w:shd w:val="clear" w:color="auto" w:fill="FFFFFF"/>
          <w:lang w:val="en-US" w:eastAsia="zh-CN"/>
        </w:rPr>
        <w:t>；</w:t>
      </w:r>
    </w:p>
    <w:p w14:paraId="19A49E1F">
      <w:pPr>
        <w:shd w:val="clear" w:color="auto" w:fill="auto"/>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附</w:t>
      </w:r>
      <w:r>
        <w:rPr>
          <w:rFonts w:hint="eastAsia" w:ascii="Times New Roman" w:hAnsi="Times New Roman" w:eastAsia="宋体" w:cs="Times New Roman"/>
          <w:b w:val="0"/>
          <w:bCs w:val="0"/>
          <w:color w:val="auto"/>
          <w:sz w:val="24"/>
          <w:szCs w:val="24"/>
          <w:highlight w:val="none"/>
          <w:lang w:val="en-US" w:eastAsia="zh-CN"/>
        </w:rPr>
        <w:t>三</w:t>
      </w:r>
      <w:r>
        <w:rPr>
          <w:rFonts w:hint="default" w:ascii="Times New Roman" w:hAnsi="Times New Roman" w:eastAsia="宋体" w:cs="Times New Roman"/>
          <w:b w:val="0"/>
          <w:bCs w:val="0"/>
          <w:color w:val="auto"/>
          <w:sz w:val="24"/>
          <w:szCs w:val="24"/>
          <w:highlight w:val="none"/>
          <w:lang w:val="en-US" w:eastAsia="zh-CN"/>
        </w:rPr>
        <w:t>：</w:t>
      </w:r>
    </w:p>
    <w:p w14:paraId="01BBA3DD">
      <w:pPr>
        <w:shd w:val="clear" w:color="auto" w:fill="auto"/>
        <w:jc w:val="both"/>
        <w:rPr>
          <w:rFonts w:hint="default" w:ascii="Times New Roman" w:hAnsi="Times New Roman" w:eastAsia="宋体" w:cs="Times New Roman"/>
          <w:b/>
          <w:bCs/>
          <w:color w:val="auto"/>
          <w:sz w:val="28"/>
          <w:szCs w:val="28"/>
          <w:highlight w:val="none"/>
          <w:lang w:val="en-US" w:eastAsia="zh-CN"/>
        </w:rPr>
      </w:pPr>
    </w:p>
    <w:p w14:paraId="2C832C60">
      <w:pPr>
        <w:shd w:val="clear" w:color="auto" w:fill="auto"/>
        <w:ind w:firstLine="1928" w:firstLineChars="800"/>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具有履行合同所必需的设备和专业技术能力的承诺</w:t>
      </w:r>
    </w:p>
    <w:p w14:paraId="0569276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00" w:lineRule="exact"/>
        <w:ind w:left="0" w:leftChars="0" w:firstLine="480" w:firstLineChars="200"/>
        <w:textAlignment w:val="auto"/>
        <w:outlineLvl w:val="9"/>
        <w:rPr>
          <w:rFonts w:hint="default" w:ascii="Times New Roman" w:hAnsi="Times New Roman" w:eastAsia="宋体" w:cs="Times New Roman"/>
          <w:b w:val="0"/>
          <w:bCs w:val="0"/>
          <w:color w:val="auto"/>
          <w:sz w:val="24"/>
          <w:szCs w:val="24"/>
          <w:highlight w:val="none"/>
          <w:lang w:val="en-US" w:eastAsia="zh-CN"/>
        </w:rPr>
      </w:pPr>
    </w:p>
    <w:p w14:paraId="392D3C3B">
      <w:pPr>
        <w:shd w:val="clear" w:color="auto" w:fill="auto"/>
        <w:spacing w:line="360" w:lineRule="auto"/>
        <w:rPr>
          <w:rFonts w:hint="default" w:ascii="Times New Roman" w:hAnsi="Times New Roman" w:eastAsia="宋体" w:cs="Times New Roman"/>
          <w:color w:val="auto"/>
          <w:spacing w:val="4"/>
          <w:szCs w:val="21"/>
          <w:highlight w:val="none"/>
        </w:rPr>
      </w:pPr>
    </w:p>
    <w:p w14:paraId="3B7FCD2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致：</w:t>
      </w:r>
      <w:r>
        <w:rPr>
          <w:rFonts w:hint="default" w:ascii="Times New Roman" w:hAnsi="Times New Roman" w:eastAsia="宋体" w:cs="Times New Roman"/>
          <w:b/>
          <w:bCs/>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p>
    <w:p w14:paraId="32CD3FB9">
      <w:pPr>
        <w:spacing w:line="360" w:lineRule="auto"/>
        <w:ind w:firstLine="436" w:firstLineChars="200"/>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pacing w:val="4"/>
          <w:sz w:val="21"/>
          <w:szCs w:val="21"/>
          <w:highlight w:val="none"/>
          <w:u w:val="single"/>
          <w:lang w:val="en-US" w:eastAsia="zh-CN"/>
        </w:rPr>
        <w:t xml:space="preserve">           （供应商</w:t>
      </w:r>
      <w:r>
        <w:rPr>
          <w:rFonts w:hint="default" w:ascii="Times New Roman" w:hAnsi="Times New Roman" w:eastAsia="宋体" w:cs="Times New Roman"/>
          <w:color w:val="auto"/>
          <w:spacing w:val="4"/>
          <w:sz w:val="21"/>
          <w:szCs w:val="21"/>
          <w:highlight w:val="none"/>
          <w:u w:val="single"/>
        </w:rPr>
        <w:t>名称</w:t>
      </w:r>
      <w:r>
        <w:rPr>
          <w:rFonts w:hint="default" w:ascii="Times New Roman" w:hAnsi="Times New Roman" w:eastAsia="宋体" w:cs="Times New Roman"/>
          <w:color w:val="auto"/>
          <w:spacing w:val="4"/>
          <w:sz w:val="21"/>
          <w:szCs w:val="21"/>
          <w:highlight w:val="none"/>
          <w:u w:val="single"/>
          <w:lang w:eastAsia="zh-CN"/>
        </w:rPr>
        <w:t>）</w:t>
      </w:r>
      <w:r>
        <w:rPr>
          <w:rFonts w:hint="default" w:ascii="Times New Roman" w:hAnsi="Times New Roman" w:eastAsia="宋体" w:cs="Times New Roman"/>
          <w:color w:val="auto"/>
          <w:spacing w:val="4"/>
          <w:sz w:val="21"/>
          <w:szCs w:val="21"/>
          <w:highlight w:val="none"/>
        </w:rPr>
        <w:t>于</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年</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月</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日在中华人民共和国境内</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u w:val="single"/>
          <w:lang w:val="en-US" w:eastAsia="zh-CN"/>
        </w:rPr>
        <w:t xml:space="preserve">  （</w:t>
      </w:r>
      <w:r>
        <w:rPr>
          <w:rFonts w:hint="default" w:ascii="Times New Roman" w:hAnsi="Times New Roman" w:eastAsia="宋体" w:cs="Times New Roman"/>
          <w:color w:val="auto"/>
          <w:spacing w:val="4"/>
          <w:sz w:val="21"/>
          <w:szCs w:val="21"/>
          <w:highlight w:val="none"/>
          <w:u w:val="single"/>
        </w:rPr>
        <w:t>详细注册地址）</w:t>
      </w:r>
      <w:r>
        <w:rPr>
          <w:rFonts w:hint="default" w:ascii="Times New Roman" w:hAnsi="Times New Roman" w:eastAsia="宋体" w:cs="Times New Roman"/>
          <w:color w:val="auto"/>
          <w:spacing w:val="4"/>
          <w:sz w:val="21"/>
          <w:szCs w:val="21"/>
          <w:highlight w:val="none"/>
          <w:u w:val="single"/>
          <w:lang w:val="en-US" w:eastAsia="zh-CN"/>
        </w:rPr>
        <w:t xml:space="preserve">    </w:t>
      </w:r>
      <w:r>
        <w:rPr>
          <w:rFonts w:hint="default" w:ascii="Times New Roman" w:hAnsi="Times New Roman" w:eastAsia="宋体" w:cs="Times New Roman"/>
          <w:color w:val="auto"/>
          <w:spacing w:val="4"/>
          <w:sz w:val="21"/>
          <w:szCs w:val="21"/>
          <w:highlight w:val="none"/>
        </w:rPr>
        <w:t>合法注册并经营，</w:t>
      </w:r>
      <w:r>
        <w:rPr>
          <w:rFonts w:hint="default" w:ascii="Times New Roman" w:hAnsi="Times New Roman" w:eastAsia="宋体" w:cs="Times New Roman"/>
          <w:color w:val="auto"/>
          <w:spacing w:val="4"/>
          <w:kern w:val="2"/>
          <w:sz w:val="21"/>
          <w:szCs w:val="21"/>
          <w:highlight w:val="none"/>
        </w:rPr>
        <w:t>公司主营业务为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，营业（生产经营）面积为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，现有员工数量为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w:t>
      </w:r>
      <w:r>
        <w:rPr>
          <w:rFonts w:hint="default" w:ascii="Times New Roman" w:hAnsi="Times New Roman" w:eastAsia="宋体" w:cs="Times New Roman"/>
          <w:color w:val="auto"/>
          <w:spacing w:val="4"/>
          <w:sz w:val="21"/>
          <w:szCs w:val="21"/>
          <w:highlight w:val="none"/>
        </w:rPr>
        <w:t>本公司郑重承诺，具有履行本合同所必需的设备和专业技术能力。</w:t>
      </w:r>
      <w:r>
        <w:rPr>
          <w:rFonts w:hint="default" w:ascii="Times New Roman" w:hAnsi="Times New Roman" w:eastAsia="宋体" w:cs="Times New Roman"/>
          <w:color w:val="auto"/>
          <w:kern w:val="0"/>
          <w:sz w:val="21"/>
          <w:szCs w:val="21"/>
          <w:highlight w:val="none"/>
          <w:lang w:val="en-US" w:eastAsia="zh-CN" w:bidi="ar"/>
        </w:rPr>
        <w:t>如有不实，我方将无条件地退出本项目的采购活动，并遵照《中华人民共和国政府采购法》有关"提供虚假材料的规定"接受处罚。</w:t>
      </w:r>
    </w:p>
    <w:p w14:paraId="197DFE92">
      <w:pPr>
        <w:shd w:val="clear" w:color="auto" w:fill="auto"/>
        <w:spacing w:before="312" w:beforeLines="100" w:after="156" w:afterLines="50" w:line="360" w:lineRule="auto"/>
        <w:ind w:firstLine="436" w:firstLineChars="200"/>
        <w:rPr>
          <w:rFonts w:hint="default" w:ascii="Times New Roman" w:hAnsi="Times New Roman" w:eastAsia="宋体" w:cs="Times New Roman"/>
          <w:color w:val="auto"/>
          <w:spacing w:val="4"/>
          <w:szCs w:val="21"/>
          <w:highlight w:val="none"/>
        </w:rPr>
      </w:pPr>
    </w:p>
    <w:p w14:paraId="710DC74B">
      <w:pPr>
        <w:shd w:val="clear" w:color="auto" w:fill="auto"/>
        <w:rPr>
          <w:rFonts w:hint="default" w:ascii="Times New Roman" w:hAnsi="Times New Roman" w:eastAsia="宋体" w:cs="Times New Roman"/>
          <w:color w:val="auto"/>
          <w:highlight w:val="none"/>
        </w:rPr>
      </w:pPr>
    </w:p>
    <w:p w14:paraId="01601B5A">
      <w:pPr>
        <w:shd w:val="clear" w:color="auto" w:fill="auto"/>
        <w:spacing w:line="280" w:lineRule="exact"/>
        <w:ind w:right="540" w:rightChars="257" w:firstLine="2100" w:firstLineChars="1000"/>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供应商名称：</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single"/>
          <w:lang w:val="en-US" w:eastAsia="zh-CN"/>
        </w:rPr>
        <w:t xml:space="preserve">              </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none"/>
        </w:rPr>
        <w:t xml:space="preserve">（盖单位公章）      </w:t>
      </w:r>
    </w:p>
    <w:p w14:paraId="150EC635">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6AFB61D2">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180" w:firstLineChars="1000"/>
        <w:jc w:val="left"/>
        <w:textAlignment w:val="auto"/>
        <w:outlineLvl w:val="9"/>
        <w:rPr>
          <w:rFonts w:hint="default" w:ascii="Times New Roman" w:hAnsi="Times New Roman" w:eastAsia="宋体" w:cs="Times New Roman"/>
          <w:color w:val="auto"/>
          <w:spacing w:val="4"/>
          <w:highlight w:val="none"/>
          <w:u w:val="none"/>
        </w:rPr>
      </w:pPr>
      <w:r>
        <w:rPr>
          <w:rFonts w:hint="default" w:ascii="Times New Roman" w:hAnsi="Times New Roman" w:eastAsia="宋体" w:cs="Times New Roman"/>
          <w:color w:val="auto"/>
          <w:spacing w:val="4"/>
          <w:highlight w:val="none"/>
          <w:lang w:eastAsia="zh-CN"/>
        </w:rPr>
        <w:t>法定代表人</w:t>
      </w:r>
      <w:r>
        <w:rPr>
          <w:rFonts w:hint="default" w:ascii="Times New Roman" w:hAnsi="Times New Roman" w:eastAsia="宋体" w:cs="Times New Roman"/>
          <w:color w:val="auto"/>
          <w:spacing w:val="4"/>
          <w:highlight w:val="none"/>
          <w:lang w:val="en-US" w:eastAsia="zh-CN"/>
        </w:rPr>
        <w:t>或</w:t>
      </w:r>
      <w:r>
        <w:rPr>
          <w:rFonts w:hint="default" w:ascii="Times New Roman" w:hAnsi="Times New Roman" w:eastAsia="宋体" w:cs="Times New Roman"/>
          <w:color w:val="auto"/>
          <w:spacing w:val="4"/>
          <w:highlight w:val="none"/>
          <w:lang w:eastAsia="zh-CN"/>
        </w:rPr>
        <w:t>被授权人</w:t>
      </w:r>
      <w:r>
        <w:rPr>
          <w:rFonts w:hint="default" w:ascii="Times New Roman" w:hAnsi="Times New Roman" w:eastAsia="宋体" w:cs="Times New Roman"/>
          <w:color w:val="auto"/>
          <w:spacing w:val="4"/>
          <w:highlight w:val="none"/>
        </w:rPr>
        <w:t>：</w:t>
      </w:r>
      <w:r>
        <w:rPr>
          <w:rFonts w:hint="default" w:ascii="Times New Roman" w:hAnsi="Times New Roman" w:eastAsia="宋体" w:cs="Times New Roman"/>
          <w:color w:val="auto"/>
          <w:spacing w:val="4"/>
          <w:highlight w:val="none"/>
          <w:u w:val="single"/>
          <w:lang w:val="en-US" w:eastAsia="zh-CN"/>
        </w:rPr>
        <w:t xml:space="preserve">         </w:t>
      </w:r>
      <w:r>
        <w:rPr>
          <w:rFonts w:hint="default" w:ascii="Times New Roman" w:hAnsi="Times New Roman" w:eastAsia="宋体" w:cs="Times New Roman"/>
          <w:color w:val="auto"/>
          <w:spacing w:val="4"/>
          <w:highlight w:val="none"/>
          <w:u w:val="none"/>
          <w:lang w:val="en-US" w:eastAsia="zh-CN"/>
        </w:rPr>
        <w:t>（</w:t>
      </w:r>
      <w:r>
        <w:rPr>
          <w:rFonts w:hint="default" w:ascii="Times New Roman" w:hAnsi="Times New Roman" w:eastAsia="宋体" w:cs="Times New Roman"/>
          <w:color w:val="auto"/>
          <w:spacing w:val="4"/>
          <w:highlight w:val="none"/>
        </w:rPr>
        <w:t>签字</w:t>
      </w:r>
      <w:r>
        <w:rPr>
          <w:rFonts w:hint="default" w:ascii="Times New Roman" w:hAnsi="Times New Roman" w:eastAsia="宋体" w:cs="Times New Roman"/>
          <w:color w:val="auto"/>
          <w:spacing w:val="4"/>
          <w:highlight w:val="none"/>
          <w:lang w:eastAsia="zh-CN"/>
        </w:rPr>
        <w:t>或盖章</w:t>
      </w:r>
      <w:r>
        <w:rPr>
          <w:rFonts w:hint="default" w:ascii="Times New Roman" w:hAnsi="Times New Roman" w:eastAsia="宋体" w:cs="Times New Roman"/>
          <w:color w:val="auto"/>
          <w:spacing w:val="4"/>
          <w:highlight w:val="none"/>
          <w:u w:val="none"/>
          <w:lang w:val="en-US" w:eastAsia="zh-CN"/>
        </w:rPr>
        <w:t>）</w:t>
      </w:r>
    </w:p>
    <w:p w14:paraId="51F95716">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15F561E2">
      <w:pPr>
        <w:shd w:val="clear" w:color="auto" w:fill="auto"/>
        <w:spacing w:line="280" w:lineRule="exact"/>
        <w:ind w:right="540" w:rightChars="257" w:firstLine="2100" w:firstLineChars="10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日    期：</w:t>
      </w:r>
      <w:r>
        <w:rPr>
          <w:rFonts w:hint="default" w:ascii="Times New Roman" w:hAnsi="Times New Roman" w:eastAsia="宋体" w:cs="Times New Roman"/>
          <w:color w:val="auto"/>
          <w:spacing w:val="4"/>
          <w:szCs w:val="24"/>
          <w:highlight w:val="none"/>
          <w:lang w:val="en-US" w:eastAsia="zh-CN"/>
        </w:rPr>
        <w:t xml:space="preserve">    年    月   日</w:t>
      </w:r>
    </w:p>
    <w:p w14:paraId="7237B1F3">
      <w:pPr>
        <w:numPr>
          <w:ilvl w:val="0"/>
          <w:numId w:val="0"/>
        </w:numPr>
        <w:shd w:val="clear" w:color="auto" w:fill="auto"/>
        <w:ind w:left="105" w:leftChars="0"/>
        <w:jc w:val="both"/>
        <w:rPr>
          <w:rFonts w:hint="default" w:ascii="Times New Roman" w:hAnsi="Times New Roman" w:eastAsia="宋体" w:cs="Times New Roman"/>
          <w:b w:val="0"/>
          <w:bCs w:val="0"/>
          <w:color w:val="auto"/>
          <w:sz w:val="24"/>
          <w:szCs w:val="24"/>
          <w:highlight w:val="none"/>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br w:type="textWrapping"/>
      </w:r>
    </w:p>
    <w:p w14:paraId="5D0037E8">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64C4D117">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4CA376EE">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40E8FEB3">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0A3B4F5E">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51F990A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shd w:val="clear" w:fill="FFFFFF"/>
          <w:lang w:val="en-US" w:eastAsia="zh-CN" w:bidi="ar-SA"/>
        </w:rPr>
        <w:t>4、</w:t>
      </w:r>
      <w:r>
        <w:rPr>
          <w:rFonts w:hint="default" w:ascii="宋体" w:hAnsi="宋体" w:eastAsia="宋体" w:cs="宋体"/>
          <w:color w:val="auto"/>
          <w:kern w:val="0"/>
          <w:sz w:val="21"/>
          <w:szCs w:val="21"/>
          <w:highlight w:val="none"/>
          <w:shd w:val="clear" w:color="auto" w:fill="FFFFFF"/>
        </w:rPr>
        <w:t>拟派</w:t>
      </w:r>
      <w:r>
        <w:rPr>
          <w:rFonts w:hint="eastAsia" w:ascii="宋体" w:hAnsi="宋体" w:cs="宋体"/>
          <w:color w:val="auto"/>
          <w:kern w:val="0"/>
          <w:sz w:val="21"/>
          <w:szCs w:val="21"/>
          <w:highlight w:val="none"/>
          <w:shd w:val="clear" w:color="auto" w:fill="FFFFFF"/>
          <w:lang w:val="en-US" w:eastAsia="zh-CN"/>
        </w:rPr>
        <w:t>项目经理</w:t>
      </w:r>
      <w:r>
        <w:rPr>
          <w:rFonts w:hint="default" w:ascii="宋体" w:hAnsi="宋体" w:eastAsia="宋体" w:cs="宋体"/>
          <w:color w:val="auto"/>
          <w:kern w:val="0"/>
          <w:sz w:val="21"/>
          <w:szCs w:val="21"/>
          <w:highlight w:val="none"/>
          <w:shd w:val="clear" w:color="auto" w:fill="FFFFFF"/>
        </w:rPr>
        <w:t>：</w:t>
      </w:r>
      <w:r>
        <w:rPr>
          <w:rFonts w:hint="default" w:ascii="宋体" w:hAnsi="宋体" w:eastAsia="宋体" w:cs="宋体"/>
          <w:color w:val="0000FF"/>
          <w:kern w:val="0"/>
          <w:sz w:val="21"/>
          <w:szCs w:val="21"/>
          <w:highlight w:val="none"/>
          <w:shd w:val="clear" w:color="auto" w:fill="FFFFFF"/>
        </w:rPr>
        <w:t>须具有建筑工程专业二级及以上注册建造师执业资格，具有有效的安全生产考核合格证书（B级），且无在建项目；</w:t>
      </w:r>
      <w:bookmarkStart w:id="586" w:name="_GoBack"/>
      <w:bookmarkEnd w:id="586"/>
    </w:p>
    <w:p w14:paraId="3FB95E12">
      <w:pPr>
        <w:shd w:val="clear" w:color="auto" w:fill="auto"/>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附</w:t>
      </w:r>
      <w:r>
        <w:rPr>
          <w:rFonts w:hint="eastAsia" w:ascii="Times New Roman" w:hAnsi="Times New Roman" w:eastAsia="宋体" w:cs="Times New Roman"/>
          <w:b w:val="0"/>
          <w:bCs w:val="0"/>
          <w:color w:val="auto"/>
          <w:sz w:val="24"/>
          <w:szCs w:val="24"/>
          <w:highlight w:val="none"/>
          <w:lang w:val="en-US" w:eastAsia="zh-CN"/>
        </w:rPr>
        <w:t>四</w:t>
      </w:r>
      <w:r>
        <w:rPr>
          <w:rFonts w:hint="default" w:ascii="Times New Roman" w:hAnsi="Times New Roman" w:eastAsia="宋体" w:cs="Times New Roman"/>
          <w:b w:val="0"/>
          <w:bCs w:val="0"/>
          <w:color w:val="auto"/>
          <w:sz w:val="24"/>
          <w:szCs w:val="24"/>
          <w:highlight w:val="none"/>
          <w:lang w:val="en-US" w:eastAsia="zh-CN"/>
        </w:rPr>
        <w:t>：</w:t>
      </w:r>
    </w:p>
    <w:p w14:paraId="3AF52E4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default" w:ascii="宋体" w:hAnsi="宋体" w:eastAsia="宋体" w:cs="宋体"/>
          <w:color w:val="auto"/>
          <w:kern w:val="0"/>
          <w:sz w:val="21"/>
          <w:szCs w:val="21"/>
          <w:highlight w:val="none"/>
          <w:shd w:val="clear" w:color="auto" w:fill="FFFFFF"/>
        </w:rPr>
      </w:pPr>
    </w:p>
    <w:p w14:paraId="21A50CC5">
      <w:pPr>
        <w:keepNext w:val="0"/>
        <w:keepLines w:val="0"/>
        <w:widowControl w:val="0"/>
        <w:suppressLineNumbers w:val="0"/>
        <w:spacing w:before="0" w:beforeAutospacing="0" w:after="24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lang w:val="en-US" w:eastAsia="zh-CN" w:bidi="ar"/>
        </w:rPr>
        <w:t>无在建承诺书（参考）</w:t>
      </w:r>
    </w:p>
    <w:p w14:paraId="7AF0448C">
      <w:pPr>
        <w:keepNext w:val="0"/>
        <w:keepLines w:val="0"/>
        <w:widowControl/>
        <w:suppressLineNumbers w:val="0"/>
        <w:spacing w:before="0" w:beforeAutospacing="0" w:after="0" w:afterAutospacing="0" w:line="432" w:lineRule="auto"/>
        <w:ind w:left="0" w:right="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r>
        <w:rPr>
          <w:rFonts w:hint="default" w:ascii="Times New Roman" w:hAnsi="Times New Roman" w:eastAsia="宋体" w:cs="Times New Roman"/>
          <w:b/>
          <w:bCs w:val="0"/>
          <w:color w:val="auto"/>
          <w:kern w:val="0"/>
          <w:sz w:val="21"/>
          <w:szCs w:val="21"/>
          <w:highlight w:val="none"/>
          <w:lang w:val="en-US" w:eastAsia="zh-CN" w:bidi="ar"/>
        </w:rPr>
        <w:t>：</w:t>
      </w:r>
    </w:p>
    <w:p w14:paraId="10FAF534">
      <w:pPr>
        <w:keepNext w:val="0"/>
        <w:keepLines w:val="0"/>
        <w:widowControl w:val="0"/>
        <w:suppressLineNumbers w:val="0"/>
        <w:spacing w:before="0" w:beforeAutospacing="0" w:after="0" w:afterAutospacing="0" w:line="480" w:lineRule="auto"/>
        <w:ind w:left="0" w:right="0" w:firstLine="420" w:firstLineChars="200"/>
        <w:jc w:val="both"/>
        <w:rPr>
          <w:rFonts w:hint="default" w:ascii="Times New Roman" w:hAnsi="Times New Roman" w:eastAsia="宋体" w:cs="Times New Roman"/>
          <w:bCs/>
          <w:color w:val="auto"/>
          <w:kern w:val="2"/>
          <w:sz w:val="21"/>
          <w:szCs w:val="21"/>
          <w:highlight w:val="none"/>
        </w:rPr>
      </w:pPr>
      <w:r>
        <w:rPr>
          <w:rFonts w:hint="default" w:ascii="Times New Roman" w:hAnsi="Times New Roman" w:eastAsia="宋体" w:cs="Times New Roman"/>
          <w:bCs/>
          <w:color w:val="auto"/>
          <w:kern w:val="2"/>
          <w:sz w:val="21"/>
          <w:szCs w:val="21"/>
          <w:highlight w:val="none"/>
          <w:lang w:val="en-US" w:eastAsia="zh-CN" w:bidi="ar"/>
        </w:rPr>
        <w:t>我方在此声明，我方拟派往</w:t>
      </w:r>
      <w:r>
        <w:rPr>
          <w:rFonts w:hint="default" w:ascii="Times New Roman" w:hAnsi="Times New Roman" w:eastAsia="宋体" w:cs="Times New Roman"/>
          <w:bCs/>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u w:val="single"/>
          <w:lang w:val="en-US" w:eastAsia="zh-CN" w:bidi="ar"/>
        </w:rPr>
        <w:t xml:space="preserve">                 （项目名称）（项目编号）</w:t>
      </w:r>
      <w:r>
        <w:rPr>
          <w:rFonts w:hint="default" w:ascii="Times New Roman" w:hAnsi="Times New Roman" w:eastAsia="宋体" w:cs="Times New Roman"/>
          <w:bCs/>
          <w:color w:val="auto"/>
          <w:kern w:val="2"/>
          <w:sz w:val="21"/>
          <w:szCs w:val="21"/>
          <w:highlight w:val="none"/>
          <w:lang w:val="en-US" w:eastAsia="zh-CN" w:bidi="ar"/>
        </w:rPr>
        <w:t>（以下简称“本工程”）的项目负责人</w:t>
      </w:r>
      <w:r>
        <w:rPr>
          <w:rFonts w:hint="default" w:ascii="Times New Roman" w:hAnsi="Times New Roman" w:eastAsia="宋体" w:cs="Times New Roman"/>
          <w:bCs/>
          <w:color w:val="auto"/>
          <w:kern w:val="2"/>
          <w:sz w:val="21"/>
          <w:szCs w:val="21"/>
          <w:highlight w:val="none"/>
          <w:u w:val="single"/>
          <w:lang w:val="en-US" w:eastAsia="zh-CN" w:bidi="ar"/>
        </w:rPr>
        <w:t xml:space="preserve">       </w:t>
      </w:r>
      <w:r>
        <w:rPr>
          <w:rFonts w:hint="default" w:ascii="Times New Roman" w:hAnsi="Times New Roman" w:eastAsia="宋体" w:cs="Times New Roman"/>
          <w:bCs/>
          <w:color w:val="auto"/>
          <w:kern w:val="2"/>
          <w:sz w:val="21"/>
          <w:szCs w:val="21"/>
          <w:highlight w:val="none"/>
          <w:lang w:val="en-US" w:eastAsia="zh-CN" w:bidi="ar"/>
        </w:rPr>
        <w:t>（项目经理姓名）现阶段没有担任任何在施建设工程项目的项目经理。</w:t>
      </w:r>
    </w:p>
    <w:p w14:paraId="4FC2FA53">
      <w:pPr>
        <w:keepNext w:val="0"/>
        <w:keepLines w:val="0"/>
        <w:widowControl w:val="0"/>
        <w:suppressLineNumbers w:val="0"/>
        <w:spacing w:before="100" w:beforeAutospacing="1" w:after="120" w:afterAutospacing="0" w:line="480" w:lineRule="auto"/>
        <w:ind w:left="0" w:right="0" w:firstLine="440"/>
        <w:jc w:val="both"/>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
        </w:rPr>
        <w:t>我方保证上述信息的真实和准确，并愿意承担因我方就此弄虚作假所引起的一切法律后果。</w:t>
      </w:r>
    </w:p>
    <w:p w14:paraId="71D61F4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518D6CC4">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特此承诺！</w:t>
      </w:r>
    </w:p>
    <w:p w14:paraId="3D56B749">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5305FE20">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049BE6EB">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C13B50D">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（盖章）</w:t>
      </w:r>
    </w:p>
    <w:p w14:paraId="698BCDD3">
      <w:pPr>
        <w:keepNext w:val="0"/>
        <w:keepLines w:val="0"/>
        <w:widowControl w:val="0"/>
        <w:suppressLineNumbers w:val="0"/>
        <w:wordWrap w:val="0"/>
        <w:spacing w:before="0" w:beforeAutospacing="0" w:after="0" w:afterAutospacing="0" w:line="360" w:lineRule="auto"/>
        <w:ind w:left="0" w:right="0" w:firstLine="48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795DB305">
      <w:pPr>
        <w:keepNext w:val="0"/>
        <w:keepLines w:val="0"/>
        <w:widowControl w:val="0"/>
        <w:suppressLineNumbers w:val="0"/>
        <w:wordWrap w:val="0"/>
        <w:spacing w:before="0" w:beforeAutospacing="0" w:after="0" w:afterAutospacing="0" w:line="360" w:lineRule="auto"/>
        <w:ind w:left="0" w:right="0" w:firstLine="1050" w:firstLineChars="50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法定代表人或被授权人：</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（签字或盖章）</w:t>
      </w:r>
    </w:p>
    <w:p w14:paraId="040A9C57">
      <w:pPr>
        <w:keepNext w:val="0"/>
        <w:keepLines w:val="0"/>
        <w:widowControl w:val="0"/>
        <w:suppressLineNumbers w:val="0"/>
        <w:spacing w:before="0" w:beforeAutospacing="0" w:after="0" w:afterAutospacing="0" w:line="360" w:lineRule="auto"/>
        <w:ind w:left="0" w:right="0" w:firstLine="480"/>
        <w:jc w:val="right"/>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CC337A5">
      <w:pPr>
        <w:keepNext w:val="0"/>
        <w:keepLines w:val="0"/>
        <w:widowControl w:val="0"/>
        <w:suppressLineNumbers w:val="0"/>
        <w:spacing w:before="0" w:beforeAutospacing="0" w:after="0" w:afterAutospacing="0" w:line="360" w:lineRule="auto"/>
        <w:ind w:left="0" w:right="420" w:firstLine="2574" w:firstLineChars="1226"/>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日期：</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58EB5FB2">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bookmarkStart w:id="576" w:name="_Toc2748"/>
      <w:r>
        <w:rPr>
          <w:rFonts w:hint="default" w:ascii="宋体" w:hAnsi="宋体" w:eastAsia="宋体" w:cs="宋体"/>
          <w:color w:val="auto"/>
          <w:kern w:val="0"/>
          <w:sz w:val="21"/>
          <w:szCs w:val="21"/>
          <w:highlight w:val="none"/>
          <w:shd w:val="clear" w:color="auto" w:fill="FFFFFF"/>
        </w:rPr>
        <w:br w:type="textWrapping"/>
      </w:r>
      <w:bookmarkEnd w:id="576"/>
      <w:r>
        <w:rPr>
          <w:rFonts w:hint="eastAsia" w:cs="宋体"/>
          <w:color w:val="auto"/>
          <w:kern w:val="0"/>
          <w:sz w:val="21"/>
          <w:szCs w:val="21"/>
          <w:highlight w:val="none"/>
          <w:shd w:val="clear" w:color="auto" w:fill="FFFFFF"/>
          <w:lang w:val="en-US" w:eastAsia="zh-CN"/>
        </w:rPr>
        <w:t xml:space="preserve"> </w:t>
      </w:r>
    </w:p>
    <w:p w14:paraId="76BC8126">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05163FDF">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26A5E7A3">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5801E07B">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4FEEDDAB">
      <w:pPr>
        <w:numPr>
          <w:ilvl w:val="0"/>
          <w:numId w:val="6"/>
        </w:numPr>
        <w:bidi w:val="0"/>
        <w:spacing w:before="240" w:line="440" w:lineRule="exact"/>
        <w:jc w:val="left"/>
        <w:outlineLvl w:val="0"/>
        <w:rPr>
          <w:rFonts w:hint="eastAsia" w:cs="宋体"/>
          <w:color w:val="auto"/>
          <w:kern w:val="0"/>
          <w:sz w:val="21"/>
          <w:szCs w:val="21"/>
          <w:highlight w:val="none"/>
          <w:shd w:val="clear" w:color="auto" w:fill="FFFFFF"/>
          <w:lang w:val="en-US" w:eastAsia="zh-CN"/>
        </w:rPr>
      </w:pPr>
      <w:bookmarkStart w:id="577" w:name="_Toc3633"/>
      <w:r>
        <w:rPr>
          <w:rFonts w:hint="default" w:ascii="宋体" w:hAnsi="宋体" w:eastAsia="宋体" w:cs="宋体"/>
          <w:color w:val="auto"/>
          <w:kern w:val="0"/>
          <w:sz w:val="21"/>
          <w:szCs w:val="21"/>
          <w:highlight w:val="none"/>
          <w:shd w:val="clear" w:color="auto" w:fill="FFFFFF"/>
        </w:rPr>
        <w:t>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bookmarkEnd w:id="577"/>
      <w:r>
        <w:rPr>
          <w:rFonts w:hint="eastAsia" w:cs="宋体"/>
          <w:color w:val="auto"/>
          <w:kern w:val="0"/>
          <w:sz w:val="21"/>
          <w:szCs w:val="21"/>
          <w:highlight w:val="none"/>
          <w:shd w:val="clear" w:color="auto" w:fill="FFFFFF"/>
          <w:lang w:val="en-US" w:eastAsia="zh-CN"/>
        </w:rPr>
        <w:t xml:space="preserve">  </w:t>
      </w:r>
    </w:p>
    <w:p w14:paraId="349FCEFF">
      <w:pPr>
        <w:numPr>
          <w:ilvl w:val="0"/>
          <w:numId w:val="0"/>
        </w:numPr>
        <w:bidi w:val="0"/>
        <w:spacing w:before="240" w:line="440" w:lineRule="exact"/>
        <w:jc w:val="center"/>
        <w:outlineLvl w:val="0"/>
        <w:rPr>
          <w:rFonts w:hint="default" w:ascii="Times New Roman" w:hAnsi="Times New Roman" w:eastAsia="宋体" w:cs="Times New Roman"/>
          <w:b/>
          <w:bCs w:val="0"/>
          <w:color w:val="auto"/>
          <w:kern w:val="2"/>
          <w:sz w:val="24"/>
          <w:szCs w:val="24"/>
          <w:highlight w:val="none"/>
          <w:lang w:val="zh-CN" w:eastAsia="en-US" w:bidi="ar-SA"/>
        </w:rPr>
      </w:pPr>
      <w:bookmarkStart w:id="578" w:name="_Toc213"/>
      <w:r>
        <w:rPr>
          <w:rFonts w:hint="default" w:ascii="Times New Roman" w:hAnsi="Times New Roman" w:eastAsia="宋体" w:cs="Times New Roman"/>
          <w:b/>
          <w:bCs w:val="0"/>
          <w:color w:val="auto"/>
          <w:kern w:val="2"/>
          <w:sz w:val="24"/>
          <w:szCs w:val="24"/>
          <w:highlight w:val="none"/>
          <w:lang w:val="zh-CN" w:eastAsia="en-US" w:bidi="ar-SA"/>
        </w:rPr>
        <w:t>参加政府采购活动前三年内在经营活动中没有重大违法记录的书面声明</w:t>
      </w:r>
      <w:bookmarkEnd w:id="578"/>
    </w:p>
    <w:p w14:paraId="265C5EB0">
      <w:pPr>
        <w:bidi w:val="0"/>
        <w:spacing w:line="440" w:lineRule="exact"/>
        <w:jc w:val="left"/>
        <w:rPr>
          <w:rFonts w:hint="default" w:ascii="Times New Roman" w:hAnsi="Times New Roman" w:eastAsia="宋体" w:cs="Times New Roman"/>
          <w:color w:val="auto"/>
          <w:sz w:val="24"/>
          <w:szCs w:val="24"/>
          <w:highlight w:val="none"/>
        </w:rPr>
      </w:pPr>
    </w:p>
    <w:p w14:paraId="6C1A74EF">
      <w:pPr>
        <w:kinsoku w:val="0"/>
        <w:autoSpaceDE w:val="0"/>
        <w:autoSpaceDN w:val="0"/>
        <w:adjustRightInd w:val="0"/>
        <w:snapToGrid w:val="0"/>
        <w:spacing w:before="172" w:line="215" w:lineRule="auto"/>
        <w:ind w:left="34"/>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rPr>
        <w:t>致：</w:t>
      </w: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r>
        <w:rPr>
          <w:rFonts w:hint="default" w:ascii="Times New Roman" w:hAnsi="Times New Roman" w:eastAsia="宋体" w:cs="Times New Roman"/>
          <w:b/>
          <w:bCs/>
          <w:color w:val="auto"/>
          <w:kern w:val="2"/>
          <w:sz w:val="21"/>
          <w:szCs w:val="21"/>
          <w:highlight w:val="none"/>
          <w:u w:val="single"/>
          <w:lang w:val="en-US" w:eastAsia="zh-CN" w:bidi="ar"/>
        </w:rPr>
        <w:t xml:space="preserve"> </w:t>
      </w:r>
      <w:r>
        <w:rPr>
          <w:rFonts w:hint="default" w:ascii="Times New Roman" w:hAnsi="Times New Roman" w:eastAsia="宋体" w:cs="Times New Roman"/>
          <w:snapToGrid w:val="0"/>
          <w:color w:val="auto"/>
          <w:kern w:val="0"/>
          <w:sz w:val="21"/>
          <w:szCs w:val="21"/>
          <w:highlight w:val="none"/>
          <w:lang w:val="en-US" w:eastAsia="en-US" w:bidi="ar-SA"/>
        </w:rPr>
        <w:t>：</w:t>
      </w:r>
    </w:p>
    <w:p w14:paraId="5B1D6A89">
      <w:pPr>
        <w:pStyle w:val="143"/>
        <w:rPr>
          <w:rFonts w:hint="default" w:ascii="Times New Roman" w:hAnsi="Times New Roman" w:cs="Times New Roman"/>
          <w:color w:val="auto"/>
          <w:sz w:val="21"/>
          <w:szCs w:val="21"/>
          <w:highlight w:val="none"/>
        </w:rPr>
      </w:pPr>
    </w:p>
    <w:p w14:paraId="18DE378B">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我单位声明参加本次政府采购活动前三年内，在经营活动中没有重大违纪，以及未被列入失信被执行人、未在重大税收违法案件当事人名单及政府采购严重违法失信行为记录名单中。</w:t>
      </w:r>
    </w:p>
    <w:p w14:paraId="07713398">
      <w:pPr>
        <w:keepNext w:val="0"/>
        <w:keepLines w:val="0"/>
        <w:pageBreakBefore w:val="0"/>
        <w:widowControl w:val="0"/>
        <w:kinsoku/>
        <w:wordWrap/>
        <w:overflowPunct/>
        <w:topLinePunct w:val="0"/>
        <w:autoSpaceDE/>
        <w:autoSpaceDN/>
        <w:bidi w:val="0"/>
        <w:adjustRightInd/>
        <w:snapToGrid/>
        <w:spacing w:line="480" w:lineRule="auto"/>
        <w:ind w:firstLine="371" w:firstLineChars="177"/>
        <w:jc w:val="lef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以上如构成虚假，自愿承担相关法律责任。</w:t>
      </w:r>
    </w:p>
    <w:p w14:paraId="3DC839AD">
      <w:pPr>
        <w:bidi w:val="0"/>
        <w:spacing w:line="440" w:lineRule="exact"/>
        <w:jc w:val="left"/>
        <w:rPr>
          <w:rFonts w:hint="default" w:ascii="Times New Roman" w:hAnsi="Times New Roman" w:eastAsia="宋体" w:cs="Times New Roman"/>
          <w:b/>
          <w:color w:val="auto"/>
          <w:sz w:val="21"/>
          <w:szCs w:val="21"/>
          <w:highlight w:val="none"/>
        </w:rPr>
      </w:pPr>
    </w:p>
    <w:p w14:paraId="288E7CC0">
      <w:pPr>
        <w:bidi w:val="0"/>
        <w:spacing w:line="440" w:lineRule="exact"/>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特此声明！</w:t>
      </w:r>
    </w:p>
    <w:p w14:paraId="381BB39F">
      <w:pPr>
        <w:bidi w:val="0"/>
        <w:spacing w:line="440" w:lineRule="exact"/>
        <w:ind w:firstLine="420" w:firstLineChars="200"/>
        <w:jc w:val="left"/>
        <w:rPr>
          <w:rFonts w:hint="default" w:ascii="Times New Roman" w:hAnsi="Times New Roman" w:eastAsia="宋体" w:cs="Times New Roman"/>
          <w:color w:val="auto"/>
          <w:sz w:val="21"/>
          <w:szCs w:val="21"/>
          <w:highlight w:val="none"/>
        </w:rPr>
      </w:pPr>
    </w:p>
    <w:p w14:paraId="79AA524F">
      <w:pPr>
        <w:widowControl w:val="0"/>
        <w:bidi w:val="0"/>
        <w:adjustRightInd w:val="0"/>
        <w:spacing w:line="440" w:lineRule="exact"/>
        <w:ind w:firstLine="420"/>
        <w:jc w:val="both"/>
        <w:textAlignment w:val="baseline"/>
        <w:rPr>
          <w:rFonts w:hint="default" w:ascii="Times New Roman" w:hAnsi="Times New Roman" w:eastAsia="宋体" w:cs="Times New Roman"/>
          <w:color w:val="auto"/>
          <w:kern w:val="0"/>
          <w:sz w:val="21"/>
          <w:szCs w:val="21"/>
          <w:highlight w:val="none"/>
          <w:lang w:val="en-US" w:eastAsia="zh-CN" w:bidi="ar-SA"/>
        </w:rPr>
      </w:pPr>
    </w:p>
    <w:p w14:paraId="25AEF3C9">
      <w:pPr>
        <w:widowControl w:val="0"/>
        <w:bidi w:val="0"/>
        <w:spacing w:line="440" w:lineRule="exact"/>
        <w:ind w:firstLine="420" w:firstLineChars="200"/>
        <w:jc w:val="both"/>
        <w:rPr>
          <w:rFonts w:hint="default" w:ascii="Times New Roman" w:hAnsi="Times New Roman" w:eastAsia="宋体" w:cs="Times New Roman"/>
          <w:color w:val="auto"/>
          <w:kern w:val="2"/>
          <w:sz w:val="21"/>
          <w:szCs w:val="21"/>
          <w:highlight w:val="none"/>
          <w:lang w:val="en-US" w:eastAsia="zh-CN" w:bidi="ar-SA"/>
        </w:rPr>
      </w:pPr>
    </w:p>
    <w:p w14:paraId="3CA5D1EC">
      <w:pPr>
        <w:autoSpaceDE w:val="0"/>
        <w:autoSpaceDN w:val="0"/>
        <w:bidi w:val="0"/>
        <w:adjustRightInd w:val="0"/>
        <w:snapToGrid w:val="0"/>
        <w:spacing w:line="440" w:lineRule="exact"/>
        <w:rPr>
          <w:rFonts w:hint="default" w:ascii="Times New Roman" w:hAnsi="Times New Roman" w:eastAsia="宋体" w:cs="Times New Roman"/>
          <w:color w:val="auto"/>
          <w:sz w:val="21"/>
          <w:szCs w:val="21"/>
          <w:highlight w:val="none"/>
        </w:rPr>
      </w:pPr>
    </w:p>
    <w:p w14:paraId="26619490">
      <w:pPr>
        <w:keepNext w:val="0"/>
        <w:keepLines w:val="0"/>
        <w:pageBreakBefore w:val="0"/>
        <w:widowControl w:val="0"/>
        <w:kinsoku/>
        <w:wordWrap/>
        <w:overflowPunct/>
        <w:topLinePunct w:val="0"/>
        <w:autoSpaceDE/>
        <w:autoSpaceDN/>
        <w:bidi w:val="0"/>
        <w:adjustRightInd w:val="0"/>
        <w:snapToGrid/>
        <w:spacing w:line="400" w:lineRule="exact"/>
        <w:ind w:left="1050" w:leftChars="500" w:firstLine="105" w:firstLineChars="5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供 应 商：</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加盖公章</w:t>
      </w:r>
      <w:r>
        <w:rPr>
          <w:rFonts w:hint="default" w:ascii="Times New Roman" w:hAnsi="Times New Roman" w:eastAsia="宋体" w:cs="Times New Roman"/>
          <w:color w:val="auto"/>
          <w:sz w:val="21"/>
          <w:szCs w:val="21"/>
          <w:highlight w:val="none"/>
        </w:rPr>
        <w:t>）</w:t>
      </w:r>
    </w:p>
    <w:p w14:paraId="1A6DDE55">
      <w:pPr>
        <w:keepNext w:val="0"/>
        <w:keepLines w:val="0"/>
        <w:pageBreakBefore w:val="0"/>
        <w:widowControl w:val="0"/>
        <w:kinsoku/>
        <w:wordWrap/>
        <w:overflowPunct/>
        <w:topLinePunct w:val="0"/>
        <w:autoSpaceDE/>
        <w:autoSpaceDN/>
        <w:bidi w:val="0"/>
        <w:snapToGrid/>
        <w:spacing w:line="400" w:lineRule="exact"/>
        <w:ind w:left="1050" w:leftChars="500"/>
        <w:jc w:val="center"/>
        <w:textAlignment w:val="auto"/>
        <w:outlineLvl w:val="9"/>
        <w:rPr>
          <w:rFonts w:hint="default" w:ascii="Times New Roman" w:hAnsi="Times New Roman" w:eastAsia="宋体" w:cs="Times New Roman"/>
          <w:color w:val="auto"/>
          <w:sz w:val="21"/>
          <w:szCs w:val="21"/>
          <w:highlight w:val="none"/>
        </w:rPr>
      </w:pPr>
    </w:p>
    <w:p w14:paraId="0C9B5D1F">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586F4CE7">
      <w:pPr>
        <w:keepNext w:val="0"/>
        <w:keepLines w:val="0"/>
        <w:pageBreakBefore w:val="0"/>
        <w:widowControl w:val="0"/>
        <w:kinsoku/>
        <w:wordWrap/>
        <w:overflowPunct/>
        <w:topLinePunct w:val="0"/>
        <w:autoSpaceDE/>
        <w:autoSpaceDN/>
        <w:bidi w:val="0"/>
        <w:snapToGrid/>
        <w:spacing w:line="400" w:lineRule="exact"/>
        <w:ind w:left="1050" w:leftChars="500" w:firstLine="315" w:firstLineChars="150"/>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法定代表人或委托代理人：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签字或盖章</w:t>
      </w:r>
      <w:r>
        <w:rPr>
          <w:rFonts w:hint="default" w:ascii="Times New Roman" w:hAnsi="Times New Roman" w:eastAsia="宋体" w:cs="Times New Roman"/>
          <w:color w:val="auto"/>
          <w:sz w:val="21"/>
          <w:szCs w:val="21"/>
          <w:highlight w:val="none"/>
        </w:rPr>
        <w:t>）</w:t>
      </w:r>
    </w:p>
    <w:p w14:paraId="440891CD">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0CB25C53">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2DFF666D">
      <w:pPr>
        <w:keepNext w:val="0"/>
        <w:keepLines w:val="0"/>
        <w:pageBreakBefore w:val="0"/>
        <w:widowControl w:val="0"/>
        <w:kinsoku/>
        <w:wordWrap/>
        <w:overflowPunct/>
        <w:topLinePunct w:val="0"/>
        <w:autoSpaceDE/>
        <w:autoSpaceDN/>
        <w:bidi w:val="0"/>
        <w:snapToGrid/>
        <w:spacing w:line="400" w:lineRule="exact"/>
        <w:ind w:left="1050" w:leftChars="500" w:firstLine="315" w:firstLineChars="150"/>
        <w:textAlignment w:val="auto"/>
        <w:outlineLvl w:val="1"/>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日     期：</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年  月  日</w:t>
      </w:r>
    </w:p>
    <w:p w14:paraId="1330191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5DAC20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5D594E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421A7D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A113E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0B9E9A0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BA77B6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CA21D2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E72A70">
      <w:pPr>
        <w:keepNext w:val="0"/>
        <w:keepLines w:val="0"/>
        <w:pageBreakBefore w:val="0"/>
        <w:widowControl/>
        <w:numPr>
          <w:ilvl w:val="0"/>
          <w:numId w:val="6"/>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供应商须提供具有履行合同所必需的设备和专业技术能力的承诺；</w:t>
      </w:r>
    </w:p>
    <w:p w14:paraId="311027F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Chars="0"/>
        <w:jc w:val="both"/>
        <w:textAlignment w:val="auto"/>
        <w:rPr>
          <w:rFonts w:hint="default" w:ascii="宋体" w:hAnsi="宋体" w:eastAsia="宋体" w:cs="宋体"/>
          <w:color w:val="auto"/>
          <w:kern w:val="0"/>
          <w:sz w:val="21"/>
          <w:szCs w:val="21"/>
          <w:highlight w:val="none"/>
          <w:shd w:val="clear" w:color="auto" w:fill="FFFFFF"/>
        </w:rPr>
      </w:pPr>
    </w:p>
    <w:p w14:paraId="36545196">
      <w:pPr>
        <w:shd w:val="clear" w:color="auto" w:fill="auto"/>
        <w:jc w:val="center"/>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具有履行合同所必需的设备和专业技术能力的承诺</w:t>
      </w:r>
    </w:p>
    <w:p w14:paraId="61A9C06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00" w:lineRule="exact"/>
        <w:ind w:left="0" w:leftChars="0" w:firstLine="480" w:firstLineChars="200"/>
        <w:textAlignment w:val="auto"/>
        <w:outlineLvl w:val="9"/>
        <w:rPr>
          <w:rFonts w:hint="default" w:ascii="Times New Roman" w:hAnsi="Times New Roman" w:eastAsia="宋体" w:cs="Times New Roman"/>
          <w:b w:val="0"/>
          <w:bCs w:val="0"/>
          <w:color w:val="auto"/>
          <w:sz w:val="24"/>
          <w:szCs w:val="24"/>
          <w:highlight w:val="none"/>
          <w:lang w:val="en-US" w:eastAsia="zh-CN"/>
        </w:rPr>
      </w:pPr>
    </w:p>
    <w:p w14:paraId="3D9734D6">
      <w:pPr>
        <w:shd w:val="clear" w:color="auto" w:fill="auto"/>
        <w:spacing w:line="360" w:lineRule="auto"/>
        <w:rPr>
          <w:rFonts w:hint="default" w:ascii="Times New Roman" w:hAnsi="Times New Roman" w:eastAsia="宋体" w:cs="Times New Roman"/>
          <w:color w:val="auto"/>
          <w:spacing w:val="4"/>
          <w:szCs w:val="21"/>
          <w:highlight w:val="none"/>
        </w:rPr>
      </w:pPr>
    </w:p>
    <w:p w14:paraId="1616691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致：</w:t>
      </w:r>
      <w:r>
        <w:rPr>
          <w:rFonts w:hint="default" w:ascii="Times New Roman" w:hAnsi="Times New Roman" w:eastAsia="宋体" w:cs="Times New Roman"/>
          <w:b/>
          <w:bCs/>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0"/>
          <w:sz w:val="24"/>
          <w:szCs w:val="24"/>
          <w:highlight w:val="none"/>
          <w:u w:val="single"/>
          <w:lang w:val="en-US" w:eastAsia="zh-CN" w:bidi="ar"/>
        </w:rPr>
        <w:t xml:space="preserve">      (采购人名称)</w:t>
      </w:r>
    </w:p>
    <w:p w14:paraId="1A218908">
      <w:pPr>
        <w:spacing w:line="360" w:lineRule="auto"/>
        <w:ind w:firstLine="496"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spacing w:val="4"/>
          <w:sz w:val="24"/>
          <w:szCs w:val="24"/>
          <w:highlight w:val="none"/>
          <w:u w:val="single"/>
          <w:lang w:val="en-US" w:eastAsia="zh-CN"/>
        </w:rPr>
        <w:t xml:space="preserve">           （供应商</w:t>
      </w:r>
      <w:r>
        <w:rPr>
          <w:rFonts w:hint="default" w:ascii="Times New Roman" w:hAnsi="Times New Roman" w:eastAsia="宋体" w:cs="Times New Roman"/>
          <w:color w:val="auto"/>
          <w:spacing w:val="4"/>
          <w:sz w:val="24"/>
          <w:szCs w:val="24"/>
          <w:highlight w:val="none"/>
          <w:u w:val="single"/>
        </w:rPr>
        <w:t>名称</w:t>
      </w:r>
      <w:r>
        <w:rPr>
          <w:rFonts w:hint="default" w:ascii="Times New Roman" w:hAnsi="Times New Roman" w:eastAsia="宋体" w:cs="Times New Roman"/>
          <w:color w:val="auto"/>
          <w:spacing w:val="4"/>
          <w:sz w:val="24"/>
          <w:szCs w:val="24"/>
          <w:highlight w:val="none"/>
          <w:u w:val="single"/>
          <w:lang w:eastAsia="zh-CN"/>
        </w:rPr>
        <w:t>）</w:t>
      </w:r>
      <w:r>
        <w:rPr>
          <w:rFonts w:hint="default" w:ascii="Times New Roman" w:hAnsi="Times New Roman" w:eastAsia="宋体" w:cs="Times New Roman"/>
          <w:color w:val="auto"/>
          <w:spacing w:val="4"/>
          <w:sz w:val="24"/>
          <w:szCs w:val="24"/>
          <w:highlight w:val="none"/>
        </w:rPr>
        <w:t>于</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年</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月</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日在中华人民共和国境内</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u w:val="single"/>
          <w:lang w:val="en-US" w:eastAsia="zh-CN"/>
        </w:rPr>
        <w:t xml:space="preserve">  （</w:t>
      </w:r>
      <w:r>
        <w:rPr>
          <w:rFonts w:hint="default" w:ascii="Times New Roman" w:hAnsi="Times New Roman" w:eastAsia="宋体" w:cs="Times New Roman"/>
          <w:color w:val="auto"/>
          <w:spacing w:val="4"/>
          <w:sz w:val="24"/>
          <w:szCs w:val="24"/>
          <w:highlight w:val="none"/>
          <w:u w:val="single"/>
        </w:rPr>
        <w:t>详细注册地址）</w:t>
      </w:r>
      <w:r>
        <w:rPr>
          <w:rFonts w:hint="default" w:ascii="Times New Roman" w:hAnsi="Times New Roman" w:eastAsia="宋体" w:cs="Times New Roman"/>
          <w:color w:val="auto"/>
          <w:spacing w:val="4"/>
          <w:sz w:val="24"/>
          <w:szCs w:val="24"/>
          <w:highlight w:val="none"/>
          <w:u w:val="single"/>
          <w:lang w:val="en-US" w:eastAsia="zh-CN"/>
        </w:rPr>
        <w:t xml:space="preserve">    </w:t>
      </w:r>
      <w:r>
        <w:rPr>
          <w:rFonts w:hint="default" w:ascii="Times New Roman" w:hAnsi="Times New Roman" w:eastAsia="宋体" w:cs="Times New Roman"/>
          <w:color w:val="auto"/>
          <w:spacing w:val="4"/>
          <w:sz w:val="24"/>
          <w:szCs w:val="24"/>
          <w:highlight w:val="none"/>
        </w:rPr>
        <w:t>合法注册并经营，</w:t>
      </w:r>
      <w:r>
        <w:rPr>
          <w:rFonts w:hint="default" w:ascii="Times New Roman" w:hAnsi="Times New Roman" w:eastAsia="宋体" w:cs="Times New Roman"/>
          <w:color w:val="auto"/>
          <w:spacing w:val="4"/>
          <w:kern w:val="2"/>
          <w:sz w:val="24"/>
          <w:szCs w:val="24"/>
          <w:highlight w:val="none"/>
        </w:rPr>
        <w:t>公司主营业务为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，营业（生产经营）面积为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，现有员工数量为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w:t>
      </w:r>
      <w:r>
        <w:rPr>
          <w:rFonts w:hint="default" w:ascii="Times New Roman" w:hAnsi="Times New Roman" w:eastAsia="宋体" w:cs="Times New Roman"/>
          <w:color w:val="auto"/>
          <w:spacing w:val="4"/>
          <w:sz w:val="24"/>
          <w:szCs w:val="24"/>
          <w:highlight w:val="none"/>
        </w:rPr>
        <w:t>本公司郑重承诺，具有履行本合同所必需的设备和专业技术能力。</w:t>
      </w:r>
      <w:r>
        <w:rPr>
          <w:rFonts w:hint="default" w:ascii="Times New Roman" w:hAnsi="Times New Roman" w:eastAsia="宋体" w:cs="Times New Roman"/>
          <w:color w:val="auto"/>
          <w:kern w:val="0"/>
          <w:sz w:val="24"/>
          <w:szCs w:val="24"/>
          <w:highlight w:val="none"/>
          <w:lang w:val="en-US" w:eastAsia="zh-CN" w:bidi="ar"/>
        </w:rPr>
        <w:t>如有不实，我方将无条件地退出本项目的采购活动，并遵照《中华人民共和国政府采购法》有关"提供虚假材料的规定"接受处罚。</w:t>
      </w:r>
    </w:p>
    <w:p w14:paraId="6707E7F8">
      <w:pPr>
        <w:shd w:val="clear" w:color="auto" w:fill="auto"/>
        <w:spacing w:before="312" w:beforeLines="100" w:after="156" w:afterLines="50" w:line="360" w:lineRule="auto"/>
        <w:ind w:firstLine="436" w:firstLineChars="200"/>
        <w:rPr>
          <w:rFonts w:hint="default" w:ascii="Times New Roman" w:hAnsi="Times New Roman" w:eastAsia="宋体" w:cs="Times New Roman"/>
          <w:color w:val="auto"/>
          <w:spacing w:val="4"/>
          <w:szCs w:val="21"/>
          <w:highlight w:val="none"/>
        </w:rPr>
      </w:pPr>
    </w:p>
    <w:p w14:paraId="2111B3D2">
      <w:pPr>
        <w:pStyle w:val="16"/>
        <w:shd w:val="clear" w:color="auto" w:fill="auto"/>
        <w:rPr>
          <w:rFonts w:hint="default" w:ascii="Times New Roman" w:hAnsi="Times New Roman" w:eastAsia="宋体" w:cs="Times New Roman"/>
          <w:color w:val="auto"/>
          <w:highlight w:val="none"/>
        </w:rPr>
      </w:pPr>
    </w:p>
    <w:p w14:paraId="75C9596F">
      <w:pPr>
        <w:shd w:val="clear" w:color="auto" w:fill="auto"/>
        <w:rPr>
          <w:rFonts w:hint="default" w:ascii="Times New Roman" w:hAnsi="Times New Roman" w:eastAsia="宋体" w:cs="Times New Roman"/>
          <w:color w:val="auto"/>
          <w:highlight w:val="none"/>
        </w:rPr>
      </w:pPr>
    </w:p>
    <w:p w14:paraId="7EA5DF54">
      <w:pPr>
        <w:shd w:val="clear" w:color="auto" w:fill="auto"/>
        <w:spacing w:line="280" w:lineRule="exact"/>
        <w:ind w:right="540" w:rightChars="257" w:firstLine="2100" w:firstLineChars="1000"/>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供应商名称：</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single"/>
          <w:lang w:val="en-US" w:eastAsia="zh-CN"/>
        </w:rPr>
        <w:t xml:space="preserve">              </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none"/>
        </w:rPr>
        <w:t xml:space="preserve">（盖单位公章）      </w:t>
      </w:r>
    </w:p>
    <w:p w14:paraId="78CD8846">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0D629857">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180" w:firstLineChars="1000"/>
        <w:jc w:val="left"/>
        <w:textAlignment w:val="auto"/>
        <w:outlineLvl w:val="9"/>
        <w:rPr>
          <w:rFonts w:hint="default" w:ascii="Times New Roman" w:hAnsi="Times New Roman" w:eastAsia="宋体" w:cs="Times New Roman"/>
          <w:color w:val="auto"/>
          <w:spacing w:val="4"/>
          <w:highlight w:val="none"/>
          <w:u w:val="none"/>
        </w:rPr>
      </w:pPr>
      <w:r>
        <w:rPr>
          <w:rFonts w:hint="default" w:ascii="Times New Roman" w:hAnsi="Times New Roman" w:eastAsia="宋体" w:cs="Times New Roman"/>
          <w:color w:val="auto"/>
          <w:spacing w:val="4"/>
          <w:highlight w:val="none"/>
          <w:lang w:eastAsia="zh-CN"/>
        </w:rPr>
        <w:t>法定代表人</w:t>
      </w:r>
      <w:r>
        <w:rPr>
          <w:rFonts w:hint="default" w:ascii="Times New Roman" w:hAnsi="Times New Roman" w:eastAsia="宋体" w:cs="Times New Roman"/>
          <w:color w:val="auto"/>
          <w:spacing w:val="4"/>
          <w:highlight w:val="none"/>
          <w:lang w:val="en-US" w:eastAsia="zh-CN"/>
        </w:rPr>
        <w:t>或</w:t>
      </w:r>
      <w:r>
        <w:rPr>
          <w:rFonts w:hint="default" w:ascii="Times New Roman" w:hAnsi="Times New Roman" w:eastAsia="宋体" w:cs="Times New Roman"/>
          <w:color w:val="auto"/>
          <w:spacing w:val="4"/>
          <w:highlight w:val="none"/>
          <w:lang w:eastAsia="zh-CN"/>
        </w:rPr>
        <w:t>被授权人</w:t>
      </w:r>
      <w:r>
        <w:rPr>
          <w:rFonts w:hint="default" w:ascii="Times New Roman" w:hAnsi="Times New Roman" w:eastAsia="宋体" w:cs="Times New Roman"/>
          <w:color w:val="auto"/>
          <w:spacing w:val="4"/>
          <w:highlight w:val="none"/>
        </w:rPr>
        <w:t>：</w:t>
      </w:r>
      <w:r>
        <w:rPr>
          <w:rFonts w:hint="default" w:ascii="Times New Roman" w:hAnsi="Times New Roman" w:eastAsia="宋体" w:cs="Times New Roman"/>
          <w:color w:val="auto"/>
          <w:spacing w:val="4"/>
          <w:highlight w:val="none"/>
          <w:u w:val="single"/>
          <w:lang w:val="en-US" w:eastAsia="zh-CN"/>
        </w:rPr>
        <w:t xml:space="preserve">         </w:t>
      </w:r>
      <w:r>
        <w:rPr>
          <w:rFonts w:hint="default" w:ascii="Times New Roman" w:hAnsi="Times New Roman" w:eastAsia="宋体" w:cs="Times New Roman"/>
          <w:color w:val="auto"/>
          <w:spacing w:val="4"/>
          <w:highlight w:val="none"/>
          <w:u w:val="none"/>
          <w:lang w:val="en-US" w:eastAsia="zh-CN"/>
        </w:rPr>
        <w:t>（</w:t>
      </w:r>
      <w:r>
        <w:rPr>
          <w:rFonts w:hint="default" w:ascii="Times New Roman" w:hAnsi="Times New Roman" w:eastAsia="宋体" w:cs="Times New Roman"/>
          <w:color w:val="auto"/>
          <w:spacing w:val="4"/>
          <w:highlight w:val="none"/>
        </w:rPr>
        <w:t>签字</w:t>
      </w:r>
      <w:r>
        <w:rPr>
          <w:rFonts w:hint="default" w:ascii="Times New Roman" w:hAnsi="Times New Roman" w:eastAsia="宋体" w:cs="Times New Roman"/>
          <w:color w:val="auto"/>
          <w:spacing w:val="4"/>
          <w:highlight w:val="none"/>
          <w:lang w:eastAsia="zh-CN"/>
        </w:rPr>
        <w:t>或盖章</w:t>
      </w:r>
      <w:r>
        <w:rPr>
          <w:rFonts w:hint="default" w:ascii="Times New Roman" w:hAnsi="Times New Roman" w:eastAsia="宋体" w:cs="Times New Roman"/>
          <w:color w:val="auto"/>
          <w:spacing w:val="4"/>
          <w:highlight w:val="none"/>
          <w:u w:val="none"/>
          <w:lang w:val="en-US" w:eastAsia="zh-CN"/>
        </w:rPr>
        <w:t>）</w:t>
      </w:r>
    </w:p>
    <w:p w14:paraId="5E06C8D7">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760DDA02">
      <w:pPr>
        <w:shd w:val="clear" w:color="auto" w:fill="auto"/>
        <w:spacing w:line="280" w:lineRule="exact"/>
        <w:ind w:right="540" w:rightChars="257" w:firstLine="2100" w:firstLineChars="10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日    期：</w:t>
      </w:r>
      <w:r>
        <w:rPr>
          <w:rFonts w:hint="default" w:ascii="Times New Roman" w:hAnsi="Times New Roman" w:eastAsia="宋体" w:cs="Times New Roman"/>
          <w:color w:val="auto"/>
          <w:spacing w:val="4"/>
          <w:szCs w:val="24"/>
          <w:highlight w:val="none"/>
          <w:lang w:val="en-US" w:eastAsia="zh-CN"/>
        </w:rPr>
        <w:t xml:space="preserve">    年    月   日</w:t>
      </w:r>
    </w:p>
    <w:p w14:paraId="5AC4413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0E3FED8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3089574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5F32102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1A12A5C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133FFA2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44CA716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793EE1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627AAA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0561CDA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44CB023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default" w:ascii="宋体" w:hAnsi="宋体" w:eastAsia="宋体" w:cs="宋体"/>
          <w:color w:val="auto"/>
          <w:kern w:val="0"/>
          <w:sz w:val="21"/>
          <w:szCs w:val="21"/>
          <w:highlight w:val="none"/>
          <w:shd w:val="clear" w:color="auto" w:fill="FFFFFF"/>
        </w:rPr>
      </w:pP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7、财务状况报告：提供2025年度经审计的财务报告（成立时间至提交投标文件截止时间不足一年的可提供成立后任意时段的资产负债表），或在投标截止时间前六个月内其基本开户银行出具的资信证明；</w:t>
      </w:r>
    </w:p>
    <w:p w14:paraId="7E04297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p>
    <w:p w14:paraId="777D9EF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CFDF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9055F0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1B7C66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DE0975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FDD8B4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E60AA3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574BD3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F16C38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A79385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CBF51C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B4798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325098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29051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3BCDA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B36AEC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05D3C3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5D31B3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FEFCA8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FA92B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87442D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77A9C9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EE2565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188933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4B8F097">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t>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1783449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46CC3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EE39D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3A4321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2974DA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53E9E2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7C4ABE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A409D6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640CF9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AA758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25714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25C2B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9068CA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CB4F97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63E132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B543AC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B7E298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C2718E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6FB880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141CA0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8E9164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C50A22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0FF2BF4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C74D04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B04C46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4D4837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834F94">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t>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65D4676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4963E7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A16410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6C4696A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91E0A0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75853B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D7C93E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E4BFA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CF3226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1D2518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7A00B37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DD7DE8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6AEA6F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A954C6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58C4E2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953051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BAE7C9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67247E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B232CA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B9A9DA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6E6D88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8452F1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72B85D6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752D62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70A9C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D68A6B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91978E6">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334CF10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A47F1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4B16A1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6ED237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27DA1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F4E099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A2B4AB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7B8823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7062D4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158CE2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71FD4C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802BF9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DDA7AA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7F7723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DDBF35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1DCAD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D3BE31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6C762D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31E10E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306CAE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D33892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19947C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6666A0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FC5434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5C912F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421352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36406FC">
      <w:pPr>
        <w:shd w:val="clear" w:color="auto" w:fill="auto"/>
        <w:jc w:val="both"/>
        <w:rPr>
          <w:rFonts w:hint="default" w:ascii="Times New Roman" w:hAnsi="Times New Roman" w:eastAsia="宋体" w:cs="Times New Roman"/>
          <w:b w:val="0"/>
          <w:bCs w:val="0"/>
          <w:color w:val="auto"/>
          <w:sz w:val="21"/>
          <w:szCs w:val="21"/>
          <w:highlight w:val="none"/>
          <w:lang w:val="en-US" w:eastAsia="zh-CN"/>
        </w:rPr>
      </w:pP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default" w:ascii="Times New Roman" w:hAnsi="Times New Roman" w:eastAsia="宋体" w:cs="Times New Roman"/>
          <w:b w:val="0"/>
          <w:bCs w:val="0"/>
          <w:color w:val="auto"/>
          <w:sz w:val="21"/>
          <w:szCs w:val="21"/>
          <w:highlight w:val="none"/>
          <w:lang w:val="en-US" w:eastAsia="zh-CN"/>
        </w:rPr>
        <w:t>附六：</w:t>
      </w:r>
    </w:p>
    <w:p w14:paraId="4402E32B">
      <w:pPr>
        <w:pStyle w:val="16"/>
        <w:spacing w:before="193" w:line="225" w:lineRule="auto"/>
        <w:ind w:left="2467"/>
        <w:jc w:val="both"/>
        <w:rPr>
          <w:rFonts w:hint="default" w:ascii="Times New Roman" w:hAnsi="Times New Roman" w:cs="Times New Roman"/>
          <w:color w:val="auto"/>
          <w:sz w:val="21"/>
          <w:szCs w:val="21"/>
          <w:highlight w:val="none"/>
        </w:rPr>
      </w:pPr>
      <w:r>
        <w:rPr>
          <w:rFonts w:hint="default" w:ascii="Times New Roman" w:hAnsi="Times New Roman" w:cs="Times New Roman"/>
          <w:b/>
          <w:bCs/>
          <w:color w:val="auto"/>
          <w:spacing w:val="6"/>
          <w:sz w:val="21"/>
          <w:szCs w:val="21"/>
          <w:highlight w:val="none"/>
        </w:rPr>
        <w:t>供应商控股、管理关系说明</w:t>
      </w:r>
    </w:p>
    <w:p w14:paraId="267B7461">
      <w:pPr>
        <w:pStyle w:val="16"/>
        <w:spacing w:before="232" w:line="352" w:lineRule="auto"/>
        <w:ind w:firstLine="481"/>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依据《中华人民共和国政府采购法实施条例》第十八条的规定，单位负责人为同</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pacing w:val="-3"/>
          <w:sz w:val="21"/>
          <w:szCs w:val="21"/>
          <w:highlight w:val="none"/>
        </w:rPr>
        <w:t>一人或存在直接控股、管理关系的不同供应商，不得参加同一合同项下的政府采购活</w:t>
      </w:r>
      <w:r>
        <w:rPr>
          <w:rFonts w:hint="default" w:ascii="Times New Roman" w:hAnsi="Times New Roman" w:eastAsia="宋体" w:cs="Times New Roman"/>
          <w:color w:val="auto"/>
          <w:spacing w:val="-7"/>
          <w:sz w:val="21"/>
          <w:szCs w:val="21"/>
          <w:highlight w:val="none"/>
        </w:rPr>
        <w:t>动。除单一来源采购项目外，为采购项目提供整体设计、规范编制或项目管理、监理、</w:t>
      </w:r>
      <w:r>
        <w:rPr>
          <w:rFonts w:hint="default" w:ascii="Times New Roman" w:hAnsi="Times New Roman" w:eastAsia="宋体" w:cs="Times New Roman"/>
          <w:color w:val="auto"/>
          <w:spacing w:val="2"/>
          <w:sz w:val="21"/>
          <w:szCs w:val="21"/>
          <w:highlight w:val="none"/>
        </w:rPr>
        <w:t xml:space="preserve"> </w:t>
      </w:r>
      <w:r>
        <w:rPr>
          <w:rFonts w:hint="default" w:ascii="Times New Roman" w:hAnsi="Times New Roman" w:eastAsia="宋体" w:cs="Times New Roman"/>
          <w:color w:val="auto"/>
          <w:spacing w:val="-1"/>
          <w:sz w:val="21"/>
          <w:szCs w:val="21"/>
          <w:highlight w:val="none"/>
        </w:rPr>
        <w:t>检测等服务的供应商，不得再参加该采购项目的其他采购活动。</w:t>
      </w:r>
    </w:p>
    <w:p w14:paraId="5D8D22C7">
      <w:pPr>
        <w:pStyle w:val="16"/>
        <w:spacing w:before="33" w:line="347" w:lineRule="auto"/>
        <w:ind w:left="496" w:right="6279" w:hanging="15"/>
        <w:jc w:val="left"/>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我方在此主动说明：</w:t>
      </w:r>
    </w:p>
    <w:p w14:paraId="6DFB4CDD">
      <w:pPr>
        <w:pStyle w:val="16"/>
        <w:spacing w:before="33" w:line="347" w:lineRule="auto"/>
        <w:ind w:right="6279" w:firstLine="404"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1.管理关系说明：</w:t>
      </w:r>
    </w:p>
    <w:p w14:paraId="380A4343">
      <w:pPr>
        <w:pStyle w:val="16"/>
        <w:spacing w:before="35" w:line="220" w:lineRule="auto"/>
        <w:ind w:left="961"/>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我方管理的具有独立法人的下属单位有：</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w:t>
      </w:r>
    </w:p>
    <w:p w14:paraId="0D75AC1A">
      <w:pPr>
        <w:pStyle w:val="16"/>
        <w:spacing w:before="178" w:line="347" w:lineRule="auto"/>
        <w:ind w:left="482" w:right="1945" w:firstLine="479"/>
        <w:jc w:val="left"/>
        <w:rPr>
          <w:rFonts w:hint="default" w:ascii="Times New Roman" w:hAnsi="Times New Roman" w:eastAsia="宋体" w:cs="Times New Roman"/>
          <w:color w:val="auto"/>
          <w:spacing w:val="4"/>
          <w:sz w:val="21"/>
          <w:szCs w:val="21"/>
          <w:highlight w:val="none"/>
          <w:u w:val="single" w:color="auto"/>
        </w:rPr>
      </w:pPr>
      <w:r>
        <w:rPr>
          <w:rFonts w:hint="default" w:ascii="Times New Roman" w:hAnsi="Times New Roman" w:eastAsia="宋体" w:cs="Times New Roman"/>
          <w:color w:val="auto"/>
          <w:spacing w:val="-5"/>
          <w:sz w:val="21"/>
          <w:szCs w:val="21"/>
          <w:highlight w:val="none"/>
        </w:rPr>
        <w:t>我方的上级管理单位有</w:t>
      </w:r>
      <w:r>
        <w:rPr>
          <w:rFonts w:hint="default" w:ascii="Times New Roman" w:hAnsi="Times New Roman" w:eastAsia="宋体" w:cs="Times New Roman"/>
          <w:color w:val="auto"/>
          <w:spacing w:val="4"/>
          <w:sz w:val="21"/>
          <w:szCs w:val="21"/>
          <w:highlight w:val="none"/>
          <w:u w:val="single" w:color="auto"/>
        </w:rPr>
        <w:t xml:space="preserve">                           </w:t>
      </w:r>
    </w:p>
    <w:p w14:paraId="6689062C">
      <w:pPr>
        <w:pStyle w:val="16"/>
        <w:spacing w:before="178" w:line="347" w:lineRule="auto"/>
        <w:ind w:right="1945" w:firstLine="412"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2.股权关系说明：</w:t>
      </w:r>
    </w:p>
    <w:p w14:paraId="3EA126E2">
      <w:pPr>
        <w:pStyle w:val="16"/>
        <w:spacing w:before="32" w:line="347" w:lineRule="auto"/>
        <w:ind w:left="961" w:right="218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我方控股的单位有</w:t>
      </w:r>
      <w:r>
        <w:rPr>
          <w:rFonts w:hint="default" w:ascii="Times New Roman" w:hAnsi="Times New Roman" w:eastAsia="宋体" w:cs="Times New Roman"/>
          <w:color w:val="auto"/>
          <w:spacing w:val="4"/>
          <w:sz w:val="21"/>
          <w:szCs w:val="21"/>
          <w:highlight w:val="none"/>
          <w:u w:val="single" w:color="auto"/>
        </w:rPr>
        <w:t xml:space="preserve">                             </w:t>
      </w:r>
      <w:r>
        <w:rPr>
          <w:rFonts w:hint="default" w:ascii="Times New Roman" w:hAnsi="Times New Roman" w:eastAsia="宋体" w:cs="Times New Roman"/>
          <w:color w:val="auto"/>
          <w:spacing w:val="-6"/>
          <w:sz w:val="21"/>
          <w:szCs w:val="21"/>
          <w:highlight w:val="none"/>
        </w:rPr>
        <w:t>。</w:t>
      </w:r>
      <w:r>
        <w:rPr>
          <w:rFonts w:hint="default" w:ascii="Times New Roman" w:hAnsi="Times New Roman" w:eastAsia="宋体" w:cs="Times New Roman"/>
          <w:color w:val="auto"/>
          <w:spacing w:val="6"/>
          <w:sz w:val="21"/>
          <w:szCs w:val="21"/>
          <w:highlight w:val="none"/>
        </w:rPr>
        <w:t xml:space="preserve"> </w:t>
      </w:r>
      <w:r>
        <w:rPr>
          <w:rFonts w:hint="default" w:ascii="Times New Roman" w:hAnsi="Times New Roman" w:eastAsia="宋体" w:cs="Times New Roman"/>
          <w:color w:val="auto"/>
          <w:spacing w:val="-4"/>
          <w:sz w:val="21"/>
          <w:szCs w:val="21"/>
          <w:highlight w:val="none"/>
        </w:rPr>
        <w:t>我方被</w:t>
      </w:r>
      <w:r>
        <w:rPr>
          <w:rFonts w:hint="default" w:ascii="Times New Roman" w:hAnsi="Times New Roman" w:eastAsia="宋体" w:cs="Times New Roman"/>
          <w:color w:val="auto"/>
          <w:spacing w:val="-4"/>
          <w:sz w:val="21"/>
          <w:szCs w:val="21"/>
          <w:highlight w:val="none"/>
          <w:u w:val="single" w:color="auto"/>
        </w:rPr>
        <w:t xml:space="preserve">                   </w:t>
      </w:r>
      <w:r>
        <w:rPr>
          <w:rFonts w:hint="default" w:ascii="Times New Roman" w:hAnsi="Times New Roman" w:eastAsia="宋体" w:cs="Times New Roman"/>
          <w:color w:val="auto"/>
          <w:spacing w:val="-5"/>
          <w:sz w:val="21"/>
          <w:szCs w:val="21"/>
          <w:highlight w:val="none"/>
          <w:u w:val="single" w:color="auto"/>
        </w:rPr>
        <w:t xml:space="preserve">              </w:t>
      </w:r>
      <w:r>
        <w:rPr>
          <w:rFonts w:hint="default" w:ascii="Times New Roman" w:hAnsi="Times New Roman" w:eastAsia="宋体" w:cs="Times New Roman"/>
          <w:color w:val="auto"/>
          <w:spacing w:val="-109"/>
          <w:sz w:val="21"/>
          <w:szCs w:val="21"/>
          <w:highlight w:val="none"/>
        </w:rPr>
        <w:t xml:space="preserve"> </w:t>
      </w:r>
      <w:r>
        <w:rPr>
          <w:rFonts w:hint="default" w:ascii="Times New Roman" w:hAnsi="Times New Roman" w:eastAsia="宋体" w:cs="Times New Roman"/>
          <w:color w:val="auto"/>
          <w:spacing w:val="-5"/>
          <w:sz w:val="21"/>
          <w:szCs w:val="21"/>
          <w:highlight w:val="none"/>
        </w:rPr>
        <w:t>单位控股。</w:t>
      </w:r>
    </w:p>
    <w:p w14:paraId="12E80614">
      <w:pPr>
        <w:pStyle w:val="16"/>
        <w:spacing w:before="36" w:line="344" w:lineRule="auto"/>
        <w:ind w:firstLine="392"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3.我方</w:t>
      </w:r>
      <w:r>
        <w:rPr>
          <w:rFonts w:hint="default" w:ascii="Times New Roman" w:hAnsi="Times New Roman" w:eastAsia="宋体" w:cs="Times New Roman"/>
          <w:color w:val="auto"/>
          <w:spacing w:val="-41"/>
          <w:sz w:val="21"/>
          <w:szCs w:val="21"/>
          <w:highlight w:val="none"/>
          <w:u w:val="single" w:color="auto"/>
        </w:rPr>
        <w:t xml:space="preserve"> </w:t>
      </w:r>
      <w:r>
        <w:rPr>
          <w:rFonts w:hint="default" w:ascii="Times New Roman" w:hAnsi="Times New Roman" w:eastAsia="宋体" w:cs="Times New Roman"/>
          <w:color w:val="auto"/>
          <w:spacing w:val="-7"/>
          <w:sz w:val="21"/>
          <w:szCs w:val="21"/>
          <w:highlight w:val="none"/>
          <w:u w:val="single" w:color="auto"/>
        </w:rPr>
        <w:t>（填写“是或不是</w:t>
      </w:r>
      <w:r>
        <w:rPr>
          <w:rFonts w:hint="default" w:ascii="Times New Roman" w:hAnsi="Times New Roman" w:eastAsia="宋体" w:cs="Times New Roman"/>
          <w:color w:val="auto"/>
          <w:spacing w:val="-89"/>
          <w:sz w:val="21"/>
          <w:szCs w:val="21"/>
          <w:highlight w:val="none"/>
          <w:u w:val="single" w:color="auto"/>
        </w:rPr>
        <w:t xml:space="preserve"> </w:t>
      </w:r>
      <w:r>
        <w:rPr>
          <w:rFonts w:hint="default" w:ascii="Times New Roman" w:hAnsi="Times New Roman" w:eastAsia="宋体" w:cs="Times New Roman"/>
          <w:color w:val="auto"/>
          <w:spacing w:val="-7"/>
          <w:sz w:val="21"/>
          <w:szCs w:val="21"/>
          <w:highlight w:val="none"/>
          <w:u w:val="single" w:color="auto"/>
        </w:rPr>
        <w:t>”）</w:t>
      </w:r>
      <w:r>
        <w:rPr>
          <w:rFonts w:hint="default" w:ascii="Times New Roman" w:hAnsi="Times New Roman" w:eastAsia="宋体" w:cs="Times New Roman"/>
          <w:color w:val="auto"/>
          <w:spacing w:val="-7"/>
          <w:sz w:val="21"/>
          <w:szCs w:val="21"/>
          <w:highlight w:val="none"/>
        </w:rPr>
        <w:t xml:space="preserve"> 为本项目提供过整体设计、规范编制或项目管理、</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pacing w:val="-1"/>
          <w:sz w:val="21"/>
          <w:szCs w:val="21"/>
          <w:highlight w:val="none"/>
        </w:rPr>
        <w:t>监理、检测等服务的供应商。</w:t>
      </w:r>
    </w:p>
    <w:p w14:paraId="1570031B">
      <w:pPr>
        <w:pStyle w:val="16"/>
        <w:spacing w:before="34" w:line="347" w:lineRule="auto"/>
        <w:ind w:left="507" w:right="25" w:hanging="28"/>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4.其他与本项目有关的利害关系说明：</w:t>
      </w:r>
      <w:r>
        <w:rPr>
          <w:rFonts w:hint="default" w:ascii="Times New Roman" w:hAnsi="Times New Roman" w:eastAsia="宋体" w:cs="Times New Roman"/>
          <w:color w:val="auto"/>
          <w:spacing w:val="-1"/>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w:t>
      </w:r>
      <w:r>
        <w:rPr>
          <w:rFonts w:hint="default" w:ascii="Times New Roman" w:hAnsi="Times New Roman" w:eastAsia="宋体" w:cs="Times New Roman"/>
          <w:color w:val="auto"/>
          <w:spacing w:val="4"/>
          <w:sz w:val="21"/>
          <w:szCs w:val="21"/>
          <w:highlight w:val="none"/>
        </w:rPr>
        <w:t xml:space="preserve"> </w:t>
      </w:r>
      <w:r>
        <w:rPr>
          <w:rFonts w:hint="default" w:ascii="Times New Roman" w:hAnsi="Times New Roman" w:eastAsia="宋体" w:cs="Times New Roman"/>
          <w:color w:val="auto"/>
          <w:spacing w:val="1"/>
          <w:sz w:val="21"/>
          <w:szCs w:val="21"/>
          <w:highlight w:val="none"/>
        </w:rPr>
        <w:t>以上说明如有不实，我方自行承担不利后果。</w:t>
      </w:r>
    </w:p>
    <w:p w14:paraId="70EE0B9E">
      <w:pPr>
        <w:spacing w:line="295" w:lineRule="auto"/>
        <w:jc w:val="left"/>
        <w:rPr>
          <w:rFonts w:hint="default" w:ascii="Times New Roman" w:hAnsi="Times New Roman" w:eastAsia="宋体" w:cs="Times New Roman"/>
          <w:color w:val="auto"/>
          <w:sz w:val="21"/>
          <w:szCs w:val="21"/>
          <w:highlight w:val="none"/>
        </w:rPr>
      </w:pPr>
    </w:p>
    <w:p w14:paraId="6D26AF00">
      <w:pPr>
        <w:spacing w:line="295" w:lineRule="auto"/>
        <w:rPr>
          <w:rFonts w:hint="default" w:ascii="Times New Roman" w:hAnsi="Times New Roman" w:eastAsia="宋体" w:cs="Times New Roman"/>
          <w:color w:val="auto"/>
          <w:sz w:val="21"/>
          <w:szCs w:val="21"/>
          <w:highlight w:val="none"/>
        </w:rPr>
      </w:pPr>
    </w:p>
    <w:p w14:paraId="34A0B40F">
      <w:pPr>
        <w:spacing w:line="295" w:lineRule="auto"/>
        <w:rPr>
          <w:rFonts w:hint="default" w:ascii="Times New Roman" w:hAnsi="Times New Roman" w:eastAsia="宋体" w:cs="Times New Roman"/>
          <w:color w:val="auto"/>
          <w:sz w:val="21"/>
          <w:szCs w:val="21"/>
          <w:highlight w:val="none"/>
        </w:rPr>
      </w:pPr>
    </w:p>
    <w:p w14:paraId="27914241">
      <w:pPr>
        <w:pStyle w:val="16"/>
        <w:spacing w:before="79" w:line="344" w:lineRule="auto"/>
        <w:ind w:left="1920" w:right="130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供应商名称（公章</w:t>
      </w:r>
      <w:r>
        <w:rPr>
          <w:rFonts w:hint="default" w:ascii="Times New Roman" w:hAnsi="Times New Roman" w:eastAsia="宋体" w:cs="Times New Roman"/>
          <w:color w:val="auto"/>
          <w:spacing w:val="2"/>
          <w:sz w:val="21"/>
          <w:szCs w:val="21"/>
          <w:highlight w:val="none"/>
        </w:rPr>
        <w:t>）：</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 xml:space="preserve"> </w:t>
      </w:r>
      <w:r>
        <w:rPr>
          <w:rFonts w:hint="default" w:ascii="Times New Roman" w:hAnsi="Times New Roman" w:eastAsia="宋体" w:cs="Times New Roman"/>
          <w:color w:val="auto"/>
          <w:spacing w:val="-1"/>
          <w:sz w:val="21"/>
          <w:szCs w:val="21"/>
          <w:highlight w:val="none"/>
        </w:rPr>
        <w:t>法定代表人或被授权人(盖章或签字)：</w:t>
      </w:r>
      <w:r>
        <w:rPr>
          <w:rFonts w:hint="default" w:ascii="Times New Roman" w:hAnsi="Times New Roman" w:eastAsia="宋体" w:cs="Times New Roman"/>
          <w:color w:val="auto"/>
          <w:sz w:val="21"/>
          <w:szCs w:val="21"/>
          <w:highlight w:val="none"/>
          <w:u w:val="single" w:color="auto"/>
        </w:rPr>
        <w:t xml:space="preserve">          </w:t>
      </w:r>
    </w:p>
    <w:p w14:paraId="73E3835C">
      <w:pPr>
        <w:pStyle w:val="16"/>
        <w:spacing w:before="39" w:line="220" w:lineRule="auto"/>
        <w:ind w:left="1961"/>
        <w:rPr>
          <w:rFonts w:hint="default" w:ascii="Times New Roman" w:hAnsi="Times New Roman" w:eastAsia="宋体" w:cs="Times New Roman"/>
          <w:color w:val="auto"/>
          <w:spacing w:val="-13"/>
          <w:sz w:val="21"/>
          <w:szCs w:val="21"/>
          <w:highlight w:val="none"/>
        </w:rPr>
      </w:pPr>
      <w:r>
        <w:rPr>
          <w:rFonts w:hint="default" w:ascii="Times New Roman" w:hAnsi="Times New Roman" w:eastAsia="宋体" w:cs="Times New Roman"/>
          <w:color w:val="auto"/>
          <w:spacing w:val="-13"/>
          <w:sz w:val="21"/>
          <w:szCs w:val="21"/>
          <w:highlight w:val="none"/>
        </w:rPr>
        <w:t>日期：</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09"/>
          <w:sz w:val="21"/>
          <w:szCs w:val="21"/>
          <w:highlight w:val="none"/>
        </w:rPr>
        <w:t xml:space="preserve"> </w:t>
      </w:r>
      <w:r>
        <w:rPr>
          <w:rFonts w:hint="default" w:ascii="Times New Roman" w:hAnsi="Times New Roman" w:eastAsia="宋体" w:cs="Times New Roman"/>
          <w:color w:val="auto"/>
          <w:spacing w:val="-13"/>
          <w:sz w:val="21"/>
          <w:szCs w:val="21"/>
          <w:highlight w:val="none"/>
        </w:rPr>
        <w:t>年</w:t>
      </w:r>
      <w:r>
        <w:rPr>
          <w:rFonts w:hint="default" w:ascii="Times New Roman" w:hAnsi="Times New Roman" w:eastAsia="宋体" w:cs="Times New Roman"/>
          <w:color w:val="auto"/>
          <w:spacing w:val="39"/>
          <w:sz w:val="21"/>
          <w:szCs w:val="21"/>
          <w:highlight w:val="none"/>
          <w:u w:val="single" w:color="auto"/>
        </w:rPr>
        <w:t xml:space="preserve">   </w:t>
      </w:r>
      <w:r>
        <w:rPr>
          <w:rFonts w:hint="default" w:ascii="Times New Roman" w:hAnsi="Times New Roman" w:eastAsia="宋体" w:cs="Times New Roman"/>
          <w:color w:val="auto"/>
          <w:spacing w:val="-102"/>
          <w:sz w:val="21"/>
          <w:szCs w:val="21"/>
          <w:highlight w:val="none"/>
        </w:rPr>
        <w:t xml:space="preserve"> </w:t>
      </w:r>
      <w:r>
        <w:rPr>
          <w:rFonts w:hint="default" w:ascii="Times New Roman" w:hAnsi="Times New Roman" w:eastAsia="宋体" w:cs="Times New Roman"/>
          <w:color w:val="auto"/>
          <w:spacing w:val="-13"/>
          <w:sz w:val="21"/>
          <w:szCs w:val="21"/>
          <w:highlight w:val="none"/>
        </w:rPr>
        <w:t>月</w:t>
      </w:r>
      <w:r>
        <w:rPr>
          <w:rFonts w:hint="default" w:ascii="Times New Roman" w:hAnsi="Times New Roman" w:eastAsia="宋体" w:cs="Times New Roman"/>
          <w:color w:val="auto"/>
          <w:spacing w:val="39"/>
          <w:sz w:val="21"/>
          <w:szCs w:val="21"/>
          <w:highlight w:val="none"/>
          <w:u w:val="single" w:color="auto"/>
        </w:rPr>
        <w:t xml:space="preserve">   </w:t>
      </w:r>
      <w:r>
        <w:rPr>
          <w:rFonts w:hint="default" w:ascii="Times New Roman" w:hAnsi="Times New Roman" w:eastAsia="宋体" w:cs="Times New Roman"/>
          <w:color w:val="auto"/>
          <w:spacing w:val="-66"/>
          <w:sz w:val="21"/>
          <w:szCs w:val="21"/>
          <w:highlight w:val="none"/>
        </w:rPr>
        <w:t xml:space="preserve"> </w:t>
      </w:r>
      <w:r>
        <w:rPr>
          <w:rFonts w:hint="default" w:ascii="Times New Roman" w:hAnsi="Times New Roman" w:eastAsia="宋体" w:cs="Times New Roman"/>
          <w:color w:val="auto"/>
          <w:spacing w:val="-13"/>
          <w:sz w:val="21"/>
          <w:szCs w:val="21"/>
          <w:highlight w:val="none"/>
        </w:rPr>
        <w:t>日</w:t>
      </w:r>
    </w:p>
    <w:p w14:paraId="099B9CE1">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67241B3D">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25D4C152">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1317BE53">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2CECD6AF">
      <w:pPr>
        <w:rPr>
          <w:rFonts w:hint="default"/>
        </w:rPr>
      </w:pPr>
    </w:p>
    <w:p w14:paraId="25BE280F">
      <w:pPr>
        <w:rPr>
          <w:rFonts w:hint="default"/>
        </w:rPr>
      </w:pPr>
    </w:p>
    <w:p w14:paraId="508498FD">
      <w:pPr>
        <w:rPr>
          <w:rFonts w:hint="default"/>
        </w:rPr>
      </w:pPr>
    </w:p>
    <w:p w14:paraId="57CE9BC4">
      <w:pPr>
        <w:rPr>
          <w:rFonts w:hint="default"/>
        </w:rPr>
      </w:pPr>
    </w:p>
    <w:p w14:paraId="2DDFDA31">
      <w:pPr>
        <w:rPr>
          <w:rFonts w:hint="default"/>
        </w:rPr>
      </w:pPr>
    </w:p>
    <w:p w14:paraId="2DD75D9F">
      <w:pPr>
        <w:pStyle w:val="16"/>
        <w:spacing w:line="360" w:lineRule="auto"/>
        <w:rPr>
          <w:rFonts w:hint="default" w:ascii="Times New Roman" w:hAnsi="Times New Roman" w:cs="Times New Roman"/>
          <w:b/>
          <w:bCs/>
          <w:color w:val="auto"/>
          <w:sz w:val="28"/>
          <w:szCs w:val="28"/>
          <w:highlight w:val="none"/>
        </w:rPr>
      </w:pPr>
      <w:r>
        <w:rPr>
          <w:rFonts w:hint="default" w:ascii="宋体" w:hAnsi="宋体" w:eastAsia="宋体" w:cs="宋体"/>
          <w:color w:val="auto"/>
          <w:kern w:val="0"/>
          <w:sz w:val="21"/>
          <w:szCs w:val="21"/>
          <w:highlight w:val="none"/>
          <w:shd w:val="clear" w:color="auto" w:fill="FFFFFF"/>
        </w:rPr>
        <w:t>12、本项目为专门面向中小企业项目，供应商应为中小型、微型企业、监狱企业、残疾人福利性单位。</w:t>
      </w:r>
    </w:p>
    <w:p w14:paraId="3664CC26">
      <w:pPr>
        <w:pStyle w:val="16"/>
        <w:spacing w:line="360" w:lineRule="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附件1</w:t>
      </w:r>
    </w:p>
    <w:p w14:paraId="668BF376">
      <w:pPr>
        <w:spacing w:line="360" w:lineRule="auto"/>
        <w:jc w:val="center"/>
        <w:outlineLvl w:val="2"/>
        <w:rPr>
          <w:rFonts w:hint="default" w:ascii="Times New Roman" w:hAnsi="Times New Roman" w:eastAsia="宋体" w:cs="Times New Roman"/>
          <w:b/>
          <w:color w:val="auto"/>
          <w:spacing w:val="6"/>
          <w:sz w:val="32"/>
          <w:szCs w:val="32"/>
          <w:highlight w:val="none"/>
        </w:rPr>
      </w:pPr>
      <w:r>
        <w:rPr>
          <w:rFonts w:hint="default" w:ascii="Times New Roman" w:hAnsi="Times New Roman" w:eastAsia="宋体" w:cs="Times New Roman"/>
          <w:b/>
          <w:color w:val="auto"/>
          <w:spacing w:val="6"/>
          <w:sz w:val="32"/>
          <w:szCs w:val="32"/>
          <w:highlight w:val="none"/>
        </w:rPr>
        <w:t>中小企业声明函（</w:t>
      </w:r>
      <w:r>
        <w:rPr>
          <w:rFonts w:hint="default" w:ascii="Times New Roman" w:hAnsi="Times New Roman" w:eastAsia="宋体" w:cs="Times New Roman"/>
          <w:b/>
          <w:color w:val="auto"/>
          <w:spacing w:val="6"/>
          <w:sz w:val="32"/>
          <w:szCs w:val="32"/>
          <w:highlight w:val="none"/>
          <w:lang w:val="en-US" w:eastAsia="zh-CN"/>
        </w:rPr>
        <w:t>工程</w:t>
      </w:r>
      <w:r>
        <w:rPr>
          <w:rFonts w:hint="default" w:ascii="Times New Roman" w:hAnsi="Times New Roman" w:eastAsia="宋体" w:cs="Times New Roman"/>
          <w:b/>
          <w:color w:val="auto"/>
          <w:spacing w:val="6"/>
          <w:sz w:val="32"/>
          <w:szCs w:val="32"/>
          <w:highlight w:val="none"/>
        </w:rPr>
        <w:t>）</w:t>
      </w:r>
    </w:p>
    <w:p w14:paraId="32F6CB9B">
      <w:pPr>
        <w:pStyle w:val="16"/>
        <w:spacing w:before="55" w:after="0" w:line="360" w:lineRule="auto"/>
        <w:ind w:firstLine="640"/>
        <w:jc w:val="lef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本公司（联合体）郑重声明，根据《政府采购促进中小企业发展管理办法》（财库</w:t>
      </w:r>
      <w:r>
        <w:rPr>
          <w:rFonts w:hint="default" w:ascii="Times New Roman" w:hAnsi="Times New Roman" w:cs="Times New Roman"/>
          <w:color w:val="auto"/>
          <w:spacing w:val="-8"/>
          <w:sz w:val="24"/>
          <w:szCs w:val="24"/>
          <w:highlight w:val="none"/>
        </w:rPr>
        <w:t>〔2020〕</w:t>
      </w:r>
      <w:r>
        <w:rPr>
          <w:rFonts w:hint="default" w:ascii="Times New Roman" w:hAnsi="Times New Roman" w:cs="Times New Roman"/>
          <w:color w:val="auto"/>
          <w:spacing w:val="-2"/>
          <w:sz w:val="24"/>
          <w:szCs w:val="24"/>
          <w:highlight w:val="none"/>
        </w:rPr>
        <w:t>46 号）的规定，本公司（联合体）参加</w:t>
      </w:r>
      <w:r>
        <w:rPr>
          <w:rFonts w:hint="default" w:ascii="Times New Roman" w:hAnsi="Times New Roman" w:cs="Times New Roman"/>
          <w:color w:val="auto"/>
          <w:spacing w:val="-2"/>
          <w:sz w:val="24"/>
          <w:szCs w:val="24"/>
          <w:highlight w:val="none"/>
          <w:u w:val="single"/>
        </w:rPr>
        <w:t>（单位名称）</w:t>
      </w:r>
      <w:r>
        <w:rPr>
          <w:rFonts w:hint="default" w:ascii="Times New Roman" w:hAnsi="Times New Roman" w:cs="Times New Roman"/>
          <w:color w:val="auto"/>
          <w:spacing w:val="-2"/>
          <w:sz w:val="24"/>
          <w:szCs w:val="24"/>
          <w:highlight w:val="none"/>
        </w:rPr>
        <w:t>的</w:t>
      </w:r>
      <w:r>
        <w:rPr>
          <w:rFonts w:hint="default" w:ascii="Times New Roman" w:hAnsi="Times New Roman" w:cs="Times New Roman"/>
          <w:color w:val="auto"/>
          <w:spacing w:val="-2"/>
          <w:sz w:val="24"/>
          <w:szCs w:val="24"/>
          <w:highlight w:val="none"/>
          <w:u w:val="single"/>
        </w:rPr>
        <w:t>（项目名称）</w:t>
      </w:r>
      <w:r>
        <w:rPr>
          <w:rFonts w:hint="default" w:ascii="Times New Roman" w:hAnsi="Times New Roman" w:cs="Times New Roman"/>
          <w:color w:val="auto"/>
          <w:spacing w:val="-2"/>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E58929">
      <w:pPr>
        <w:pStyle w:val="145"/>
        <w:numPr>
          <w:ilvl w:val="0"/>
          <w:numId w:val="8"/>
        </w:numPr>
        <w:spacing w:line="360" w:lineRule="auto"/>
        <w:ind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u w:val="single"/>
          <w:lang w:val="zh-CN"/>
        </w:rPr>
        <w:t>（标的名称）</w:t>
      </w:r>
      <w:r>
        <w:rPr>
          <w:rFonts w:hint="default" w:ascii="Times New Roman" w:hAnsi="Times New Roman" w:cs="Times New Roman"/>
          <w:color w:val="auto"/>
          <w:szCs w:val="24"/>
          <w:highlight w:val="none"/>
        </w:rPr>
        <w:t>，属于</w:t>
      </w:r>
      <w:r>
        <w:rPr>
          <w:rFonts w:hint="default" w:ascii="Times New Roman" w:hAnsi="Times New Roman" w:cs="Times New Roman"/>
          <w:color w:val="auto"/>
          <w:szCs w:val="24"/>
          <w:highlight w:val="none"/>
          <w:u w:val="single"/>
          <w:lang w:val="zh-CN"/>
        </w:rPr>
        <w:t>（采购文件中明确的所属行业）</w:t>
      </w:r>
      <w:r>
        <w:rPr>
          <w:rFonts w:hint="default" w:ascii="Times New Roman" w:hAnsi="Times New Roman" w:cs="Times New Roman"/>
          <w:color w:val="auto"/>
          <w:szCs w:val="24"/>
          <w:highlight w:val="none"/>
          <w:lang w:val="zh-CN"/>
        </w:rPr>
        <w:t>；</w:t>
      </w:r>
      <w:r>
        <w:rPr>
          <w:rFonts w:hint="default" w:ascii="Times New Roman" w:hAnsi="Times New Roman" w:cs="Times New Roman"/>
          <w:color w:val="auto"/>
          <w:szCs w:val="24"/>
          <w:highlight w:val="none"/>
        </w:rPr>
        <w:t>承接企业为</w:t>
      </w:r>
      <w:r>
        <w:rPr>
          <w:rFonts w:hint="default" w:ascii="Times New Roman" w:hAnsi="Times New Roman" w:cs="Times New Roman"/>
          <w:color w:val="auto"/>
          <w:szCs w:val="24"/>
          <w:highlight w:val="none"/>
          <w:u w:val="single"/>
        </w:rPr>
        <w:t>（企业名称）</w:t>
      </w:r>
      <w:r>
        <w:rPr>
          <w:rFonts w:hint="default" w:ascii="Times New Roman" w:hAnsi="Times New Roman" w:cs="Times New Roman"/>
          <w:color w:val="auto"/>
          <w:szCs w:val="24"/>
          <w:highlight w:val="none"/>
        </w:rPr>
        <w:t>，从业人员</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人，营业收入为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万元，资产总额为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rPr>
        <w:t>万元，属于</w:t>
      </w:r>
      <w:r>
        <w:rPr>
          <w:rFonts w:hint="default" w:ascii="Times New Roman" w:hAnsi="Times New Roman" w:cs="Times New Roman"/>
          <w:color w:val="auto"/>
          <w:szCs w:val="24"/>
          <w:highlight w:val="none"/>
          <w:u w:val="single"/>
        </w:rPr>
        <w:t>（中型企业、小型企业、微型企业）</w:t>
      </w:r>
      <w:r>
        <w:rPr>
          <w:rFonts w:hint="default" w:ascii="Times New Roman" w:hAnsi="Times New Roman" w:cs="Times New Roman"/>
          <w:color w:val="auto"/>
          <w:szCs w:val="24"/>
          <w:highlight w:val="none"/>
        </w:rPr>
        <w:t>；</w:t>
      </w:r>
    </w:p>
    <w:p w14:paraId="79FDC4EB">
      <w:pPr>
        <w:pStyle w:val="145"/>
        <w:numPr>
          <w:ilvl w:val="0"/>
          <w:numId w:val="8"/>
        </w:numPr>
        <w:spacing w:line="360" w:lineRule="auto"/>
        <w:ind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u w:val="single"/>
          <w:lang w:val="zh-CN"/>
        </w:rPr>
        <w:t>（标的名称）</w:t>
      </w:r>
      <w:r>
        <w:rPr>
          <w:rFonts w:hint="default" w:ascii="Times New Roman" w:hAnsi="Times New Roman" w:cs="Times New Roman"/>
          <w:color w:val="auto"/>
          <w:szCs w:val="24"/>
          <w:highlight w:val="none"/>
        </w:rPr>
        <w:t>，属于</w:t>
      </w:r>
      <w:r>
        <w:rPr>
          <w:rFonts w:hint="default" w:ascii="Times New Roman" w:hAnsi="Times New Roman" w:cs="Times New Roman"/>
          <w:color w:val="auto"/>
          <w:szCs w:val="24"/>
          <w:highlight w:val="none"/>
          <w:u w:val="single"/>
          <w:lang w:val="zh-CN"/>
        </w:rPr>
        <w:t>（采购文件中明确的所属行业）</w:t>
      </w:r>
      <w:r>
        <w:rPr>
          <w:rFonts w:hint="default" w:ascii="Times New Roman" w:hAnsi="Times New Roman" w:cs="Times New Roman"/>
          <w:color w:val="auto"/>
          <w:szCs w:val="24"/>
          <w:highlight w:val="none"/>
          <w:lang w:val="zh-CN"/>
        </w:rPr>
        <w:t>；</w:t>
      </w:r>
      <w:r>
        <w:rPr>
          <w:rFonts w:hint="default" w:ascii="Times New Roman" w:hAnsi="Times New Roman" w:cs="Times New Roman"/>
          <w:color w:val="auto"/>
          <w:szCs w:val="24"/>
          <w:highlight w:val="none"/>
        </w:rPr>
        <w:t>承建（承接）企业为</w:t>
      </w:r>
      <w:r>
        <w:rPr>
          <w:rFonts w:hint="default" w:ascii="Times New Roman" w:hAnsi="Times New Roman" w:cs="Times New Roman"/>
          <w:color w:val="auto"/>
          <w:szCs w:val="24"/>
          <w:highlight w:val="none"/>
          <w:u w:val="single"/>
        </w:rPr>
        <w:t>（企业名称）</w:t>
      </w:r>
      <w:r>
        <w:rPr>
          <w:rFonts w:hint="default" w:ascii="Times New Roman" w:hAnsi="Times New Roman" w:cs="Times New Roman"/>
          <w:color w:val="auto"/>
          <w:szCs w:val="24"/>
          <w:highlight w:val="none"/>
        </w:rPr>
        <w:t>，从业人员</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人，营业收入为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万元，资产总额为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rPr>
        <w:t>万元，属于</w:t>
      </w:r>
      <w:r>
        <w:rPr>
          <w:rFonts w:hint="default" w:ascii="Times New Roman" w:hAnsi="Times New Roman" w:cs="Times New Roman"/>
          <w:color w:val="auto"/>
          <w:szCs w:val="24"/>
          <w:highlight w:val="none"/>
          <w:u w:val="single"/>
        </w:rPr>
        <w:t>（中型企业、小型企业、微型企业）</w:t>
      </w:r>
      <w:r>
        <w:rPr>
          <w:rFonts w:hint="default" w:ascii="Times New Roman" w:hAnsi="Times New Roman" w:cs="Times New Roman"/>
          <w:color w:val="auto"/>
          <w:szCs w:val="24"/>
          <w:highlight w:val="none"/>
        </w:rPr>
        <w:t>；</w:t>
      </w:r>
    </w:p>
    <w:p w14:paraId="7D3392F6">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w:t>
      </w:r>
    </w:p>
    <w:p w14:paraId="5EA68AF5">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以上企业，不属于大企业的分支机构，不存在控股股东为大企业的情形，也不存在与大企业的负责人为同一人的情形。</w:t>
      </w:r>
    </w:p>
    <w:p w14:paraId="23EDF7A1">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本企业对上述声明内容的真实性负责。如有虚假，将依法承担相应责任。</w:t>
      </w:r>
    </w:p>
    <w:p w14:paraId="41CDF4DF">
      <w:pPr>
        <w:pStyle w:val="145"/>
        <w:spacing w:line="360" w:lineRule="auto"/>
        <w:ind w:firstLine="480"/>
        <w:rPr>
          <w:rFonts w:hint="default" w:ascii="Times New Roman" w:hAnsi="Times New Roman" w:cs="Times New Roman"/>
          <w:color w:val="auto"/>
          <w:szCs w:val="24"/>
          <w:highlight w:val="none"/>
        </w:rPr>
      </w:pPr>
    </w:p>
    <w:p w14:paraId="57E01DFF">
      <w:pPr>
        <w:pStyle w:val="145"/>
        <w:spacing w:line="360" w:lineRule="auto"/>
        <w:ind w:firstLine="3990" w:firstLineChars="1900"/>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企业名称（盖章）：</w:t>
      </w:r>
    </w:p>
    <w:p w14:paraId="1A165B63">
      <w:pPr>
        <w:pStyle w:val="145"/>
        <w:spacing w:line="360" w:lineRule="auto"/>
        <w:ind w:firstLine="3990" w:firstLineChars="1900"/>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日    期：</w:t>
      </w:r>
    </w:p>
    <w:p w14:paraId="4C4033A5">
      <w:pPr>
        <w:pStyle w:val="145"/>
        <w:spacing w:line="360" w:lineRule="auto"/>
        <w:ind w:firstLine="480"/>
        <w:rPr>
          <w:rFonts w:hint="default" w:ascii="Times New Roman" w:hAnsi="Times New Roman" w:cs="Times New Roman"/>
          <w:color w:val="auto"/>
          <w:szCs w:val="24"/>
          <w:highlight w:val="none"/>
        </w:rPr>
      </w:pPr>
    </w:p>
    <w:p w14:paraId="67447CC6">
      <w:pPr>
        <w:pStyle w:val="145"/>
        <w:spacing w:line="360" w:lineRule="auto"/>
        <w:ind w:left="720" w:hanging="630" w:hangingChars="300"/>
        <w:rPr>
          <w:rFonts w:hint="default" w:ascii="Times New Roman" w:hAnsi="Times New Roman" w:cs="Times New Roman"/>
          <w:color w:val="auto"/>
          <w:spacing w:val="-8"/>
          <w:szCs w:val="24"/>
          <w:highlight w:val="none"/>
        </w:rPr>
      </w:pPr>
      <w:r>
        <w:rPr>
          <w:rFonts w:hint="default" w:ascii="Times New Roman" w:hAnsi="Times New Roman" w:cs="Times New Roman"/>
          <w:color w:val="auto"/>
          <w:szCs w:val="24"/>
          <w:highlight w:val="none"/>
        </w:rPr>
        <w:t>备注：1、</w:t>
      </w:r>
      <w:r>
        <w:rPr>
          <w:rFonts w:hint="default" w:ascii="Times New Roman" w:hAnsi="Times New Roman" w:cs="Times New Roman"/>
          <w:color w:val="auto"/>
          <w:spacing w:val="-8"/>
          <w:szCs w:val="24"/>
          <w:highlight w:val="none"/>
        </w:rPr>
        <w:t>中小企业参加政府采购活动，应当按照《政府采购促进中小企业发展管理办法》（财库〔2020〕46号）规定和《中小企业划型标准规定》（工信部联企业〔2011〕300号），如实填写并提交本《中小企业声明函》。</w:t>
      </w:r>
    </w:p>
    <w:p w14:paraId="72CB2FB4">
      <w:pPr>
        <w:pStyle w:val="145"/>
        <w:spacing w:line="360" w:lineRule="auto"/>
        <w:ind w:left="480" w:firstLine="0" w:firstLineChars="0"/>
        <w:rPr>
          <w:rFonts w:hint="default" w:ascii="Times New Roman" w:hAnsi="Times New Roman" w:cs="Times New Roman"/>
          <w:color w:val="auto"/>
          <w:spacing w:val="-8"/>
          <w:szCs w:val="24"/>
          <w:highlight w:val="none"/>
        </w:rPr>
      </w:pPr>
      <w:r>
        <w:rPr>
          <w:rFonts w:hint="default" w:ascii="Times New Roman" w:hAnsi="Times New Roman" w:cs="Times New Roman"/>
          <w:color w:val="auto"/>
          <w:spacing w:val="-8"/>
          <w:szCs w:val="24"/>
          <w:highlight w:val="none"/>
        </w:rPr>
        <w:t>2、从业人员、营业收入、资产总额填报上一年度数据，无上一年度数据的新成立企业可不填报。</w:t>
      </w:r>
    </w:p>
    <w:p w14:paraId="5BA33391">
      <w:pPr>
        <w:spacing w:before="100" w:after="156" w:afterLines="50" w:line="360" w:lineRule="auto"/>
        <w:outlineLvl w:val="2"/>
        <w:rPr>
          <w:rFonts w:hint="default" w:ascii="Times New Roman" w:hAnsi="Times New Roman" w:cs="Times New Roman"/>
          <w:b/>
          <w:bCs/>
          <w:color w:val="auto"/>
          <w:spacing w:val="6"/>
          <w:sz w:val="30"/>
          <w:szCs w:val="30"/>
          <w:highlight w:val="none"/>
        </w:rPr>
      </w:pPr>
    </w:p>
    <w:p w14:paraId="1294D2DA">
      <w:pPr>
        <w:spacing w:before="100" w:after="156" w:afterLines="50" w:line="360" w:lineRule="auto"/>
        <w:outlineLvl w:val="2"/>
        <w:rPr>
          <w:rFonts w:hint="default" w:ascii="Times New Roman" w:hAnsi="Times New Roman" w:cs="Times New Roman"/>
          <w:b/>
          <w:bCs/>
          <w:color w:val="auto"/>
          <w:spacing w:val="6"/>
          <w:sz w:val="30"/>
          <w:szCs w:val="30"/>
          <w:highlight w:val="none"/>
        </w:rPr>
      </w:pPr>
      <w:r>
        <w:rPr>
          <w:rFonts w:hint="default" w:ascii="Times New Roman" w:hAnsi="Times New Roman" w:cs="Times New Roman"/>
          <w:b/>
          <w:bCs/>
          <w:color w:val="auto"/>
          <w:spacing w:val="6"/>
          <w:sz w:val="30"/>
          <w:szCs w:val="30"/>
          <w:highlight w:val="none"/>
        </w:rPr>
        <w:t>附件2</w:t>
      </w:r>
    </w:p>
    <w:p w14:paraId="3712D9C8">
      <w:pPr>
        <w:spacing w:line="360" w:lineRule="auto"/>
        <w:jc w:val="center"/>
        <w:outlineLvl w:val="2"/>
        <w:rPr>
          <w:rFonts w:hint="default" w:ascii="Times New Roman" w:hAnsi="Times New Roman" w:eastAsia="宋体" w:cs="Times New Roman"/>
          <w:b/>
          <w:color w:val="auto"/>
          <w:spacing w:val="6"/>
          <w:sz w:val="32"/>
          <w:szCs w:val="32"/>
          <w:highlight w:val="none"/>
          <w:lang w:eastAsia="zh-CN"/>
        </w:rPr>
      </w:pPr>
      <w:r>
        <w:rPr>
          <w:rFonts w:hint="default" w:ascii="Times New Roman" w:hAnsi="Times New Roman" w:cs="Times New Roman"/>
          <w:b/>
          <w:color w:val="auto"/>
          <w:spacing w:val="6"/>
          <w:sz w:val="32"/>
          <w:szCs w:val="32"/>
          <w:highlight w:val="none"/>
        </w:rPr>
        <w:t>残疾人福利性单位声明函</w:t>
      </w:r>
      <w:r>
        <w:rPr>
          <w:rFonts w:hint="default" w:ascii="Times New Roman" w:hAnsi="Times New Roman" w:cs="Times New Roman"/>
          <w:b/>
          <w:color w:val="auto"/>
          <w:spacing w:val="6"/>
          <w:sz w:val="32"/>
          <w:szCs w:val="32"/>
          <w:highlight w:val="none"/>
          <w:lang w:eastAsia="zh-CN"/>
        </w:rPr>
        <w:t>（</w:t>
      </w:r>
      <w:r>
        <w:rPr>
          <w:rFonts w:hint="default" w:ascii="Times New Roman" w:hAnsi="Times New Roman" w:cs="Times New Roman"/>
          <w:b/>
          <w:color w:val="auto"/>
          <w:spacing w:val="6"/>
          <w:sz w:val="32"/>
          <w:szCs w:val="32"/>
          <w:highlight w:val="none"/>
          <w:lang w:val="en-US" w:eastAsia="zh-CN"/>
        </w:rPr>
        <w:t>如是</w:t>
      </w:r>
      <w:r>
        <w:rPr>
          <w:rFonts w:hint="default" w:ascii="Times New Roman" w:hAnsi="Times New Roman" w:cs="Times New Roman"/>
          <w:b/>
          <w:color w:val="auto"/>
          <w:spacing w:val="6"/>
          <w:sz w:val="32"/>
          <w:szCs w:val="32"/>
          <w:highlight w:val="none"/>
          <w:lang w:eastAsia="zh-CN"/>
        </w:rPr>
        <w:t>）</w:t>
      </w:r>
    </w:p>
    <w:p w14:paraId="76E61B82">
      <w:pPr>
        <w:spacing w:line="360" w:lineRule="auto"/>
        <w:rPr>
          <w:rFonts w:hint="default" w:ascii="Times New Roman" w:hAnsi="Times New Roman" w:cs="Times New Roman"/>
          <w:b/>
          <w:color w:val="auto"/>
          <w:spacing w:val="6"/>
          <w:sz w:val="30"/>
          <w:szCs w:val="30"/>
          <w:highlight w:val="none"/>
        </w:rPr>
      </w:pPr>
    </w:p>
    <w:p w14:paraId="6F051747">
      <w:pPr>
        <w:spacing w:line="360" w:lineRule="auto"/>
        <w:ind w:firstLine="444" w:firstLineChars="200"/>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本单位郑重声明，根据《财政部 民政部 中国残疾人联合会关于促进残疾人就业政府采购政策的通知》（财库</w:t>
      </w:r>
      <w:r>
        <w:rPr>
          <w:rFonts w:hint="default" w:ascii="Times New Roman" w:hAnsi="Times New Roman" w:cs="Times New Roman"/>
          <w:color w:val="auto"/>
          <w:szCs w:val="24"/>
          <w:highlight w:val="none"/>
        </w:rPr>
        <w:t>〔2017〕 141</w:t>
      </w:r>
      <w:r>
        <w:rPr>
          <w:rFonts w:hint="default" w:ascii="Times New Roman" w:hAnsi="Times New Roman" w:cs="Times New Roman"/>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B808B7">
      <w:pPr>
        <w:spacing w:line="360" w:lineRule="auto"/>
        <w:ind w:firstLine="444" w:firstLineChars="200"/>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本单位对上述声明的真实性负责。如有虚假，将依法承担相应责任。</w:t>
      </w:r>
    </w:p>
    <w:p w14:paraId="456495A3">
      <w:pPr>
        <w:spacing w:line="360" w:lineRule="auto"/>
        <w:ind w:firstLine="444" w:firstLineChars="200"/>
        <w:rPr>
          <w:rFonts w:hint="default" w:ascii="Times New Roman" w:hAnsi="Times New Roman" w:cs="Times New Roman"/>
          <w:color w:val="auto"/>
          <w:spacing w:val="6"/>
          <w:szCs w:val="24"/>
          <w:highlight w:val="none"/>
        </w:rPr>
      </w:pPr>
    </w:p>
    <w:p w14:paraId="2DAFC13B">
      <w:pPr>
        <w:spacing w:line="360" w:lineRule="auto"/>
        <w:ind w:firstLine="444" w:firstLineChars="200"/>
        <w:rPr>
          <w:rFonts w:hint="default" w:ascii="Times New Roman" w:hAnsi="Times New Roman" w:cs="Times New Roman"/>
          <w:color w:val="auto"/>
          <w:spacing w:val="6"/>
          <w:szCs w:val="24"/>
          <w:highlight w:val="none"/>
        </w:rPr>
      </w:pPr>
    </w:p>
    <w:p w14:paraId="68C01093">
      <w:pPr>
        <w:spacing w:line="360" w:lineRule="auto"/>
        <w:ind w:firstLine="444" w:firstLineChars="200"/>
        <w:rPr>
          <w:rFonts w:hint="default" w:ascii="Times New Roman" w:hAnsi="Times New Roman" w:cs="Times New Roman"/>
          <w:color w:val="auto"/>
          <w:spacing w:val="6"/>
          <w:szCs w:val="24"/>
          <w:highlight w:val="none"/>
        </w:rPr>
      </w:pPr>
    </w:p>
    <w:p w14:paraId="3D3F950C">
      <w:pPr>
        <w:spacing w:line="360" w:lineRule="auto"/>
        <w:ind w:firstLine="444" w:firstLineChars="200"/>
        <w:rPr>
          <w:rFonts w:hint="default" w:ascii="Times New Roman" w:hAnsi="Times New Roman" w:cs="Times New Roman"/>
          <w:color w:val="auto"/>
          <w:spacing w:val="6"/>
          <w:szCs w:val="24"/>
          <w:highlight w:val="none"/>
        </w:rPr>
      </w:pPr>
    </w:p>
    <w:p w14:paraId="7A00C18E">
      <w:pPr>
        <w:tabs>
          <w:tab w:val="left" w:pos="4860"/>
        </w:tabs>
        <w:spacing w:line="360" w:lineRule="auto"/>
        <w:ind w:right="1560" w:firstLine="444" w:firstLineChars="200"/>
        <w:jc w:val="center"/>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 xml:space="preserve">               单位名称（盖章）：</w:t>
      </w:r>
    </w:p>
    <w:p w14:paraId="3D4FF385">
      <w:pPr>
        <w:tabs>
          <w:tab w:val="left" w:pos="4860"/>
        </w:tabs>
        <w:spacing w:line="360" w:lineRule="auto"/>
        <w:ind w:right="1560" w:firstLine="444" w:firstLineChars="200"/>
        <w:jc w:val="center"/>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 xml:space="preserve">       日    期：</w:t>
      </w:r>
    </w:p>
    <w:p w14:paraId="57B47807">
      <w:pPr>
        <w:pStyle w:val="16"/>
        <w:spacing w:line="360" w:lineRule="auto"/>
        <w:rPr>
          <w:rFonts w:hint="default" w:ascii="Times New Roman" w:hAnsi="Times New Roman" w:cs="Times New Roman"/>
          <w:b/>
          <w:bCs/>
          <w:color w:val="auto"/>
          <w:spacing w:val="6"/>
          <w:kern w:val="0"/>
          <w:sz w:val="30"/>
          <w:szCs w:val="30"/>
          <w:highlight w:val="none"/>
        </w:rPr>
      </w:pPr>
    </w:p>
    <w:p w14:paraId="5CA9A1CA">
      <w:pPr>
        <w:spacing w:line="360" w:lineRule="auto"/>
        <w:ind w:firstLine="420" w:firstLineChars="20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备注：符合条件的残疾人福利性单位在参加政府采购活动时，应当提供《残疾人福利性单位声明函》，并对声明的真实性负责；非残疾人福利性单位无需提供。</w:t>
      </w:r>
    </w:p>
    <w:p w14:paraId="62A0484C">
      <w:pPr>
        <w:pStyle w:val="16"/>
        <w:spacing w:line="360" w:lineRule="auto"/>
        <w:rPr>
          <w:rFonts w:hint="default" w:ascii="Times New Roman" w:hAnsi="Times New Roman" w:cs="Times New Roman"/>
          <w:b/>
          <w:bCs/>
          <w:color w:val="auto"/>
          <w:spacing w:val="6"/>
          <w:kern w:val="0"/>
          <w:sz w:val="30"/>
          <w:szCs w:val="30"/>
          <w:highlight w:val="none"/>
        </w:rPr>
      </w:pPr>
    </w:p>
    <w:p w14:paraId="3487F22D">
      <w:pPr>
        <w:pStyle w:val="16"/>
        <w:spacing w:line="360" w:lineRule="auto"/>
        <w:rPr>
          <w:rFonts w:hint="default" w:ascii="Times New Roman" w:hAnsi="Times New Roman" w:cs="Times New Roman"/>
          <w:b/>
          <w:bCs/>
          <w:color w:val="auto"/>
          <w:spacing w:val="6"/>
          <w:kern w:val="0"/>
          <w:sz w:val="30"/>
          <w:szCs w:val="30"/>
          <w:highlight w:val="none"/>
        </w:rPr>
      </w:pPr>
    </w:p>
    <w:p w14:paraId="36578299">
      <w:pPr>
        <w:pStyle w:val="16"/>
        <w:spacing w:line="360" w:lineRule="auto"/>
        <w:rPr>
          <w:rFonts w:hint="default" w:ascii="Times New Roman" w:hAnsi="Times New Roman" w:cs="Times New Roman"/>
          <w:b/>
          <w:bCs/>
          <w:color w:val="auto"/>
          <w:spacing w:val="6"/>
          <w:kern w:val="0"/>
          <w:sz w:val="30"/>
          <w:szCs w:val="30"/>
          <w:highlight w:val="none"/>
        </w:rPr>
      </w:pPr>
    </w:p>
    <w:p w14:paraId="422A12F2">
      <w:pPr>
        <w:pStyle w:val="16"/>
        <w:spacing w:line="360" w:lineRule="auto"/>
        <w:rPr>
          <w:rFonts w:hint="default" w:ascii="Times New Roman" w:hAnsi="Times New Roman" w:cs="Times New Roman"/>
          <w:b/>
          <w:bCs/>
          <w:color w:val="auto"/>
          <w:spacing w:val="6"/>
          <w:kern w:val="0"/>
          <w:sz w:val="30"/>
          <w:szCs w:val="30"/>
          <w:highlight w:val="none"/>
        </w:rPr>
      </w:pPr>
    </w:p>
    <w:p w14:paraId="0AA29E90">
      <w:pPr>
        <w:pStyle w:val="16"/>
        <w:spacing w:line="360" w:lineRule="auto"/>
        <w:rPr>
          <w:rFonts w:hint="default" w:ascii="Times New Roman" w:hAnsi="Times New Roman" w:cs="Times New Roman"/>
          <w:b/>
          <w:bCs/>
          <w:color w:val="auto"/>
          <w:spacing w:val="6"/>
          <w:kern w:val="0"/>
          <w:sz w:val="30"/>
          <w:szCs w:val="30"/>
          <w:highlight w:val="none"/>
        </w:rPr>
      </w:pPr>
    </w:p>
    <w:p w14:paraId="09BAB1AB">
      <w:pPr>
        <w:rPr>
          <w:rFonts w:hint="default" w:ascii="Times New Roman" w:hAnsi="Times New Roman" w:cs="Times New Roman"/>
          <w:b/>
          <w:bCs/>
          <w:color w:val="auto"/>
          <w:spacing w:val="6"/>
          <w:sz w:val="30"/>
          <w:szCs w:val="30"/>
          <w:highlight w:val="none"/>
        </w:rPr>
      </w:pPr>
    </w:p>
    <w:p w14:paraId="2540CBA3">
      <w:pPr>
        <w:rPr>
          <w:rFonts w:hint="default" w:ascii="Times New Roman" w:hAnsi="Times New Roman" w:cs="Times New Roman"/>
          <w:b/>
          <w:bCs/>
          <w:color w:val="auto"/>
          <w:spacing w:val="6"/>
          <w:sz w:val="30"/>
          <w:szCs w:val="30"/>
          <w:highlight w:val="none"/>
        </w:rPr>
      </w:pPr>
    </w:p>
    <w:p w14:paraId="71641D6F">
      <w:pPr>
        <w:pStyle w:val="48"/>
        <w:rPr>
          <w:rFonts w:hint="default" w:ascii="Times New Roman" w:hAnsi="Times New Roman" w:cs="Times New Roman"/>
          <w:color w:val="auto"/>
          <w:highlight w:val="none"/>
        </w:rPr>
      </w:pPr>
    </w:p>
    <w:p w14:paraId="7C389EA4">
      <w:pPr>
        <w:pStyle w:val="16"/>
        <w:spacing w:line="360" w:lineRule="auto"/>
        <w:rPr>
          <w:rFonts w:hint="default" w:ascii="Times New Roman" w:hAnsi="Times New Roman" w:cs="Times New Roman"/>
          <w:b/>
          <w:bCs/>
          <w:color w:val="auto"/>
          <w:spacing w:val="6"/>
          <w:kern w:val="0"/>
          <w:sz w:val="30"/>
          <w:szCs w:val="30"/>
          <w:highlight w:val="none"/>
        </w:rPr>
      </w:pPr>
      <w:r>
        <w:rPr>
          <w:rFonts w:hint="default" w:ascii="Times New Roman" w:hAnsi="Times New Roman" w:cs="Times New Roman"/>
          <w:b/>
          <w:bCs/>
          <w:color w:val="auto"/>
          <w:spacing w:val="6"/>
          <w:kern w:val="0"/>
          <w:sz w:val="30"/>
          <w:szCs w:val="30"/>
          <w:highlight w:val="none"/>
        </w:rPr>
        <w:t>附件3</w:t>
      </w:r>
    </w:p>
    <w:p w14:paraId="342DCF4C">
      <w:pPr>
        <w:spacing w:line="360" w:lineRule="auto"/>
        <w:ind w:firstLine="643" w:firstLineChars="20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cs="Times New Roman"/>
          <w:b/>
          <w:bCs/>
          <w:color w:val="auto"/>
          <w:sz w:val="32"/>
          <w:szCs w:val="32"/>
          <w:highlight w:val="none"/>
        </w:rPr>
        <w:t>监狱企业证明文件</w:t>
      </w:r>
      <w:r>
        <w:rPr>
          <w:rFonts w:hint="default" w:ascii="Times New Roman" w:hAnsi="Times New Roman" w:cs="Times New Roman"/>
          <w:b/>
          <w:bCs/>
          <w:color w:val="auto"/>
          <w:sz w:val="32"/>
          <w:szCs w:val="32"/>
          <w:highlight w:val="none"/>
          <w:lang w:eastAsia="zh-CN"/>
        </w:rPr>
        <w:t>（</w:t>
      </w:r>
      <w:r>
        <w:rPr>
          <w:rFonts w:hint="default" w:ascii="Times New Roman" w:hAnsi="Times New Roman" w:cs="Times New Roman"/>
          <w:b/>
          <w:bCs/>
          <w:color w:val="auto"/>
          <w:sz w:val="32"/>
          <w:szCs w:val="32"/>
          <w:highlight w:val="none"/>
          <w:lang w:val="en-US" w:eastAsia="zh-CN"/>
        </w:rPr>
        <w:t>如是</w:t>
      </w:r>
      <w:r>
        <w:rPr>
          <w:rFonts w:hint="default" w:ascii="Times New Roman" w:hAnsi="Times New Roman" w:cs="Times New Roman"/>
          <w:b/>
          <w:bCs/>
          <w:color w:val="auto"/>
          <w:sz w:val="32"/>
          <w:szCs w:val="32"/>
          <w:highlight w:val="none"/>
          <w:lang w:eastAsia="zh-CN"/>
        </w:rPr>
        <w:t>）</w:t>
      </w:r>
    </w:p>
    <w:p w14:paraId="2D72C204">
      <w:pPr>
        <w:pStyle w:val="16"/>
        <w:spacing w:line="360" w:lineRule="auto"/>
        <w:rPr>
          <w:rFonts w:hint="default" w:ascii="Times New Roman" w:hAnsi="Times New Roman" w:cs="Times New Roman"/>
          <w:color w:val="auto"/>
          <w:highlight w:val="none"/>
        </w:rPr>
      </w:pPr>
    </w:p>
    <w:p w14:paraId="7F515CE2">
      <w:pPr>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B150DC">
      <w:pPr>
        <w:spacing w:line="360" w:lineRule="auto"/>
        <w:ind w:firstLine="422" w:firstLineChars="20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监狱企业参加政府采购活动时，应当提供由省级以上监狱管理局、戒毒管理局（含新疆生产建设兵团）出具的属于监狱企业的证明文件</w:t>
      </w:r>
      <w:r>
        <w:rPr>
          <w:rFonts w:hint="default" w:ascii="Times New Roman" w:hAnsi="Times New Roman" w:cs="Times New Roman"/>
          <w:b/>
          <w:bCs/>
          <w:color w:val="auto"/>
          <w:szCs w:val="24"/>
          <w:highlight w:val="none"/>
        </w:rPr>
        <w:t>，</w:t>
      </w:r>
      <w:r>
        <w:rPr>
          <w:rFonts w:hint="default" w:ascii="Times New Roman" w:hAnsi="Times New Roman" w:cs="Times New Roman"/>
          <w:b/>
          <w:bCs/>
          <w:color w:val="auto"/>
          <w:highlight w:val="none"/>
        </w:rPr>
        <w:t>非监狱企业无需提供。</w:t>
      </w:r>
    </w:p>
    <w:p w14:paraId="2FB1FE3C">
      <w:pPr>
        <w:rPr>
          <w:rFonts w:hint="default"/>
        </w:rPr>
      </w:pPr>
    </w:p>
    <w:p w14:paraId="493DACEF">
      <w:pPr>
        <w:rPr>
          <w:rFonts w:hint="default"/>
        </w:rPr>
      </w:pPr>
    </w:p>
    <w:p w14:paraId="68D20188">
      <w:pPr>
        <w:rPr>
          <w:rFonts w:hint="default"/>
        </w:rPr>
      </w:pPr>
    </w:p>
    <w:p w14:paraId="34C18674">
      <w:pPr>
        <w:bidi w:val="0"/>
        <w:spacing w:before="240" w:line="440" w:lineRule="exact"/>
        <w:ind w:left="359" w:leftChars="171"/>
        <w:jc w:val="both"/>
        <w:outlineLvl w:val="0"/>
        <w:rPr>
          <w:rFonts w:hint="default" w:ascii="Times New Roman" w:hAnsi="Times New Roman" w:eastAsia="宋体" w:cs="Times New Roman"/>
          <w:b w:val="0"/>
          <w:bCs/>
          <w:color w:val="auto"/>
          <w:kern w:val="2"/>
          <w:sz w:val="10"/>
          <w:szCs w:val="10"/>
          <w:highlight w:val="none"/>
          <w:lang w:val="en-US" w:eastAsia="zh-CN" w:bidi="ar-SA"/>
        </w:rPr>
      </w:pPr>
    </w:p>
    <w:p w14:paraId="5710344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89D697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78CC37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7C8D7E67">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2106152">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5D69A780">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35D04AF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0CD15BD">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A5B456D">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5EDACFEE">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14A096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9D3AE8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1760896">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D9E37A6">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4EE4C48A">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1F41113">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65250B8A">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rPr>
        <w:t>13、</w:t>
      </w:r>
      <w:r>
        <w:rPr>
          <w:rFonts w:hint="eastAsia" w:ascii="宋体" w:hAnsi="宋体" w:eastAsia="宋体" w:cs="宋体"/>
          <w:color w:val="auto"/>
          <w:sz w:val="21"/>
          <w:szCs w:val="21"/>
          <w:highlight w:val="none"/>
          <w:lang w:val="en-US" w:eastAsia="zh-CN"/>
        </w:rPr>
        <w:t>本项目不接受联合体磋商</w:t>
      </w:r>
      <w:r>
        <w:rPr>
          <w:rFonts w:hint="eastAsia" w:ascii="宋体" w:hAnsi="宋体" w:eastAsia="宋体" w:cs="宋体"/>
          <w:color w:val="auto"/>
          <w:kern w:val="0"/>
          <w:sz w:val="21"/>
          <w:szCs w:val="21"/>
          <w:highlight w:val="none"/>
          <w:shd w:val="clear" w:color="auto" w:fill="FFFFFF"/>
        </w:rPr>
        <w:t>。</w:t>
      </w:r>
    </w:p>
    <w:p w14:paraId="7A760E0C">
      <w:pPr>
        <w:bidi w:val="0"/>
        <w:spacing w:before="240" w:line="440" w:lineRule="exact"/>
        <w:ind w:left="359" w:leftChars="171"/>
        <w:jc w:val="both"/>
        <w:outlineLvl w:val="0"/>
        <w:rPr>
          <w:rFonts w:hint="default" w:ascii="Times New Roman" w:hAnsi="Times New Roman" w:eastAsia="宋体" w:cs="Times New Roman"/>
          <w:b/>
          <w:bCs w:val="0"/>
          <w:color w:val="auto"/>
          <w:kern w:val="2"/>
          <w:sz w:val="21"/>
          <w:szCs w:val="21"/>
          <w:highlight w:val="none"/>
          <w:lang w:val="en-US" w:eastAsia="zh-CN" w:bidi="ar-SA"/>
        </w:rPr>
      </w:pPr>
      <w:bookmarkStart w:id="579" w:name="_Toc32209"/>
      <w:r>
        <w:rPr>
          <w:rFonts w:hint="default" w:ascii="Times New Roman" w:hAnsi="Times New Roman" w:eastAsia="宋体" w:cs="Times New Roman"/>
          <w:b w:val="0"/>
          <w:bCs/>
          <w:color w:val="auto"/>
          <w:kern w:val="2"/>
          <w:sz w:val="21"/>
          <w:szCs w:val="21"/>
          <w:highlight w:val="none"/>
          <w:lang w:val="en-US" w:eastAsia="zh-CN" w:bidi="ar-SA"/>
        </w:rPr>
        <w:t>附七：</w:t>
      </w:r>
      <w:bookmarkEnd w:id="579"/>
      <w:r>
        <w:rPr>
          <w:rFonts w:hint="default" w:ascii="Times New Roman" w:hAnsi="Times New Roman" w:eastAsia="宋体" w:cs="Times New Roman"/>
          <w:b/>
          <w:bCs w:val="0"/>
          <w:color w:val="auto"/>
          <w:kern w:val="2"/>
          <w:sz w:val="21"/>
          <w:szCs w:val="21"/>
          <w:highlight w:val="none"/>
          <w:lang w:val="en-US" w:eastAsia="zh-CN" w:bidi="ar-SA"/>
        </w:rPr>
        <w:t xml:space="preserve">                </w:t>
      </w:r>
    </w:p>
    <w:p w14:paraId="24CF2B8F">
      <w:pPr>
        <w:shd w:val="clear" w:color="auto" w:fill="auto"/>
        <w:ind w:firstLine="632" w:firstLineChars="300"/>
        <w:jc w:val="center"/>
        <w:rPr>
          <w:rFonts w:hint="default" w:ascii="Times New Roman" w:hAnsi="Times New Roman" w:eastAsia="宋体" w:cs="Times New Roman"/>
          <w:b/>
          <w:bCs/>
          <w:color w:val="auto"/>
          <w:sz w:val="21"/>
          <w:szCs w:val="21"/>
          <w:highlight w:val="none"/>
          <w:lang w:val="en-US" w:eastAsia="zh-CN"/>
        </w:rPr>
      </w:pPr>
    </w:p>
    <w:p w14:paraId="57109D32">
      <w:pPr>
        <w:shd w:val="clear" w:color="auto" w:fill="auto"/>
        <w:ind w:firstLine="632" w:firstLineChars="30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非联合体磋商声明</w:t>
      </w:r>
    </w:p>
    <w:p w14:paraId="0D13DAC4">
      <w:pPr>
        <w:pStyle w:val="140"/>
        <w:widowControl/>
        <w:spacing w:before="0" w:beforeAutospacing="0" w:after="0" w:afterAutospacing="0" w:line="432" w:lineRule="auto"/>
        <w:ind w:right="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cs="Times New Roman"/>
          <w:b w:val="0"/>
          <w:bCs w:val="0"/>
          <w:color w:val="auto"/>
          <w:kern w:val="2"/>
          <w:sz w:val="21"/>
          <w:szCs w:val="21"/>
          <w:highlight w:val="none"/>
          <w:u w:val="single"/>
          <w:lang w:val="en-US" w:eastAsia="zh-CN" w:bidi="ar"/>
        </w:rPr>
        <w:t xml:space="preserve">       （采购人名称）</w:t>
      </w:r>
      <w:r>
        <w:rPr>
          <w:rFonts w:hint="default" w:ascii="Times New Roman" w:hAnsi="Times New Roman" w:eastAsia="宋体" w:cs="Times New Roman"/>
          <w:b w:val="0"/>
          <w:bCs w:val="0"/>
          <w:color w:val="auto"/>
          <w:kern w:val="2"/>
          <w:sz w:val="21"/>
          <w:szCs w:val="21"/>
          <w:highlight w:val="none"/>
          <w:u w:val="single"/>
          <w:lang w:val="en-US" w:eastAsia="zh-CN" w:bidi="ar"/>
        </w:rPr>
        <w:t xml:space="preserve"> </w:t>
      </w:r>
      <w:r>
        <w:rPr>
          <w:rFonts w:hint="default" w:ascii="Times New Roman" w:hAnsi="Times New Roman" w:eastAsia="宋体" w:cs="Times New Roman"/>
          <w:b w:val="0"/>
          <w:bCs w:val="0"/>
          <w:color w:val="auto"/>
          <w:kern w:val="0"/>
          <w:sz w:val="21"/>
          <w:szCs w:val="21"/>
          <w:highlight w:val="none"/>
        </w:rPr>
        <w:t>：</w:t>
      </w:r>
    </w:p>
    <w:p w14:paraId="5033F620">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本公司就参加</w:t>
      </w:r>
      <w:r>
        <w:rPr>
          <w:rFonts w:hint="default" w:ascii="Times New Roman" w:hAnsi="Times New Roman" w:eastAsia="宋体" w:cs="Times New Roman"/>
          <w:b w:val="0"/>
          <w:bCs w:val="0"/>
          <w:color w:val="auto"/>
          <w:kern w:val="0"/>
          <w:sz w:val="21"/>
          <w:szCs w:val="21"/>
          <w:highlight w:val="none"/>
          <w:u w:val="single"/>
        </w:rPr>
        <w:t xml:space="preserve">                （项目名称）</w:t>
      </w:r>
      <w:r>
        <w:rPr>
          <w:rFonts w:hint="default" w:ascii="Times New Roman" w:hAnsi="Times New Roman" w:eastAsia="宋体" w:cs="Times New Roman"/>
          <w:b w:val="0"/>
          <w:bCs w:val="0"/>
          <w:color w:val="auto"/>
          <w:kern w:val="2"/>
          <w:sz w:val="21"/>
          <w:szCs w:val="21"/>
          <w:highlight w:val="none"/>
          <w:u w:val="single"/>
          <w:lang w:val="en-US" w:eastAsia="zh-CN" w:bidi="ar"/>
        </w:rPr>
        <w:t>（项目编号）</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工作，作出郑重声明：</w:t>
      </w:r>
    </w:p>
    <w:p w14:paraId="606F8D2E">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一、本公司保证</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报名材料及其后提供的一切材料都是真实的。</w:t>
      </w:r>
    </w:p>
    <w:p w14:paraId="596826BA">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二、本公司保证在本项目</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中不与其他单位围标、串标，不出让投标资格，不向采购人或</w:t>
      </w:r>
      <w:r>
        <w:rPr>
          <w:rFonts w:hint="default" w:ascii="Times New Roman" w:hAnsi="Times New Roman" w:cs="Times New Roman"/>
          <w:b w:val="0"/>
          <w:bCs w:val="0"/>
          <w:color w:val="auto"/>
          <w:kern w:val="0"/>
          <w:sz w:val="21"/>
          <w:szCs w:val="21"/>
          <w:highlight w:val="none"/>
          <w:lang w:eastAsia="zh-CN"/>
        </w:rPr>
        <w:t>评审</w:t>
      </w:r>
      <w:r>
        <w:rPr>
          <w:rFonts w:hint="default" w:ascii="Times New Roman" w:hAnsi="Times New Roman" w:eastAsia="宋体" w:cs="Times New Roman"/>
          <w:b w:val="0"/>
          <w:bCs w:val="0"/>
          <w:color w:val="auto"/>
          <w:kern w:val="0"/>
          <w:sz w:val="21"/>
          <w:szCs w:val="21"/>
          <w:highlight w:val="none"/>
        </w:rPr>
        <w:t>委员会成员行贿。</w:t>
      </w:r>
    </w:p>
    <w:p w14:paraId="70D74ACC">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三、本公司没有处于被责令停</w:t>
      </w:r>
      <w:r>
        <w:rPr>
          <w:rFonts w:hint="default" w:ascii="Times New Roman" w:hAnsi="Times New Roman" w:eastAsia="宋体" w:cs="Times New Roman"/>
          <w:color w:val="auto"/>
          <w:kern w:val="0"/>
          <w:sz w:val="21"/>
          <w:szCs w:val="21"/>
          <w:highlight w:val="none"/>
        </w:rPr>
        <w:t>业的状态；没有处于被建设行政主管部门取消</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资格的处罚期内；没有处于财产被接管、冻结、破产的状态；本公司没有在</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报名截止时间前三年内被人民法院判决犯有行贿罪的记录。</w:t>
      </w:r>
    </w:p>
    <w:p w14:paraId="68E60AB3">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四、本公司保证本项目并非联合体</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，本项目由本公司独立承担。本公司违反上述保证，或本声明陈述与事实不符，经查实，本公司愿意接受公开通报，承担由此带来的法律后果。</w:t>
      </w:r>
    </w:p>
    <w:p w14:paraId="34A3B7A8">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特此声明！</w:t>
      </w:r>
    </w:p>
    <w:p w14:paraId="22451599">
      <w:pPr>
        <w:pStyle w:val="141"/>
        <w:widowControl/>
        <w:spacing w:before="0" w:beforeAutospacing="0" w:after="0" w:afterAutospacing="0" w:line="432" w:lineRule="auto"/>
        <w:ind w:left="0" w:right="1449" w:firstLine="1890" w:firstLineChars="9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 xml:space="preserve"> </w:t>
      </w:r>
    </w:p>
    <w:p w14:paraId="20A976FF">
      <w:pPr>
        <w:pStyle w:val="141"/>
        <w:widowControl/>
        <w:spacing w:before="0" w:beforeAutospacing="0" w:after="0" w:afterAutospacing="0" w:line="432" w:lineRule="auto"/>
        <w:ind w:left="0" w:right="1449" w:firstLine="1897" w:firstLineChars="900"/>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 xml:space="preserve"> </w:t>
      </w:r>
    </w:p>
    <w:p w14:paraId="28CC9975">
      <w:pPr>
        <w:pStyle w:val="141"/>
        <w:keepNext w:val="0"/>
        <w:keepLines w:val="0"/>
        <w:pageBreakBefore w:val="0"/>
        <w:widowControl w:val="0"/>
        <w:suppressLineNumbers w:val="0"/>
        <w:kinsoku/>
        <w:wordWrap/>
        <w:overflowPunct/>
        <w:topLinePunct w:val="0"/>
        <w:autoSpaceDE w:val="0"/>
        <w:autoSpaceDN/>
        <w:bidi w:val="0"/>
        <w:adjustRightInd w:val="0"/>
        <w:snapToGrid w:val="0"/>
        <w:spacing w:before="157" w:beforeLines="50" w:beforeAutospacing="0" w:after="0" w:afterAutospacing="0" w:line="360" w:lineRule="auto"/>
        <w:ind w:left="1050" w:leftChars="500" w:right="87" w:rightChars="0"/>
        <w:jc w:val="both"/>
        <w:textAlignment w:val="auto"/>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声明企业：</w:t>
      </w:r>
      <w:r>
        <w:rPr>
          <w:rFonts w:hint="default" w:ascii="Times New Roman" w:hAnsi="Times New Roman" w:eastAsia="宋体" w:cs="Times New Roman"/>
          <w:b w:val="0"/>
          <w:bCs w:val="0"/>
          <w:color w:val="auto"/>
          <w:kern w:val="0"/>
          <w:sz w:val="21"/>
          <w:szCs w:val="21"/>
          <w:highlight w:val="none"/>
          <w:u w:val="single"/>
        </w:rPr>
        <w:t xml:space="preserve">                      </w:t>
      </w:r>
      <w:r>
        <w:rPr>
          <w:rFonts w:hint="default" w:ascii="Times New Roman" w:hAnsi="Times New Roman" w:eastAsia="宋体" w:cs="Times New Roman"/>
          <w:b w:val="0"/>
          <w:bCs w:val="0"/>
          <w:color w:val="auto"/>
          <w:kern w:val="0"/>
          <w:sz w:val="21"/>
          <w:szCs w:val="21"/>
          <w:highlight w:val="none"/>
        </w:rPr>
        <w:t>(全称并加盖公章)</w:t>
      </w:r>
    </w:p>
    <w:p w14:paraId="557578ED">
      <w:pPr>
        <w:pStyle w:val="141"/>
        <w:keepNext w:val="0"/>
        <w:keepLines w:val="0"/>
        <w:pageBreakBefore w:val="0"/>
        <w:widowControl w:val="0"/>
        <w:suppressLineNumbers w:val="0"/>
        <w:kinsoku/>
        <w:wordWrap/>
        <w:overflowPunct/>
        <w:topLinePunct w:val="0"/>
        <w:autoSpaceDE w:val="0"/>
        <w:autoSpaceDN/>
        <w:bidi w:val="0"/>
        <w:adjustRightInd w:val="0"/>
        <w:snapToGrid w:val="0"/>
        <w:spacing w:before="157" w:beforeLines="50" w:beforeAutospacing="0" w:after="0" w:afterAutospacing="0" w:line="360" w:lineRule="auto"/>
        <w:ind w:left="1050" w:leftChars="500" w:right="-113" w:rightChars="0"/>
        <w:textAlignment w:val="auto"/>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法定代表人或</w:t>
      </w:r>
      <w:r>
        <w:rPr>
          <w:rFonts w:hint="default" w:ascii="Times New Roman" w:hAnsi="Times New Roman" w:eastAsia="宋体" w:cs="Times New Roman"/>
          <w:color w:val="auto"/>
          <w:kern w:val="0"/>
          <w:sz w:val="21"/>
          <w:szCs w:val="21"/>
          <w:highlight w:val="none"/>
        </w:rPr>
        <w:t>被授权人</w:t>
      </w:r>
      <w:r>
        <w:rPr>
          <w:rFonts w:hint="default" w:ascii="Times New Roman" w:hAnsi="Times New Roman" w:eastAsia="宋体" w:cs="Times New Roman"/>
          <w:b w:val="0"/>
          <w:bCs w:val="0"/>
          <w:color w:val="auto"/>
          <w:kern w:val="0"/>
          <w:sz w:val="21"/>
          <w:szCs w:val="21"/>
          <w:highlight w:val="none"/>
        </w:rPr>
        <w:t>：</w:t>
      </w:r>
      <w:r>
        <w:rPr>
          <w:rFonts w:hint="default" w:ascii="Times New Roman" w:hAnsi="Times New Roman" w:eastAsia="宋体" w:cs="Times New Roman"/>
          <w:b w:val="0"/>
          <w:bCs w:val="0"/>
          <w:color w:val="auto"/>
          <w:kern w:val="0"/>
          <w:sz w:val="21"/>
          <w:szCs w:val="21"/>
          <w:highlight w:val="none"/>
          <w:u w:val="single"/>
        </w:rPr>
        <w:t xml:space="preserve">             </w:t>
      </w:r>
      <w:r>
        <w:rPr>
          <w:rFonts w:hint="default" w:ascii="Times New Roman" w:hAnsi="Times New Roman" w:eastAsia="宋体" w:cs="Times New Roman"/>
          <w:b w:val="0"/>
          <w:bCs w:val="0"/>
          <w:color w:val="auto"/>
          <w:kern w:val="0"/>
          <w:sz w:val="21"/>
          <w:szCs w:val="21"/>
          <w:highlight w:val="none"/>
        </w:rPr>
        <w:t xml:space="preserve">（签字或盖章）        </w:t>
      </w:r>
    </w:p>
    <w:p w14:paraId="7298BF06">
      <w:pPr>
        <w:keepNext w:val="0"/>
        <w:keepLines w:val="0"/>
        <w:pageBreakBefore w:val="0"/>
        <w:widowControl w:val="0"/>
        <w:kinsoku/>
        <w:wordWrap/>
        <w:overflowPunct/>
        <w:topLinePunct w:val="0"/>
        <w:autoSpaceDE/>
        <w:autoSpaceDN/>
        <w:bidi w:val="0"/>
        <w:snapToGrid/>
        <w:spacing w:line="400" w:lineRule="exact"/>
        <w:ind w:left="1050" w:leftChars="500"/>
        <w:textAlignment w:val="auto"/>
        <w:outlineLvl w:val="1"/>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日      期：   </w:t>
      </w:r>
      <w:r>
        <w:rPr>
          <w:rFonts w:hint="default" w:ascii="Times New Roman" w:hAnsi="Times New Roman" w:cs="Times New Roman"/>
          <w:color w:val="auto"/>
          <w:sz w:val="21"/>
          <w:szCs w:val="21"/>
          <w:highlight w:val="none"/>
        </w:rPr>
        <w:t>年  月  日</w:t>
      </w:r>
    </w:p>
    <w:p w14:paraId="6082DF37">
      <w:pPr>
        <w:spacing w:line="408" w:lineRule="auto"/>
        <w:rPr>
          <w:rFonts w:hint="default" w:ascii="Times New Roman" w:hAnsi="Times New Roman" w:eastAsia="宋体" w:cs="Times New Roman"/>
          <w:color w:val="auto"/>
          <w:sz w:val="21"/>
          <w:szCs w:val="21"/>
          <w:highlight w:val="none"/>
        </w:rPr>
      </w:pPr>
    </w:p>
    <w:p w14:paraId="0AB0F1AD">
      <w:pPr>
        <w:spacing w:line="408" w:lineRule="auto"/>
        <w:ind w:left="525" w:leftChars="250"/>
        <w:rPr>
          <w:rFonts w:hint="default" w:ascii="Times New Roman" w:hAnsi="Times New Roman" w:eastAsia="宋体" w:cs="Times New Roman"/>
          <w:color w:val="auto"/>
          <w:sz w:val="24"/>
          <w:szCs w:val="24"/>
          <w:highlight w:val="none"/>
        </w:rPr>
      </w:pPr>
    </w:p>
    <w:p w14:paraId="449529FD">
      <w:pPr>
        <w:spacing w:line="408" w:lineRule="auto"/>
        <w:ind w:left="525" w:leftChars="250"/>
        <w:rPr>
          <w:rFonts w:hint="default" w:ascii="Times New Roman" w:hAnsi="Times New Roman" w:eastAsia="宋体" w:cs="Times New Roman"/>
          <w:color w:val="auto"/>
          <w:sz w:val="24"/>
          <w:szCs w:val="24"/>
          <w:highlight w:val="none"/>
        </w:rPr>
      </w:pPr>
    </w:p>
    <w:p w14:paraId="4903D4C0">
      <w:pPr>
        <w:spacing w:line="408" w:lineRule="auto"/>
        <w:ind w:left="525" w:leftChars="250"/>
        <w:rPr>
          <w:rFonts w:hint="default" w:ascii="Times New Roman" w:hAnsi="Times New Roman" w:eastAsia="宋体" w:cs="Times New Roman"/>
          <w:color w:val="auto"/>
          <w:sz w:val="24"/>
          <w:szCs w:val="24"/>
          <w:highlight w:val="none"/>
        </w:rPr>
      </w:pPr>
    </w:p>
    <w:p w14:paraId="15021F33">
      <w:pPr>
        <w:spacing w:line="408" w:lineRule="auto"/>
        <w:ind w:left="525" w:leftChars="250"/>
        <w:rPr>
          <w:rFonts w:hint="default" w:ascii="Times New Roman" w:hAnsi="Times New Roman" w:eastAsia="宋体" w:cs="Times New Roman"/>
          <w:color w:val="auto"/>
          <w:sz w:val="24"/>
          <w:szCs w:val="24"/>
          <w:highlight w:val="none"/>
        </w:rPr>
      </w:pPr>
    </w:p>
    <w:p w14:paraId="1D039099">
      <w:pPr>
        <w:spacing w:line="408" w:lineRule="auto"/>
        <w:ind w:left="525" w:leftChars="250"/>
        <w:rPr>
          <w:rFonts w:hint="default" w:ascii="Times New Roman" w:hAnsi="Times New Roman" w:eastAsia="宋体" w:cs="Times New Roman"/>
          <w:color w:val="auto"/>
          <w:sz w:val="24"/>
          <w:szCs w:val="24"/>
          <w:highlight w:val="none"/>
        </w:rPr>
      </w:pPr>
    </w:p>
    <w:p w14:paraId="01A4039A">
      <w:pPr>
        <w:pStyle w:val="16"/>
        <w:spacing w:before="64" w:line="225" w:lineRule="auto"/>
        <w:ind w:left="3006"/>
        <w:jc w:val="both"/>
        <w:rPr>
          <w:rFonts w:hint="default" w:ascii="Times New Roman" w:hAnsi="Times New Roman" w:cs="Times New Roman"/>
          <w:color w:val="auto"/>
          <w:sz w:val="31"/>
          <w:szCs w:val="31"/>
          <w:highlight w:val="none"/>
        </w:rPr>
      </w:pPr>
      <w:bookmarkStart w:id="580" w:name="_Toc11718"/>
      <w:bookmarkStart w:id="581" w:name="_Toc31221"/>
      <w:bookmarkStart w:id="582" w:name="_Toc17437"/>
      <w:bookmarkStart w:id="583" w:name="_Toc24537"/>
      <w:r>
        <w:rPr>
          <w:rFonts w:hint="default" w:ascii="Times New Roman" w:hAnsi="Times New Roman" w:cs="Times New Roman"/>
          <w:b/>
          <w:bCs/>
          <w:color w:val="auto"/>
          <w:spacing w:val="5"/>
          <w:sz w:val="31"/>
          <w:szCs w:val="31"/>
          <w:highlight w:val="none"/>
          <w:lang w:val="en-US" w:eastAsia="zh-CN"/>
        </w:rPr>
        <w:t>四</w:t>
      </w:r>
      <w:r>
        <w:rPr>
          <w:rFonts w:hint="default" w:ascii="Times New Roman" w:hAnsi="Times New Roman" w:cs="Times New Roman"/>
          <w:b/>
          <w:bCs/>
          <w:color w:val="auto"/>
          <w:spacing w:val="5"/>
          <w:sz w:val="31"/>
          <w:szCs w:val="31"/>
          <w:highlight w:val="none"/>
        </w:rPr>
        <w:t>、商务响应偏离表</w:t>
      </w:r>
    </w:p>
    <w:p w14:paraId="1B14DB7D">
      <w:pPr>
        <w:spacing w:line="194" w:lineRule="exact"/>
        <w:rPr>
          <w:rFonts w:hint="default" w:ascii="Times New Roman" w:hAnsi="Times New Roman" w:cs="Times New Roman"/>
          <w:color w:val="auto"/>
          <w:sz w:val="21"/>
          <w:szCs w:val="21"/>
          <w:highlight w:val="none"/>
        </w:rPr>
      </w:pPr>
    </w:p>
    <w:tbl>
      <w:tblPr>
        <w:tblStyle w:val="147"/>
        <w:tblW w:w="88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6"/>
        <w:gridCol w:w="2812"/>
        <w:gridCol w:w="2446"/>
        <w:gridCol w:w="1455"/>
        <w:gridCol w:w="1342"/>
      </w:tblGrid>
      <w:tr w14:paraId="5D4A7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86" w:type="dxa"/>
            <w:vAlign w:val="top"/>
          </w:tcPr>
          <w:p w14:paraId="0830E4F4">
            <w:pPr>
              <w:spacing w:before="271" w:line="222" w:lineRule="auto"/>
              <w:ind w:left="17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序号</w:t>
            </w:r>
          </w:p>
        </w:tc>
        <w:tc>
          <w:tcPr>
            <w:tcW w:w="2812" w:type="dxa"/>
            <w:vAlign w:val="top"/>
          </w:tcPr>
          <w:p w14:paraId="342625F8">
            <w:pPr>
              <w:spacing w:before="272" w:line="220" w:lineRule="auto"/>
              <w:ind w:left="34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竞争性文件商务要求</w:t>
            </w:r>
          </w:p>
        </w:tc>
        <w:tc>
          <w:tcPr>
            <w:tcW w:w="2446" w:type="dxa"/>
            <w:vAlign w:val="top"/>
          </w:tcPr>
          <w:p w14:paraId="35838BE0">
            <w:pPr>
              <w:spacing w:before="272" w:line="220" w:lineRule="auto"/>
              <w:ind w:left="28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lang w:val="en-US" w:eastAsia="zh-CN"/>
              </w:rPr>
              <w:t>响应</w:t>
            </w:r>
            <w:r>
              <w:rPr>
                <w:rFonts w:hint="default" w:ascii="Times New Roman" w:hAnsi="Times New Roman" w:eastAsia="宋体" w:cs="Times New Roman"/>
                <w:color w:val="auto"/>
                <w:spacing w:val="-2"/>
                <w:sz w:val="21"/>
                <w:szCs w:val="21"/>
                <w:highlight w:val="none"/>
              </w:rPr>
              <w:t>文件商务响应</w:t>
            </w:r>
          </w:p>
        </w:tc>
        <w:tc>
          <w:tcPr>
            <w:tcW w:w="1455" w:type="dxa"/>
            <w:vAlign w:val="top"/>
          </w:tcPr>
          <w:p w14:paraId="16A436F7">
            <w:pPr>
              <w:spacing w:before="272" w:line="220" w:lineRule="auto"/>
              <w:ind w:left="50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偏离</w:t>
            </w:r>
          </w:p>
        </w:tc>
        <w:tc>
          <w:tcPr>
            <w:tcW w:w="1342" w:type="dxa"/>
            <w:vAlign w:val="top"/>
          </w:tcPr>
          <w:p w14:paraId="3A710B5C">
            <w:pPr>
              <w:spacing w:before="272" w:line="220" w:lineRule="auto"/>
              <w:ind w:left="45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说明</w:t>
            </w:r>
          </w:p>
        </w:tc>
      </w:tr>
      <w:tr w14:paraId="7AA9A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44B073AC">
            <w:pPr>
              <w:pStyle w:val="142"/>
              <w:rPr>
                <w:rFonts w:hint="default" w:ascii="Times New Roman" w:hAnsi="Times New Roman" w:cs="Times New Roman"/>
                <w:color w:val="auto"/>
                <w:sz w:val="21"/>
                <w:szCs w:val="21"/>
                <w:highlight w:val="none"/>
              </w:rPr>
            </w:pPr>
          </w:p>
        </w:tc>
        <w:tc>
          <w:tcPr>
            <w:tcW w:w="2812" w:type="dxa"/>
            <w:vAlign w:val="top"/>
          </w:tcPr>
          <w:p w14:paraId="5981C590">
            <w:pPr>
              <w:pStyle w:val="142"/>
              <w:rPr>
                <w:rFonts w:hint="default" w:ascii="Times New Roman" w:hAnsi="Times New Roman" w:cs="Times New Roman"/>
                <w:color w:val="auto"/>
                <w:sz w:val="21"/>
                <w:szCs w:val="21"/>
                <w:highlight w:val="none"/>
              </w:rPr>
            </w:pPr>
          </w:p>
        </w:tc>
        <w:tc>
          <w:tcPr>
            <w:tcW w:w="2446" w:type="dxa"/>
            <w:vAlign w:val="top"/>
          </w:tcPr>
          <w:p w14:paraId="3D0F0430">
            <w:pPr>
              <w:pStyle w:val="142"/>
              <w:rPr>
                <w:rFonts w:hint="default" w:ascii="Times New Roman" w:hAnsi="Times New Roman" w:cs="Times New Roman"/>
                <w:color w:val="auto"/>
                <w:sz w:val="21"/>
                <w:szCs w:val="21"/>
                <w:highlight w:val="none"/>
              </w:rPr>
            </w:pPr>
          </w:p>
        </w:tc>
        <w:tc>
          <w:tcPr>
            <w:tcW w:w="1455" w:type="dxa"/>
            <w:vAlign w:val="top"/>
          </w:tcPr>
          <w:p w14:paraId="3AF8B44E">
            <w:pPr>
              <w:pStyle w:val="142"/>
              <w:rPr>
                <w:rFonts w:hint="default" w:ascii="Times New Roman" w:hAnsi="Times New Roman" w:cs="Times New Roman"/>
                <w:color w:val="auto"/>
                <w:sz w:val="21"/>
                <w:szCs w:val="21"/>
                <w:highlight w:val="none"/>
              </w:rPr>
            </w:pPr>
          </w:p>
        </w:tc>
        <w:tc>
          <w:tcPr>
            <w:tcW w:w="1342" w:type="dxa"/>
            <w:vAlign w:val="top"/>
          </w:tcPr>
          <w:p w14:paraId="47747C32">
            <w:pPr>
              <w:pStyle w:val="142"/>
              <w:rPr>
                <w:rFonts w:hint="default" w:ascii="Times New Roman" w:hAnsi="Times New Roman" w:cs="Times New Roman"/>
                <w:color w:val="auto"/>
                <w:sz w:val="21"/>
                <w:szCs w:val="21"/>
                <w:highlight w:val="none"/>
              </w:rPr>
            </w:pPr>
          </w:p>
        </w:tc>
      </w:tr>
      <w:tr w14:paraId="2FDA2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597DE2F6">
            <w:pPr>
              <w:pStyle w:val="142"/>
              <w:rPr>
                <w:rFonts w:hint="default" w:ascii="Times New Roman" w:hAnsi="Times New Roman" w:cs="Times New Roman"/>
                <w:color w:val="auto"/>
                <w:sz w:val="21"/>
                <w:szCs w:val="21"/>
                <w:highlight w:val="none"/>
              </w:rPr>
            </w:pPr>
          </w:p>
        </w:tc>
        <w:tc>
          <w:tcPr>
            <w:tcW w:w="2812" w:type="dxa"/>
            <w:vAlign w:val="top"/>
          </w:tcPr>
          <w:p w14:paraId="260809C1">
            <w:pPr>
              <w:pStyle w:val="142"/>
              <w:rPr>
                <w:rFonts w:hint="default" w:ascii="Times New Roman" w:hAnsi="Times New Roman" w:cs="Times New Roman"/>
                <w:color w:val="auto"/>
                <w:sz w:val="21"/>
                <w:szCs w:val="21"/>
                <w:highlight w:val="none"/>
              </w:rPr>
            </w:pPr>
          </w:p>
        </w:tc>
        <w:tc>
          <w:tcPr>
            <w:tcW w:w="2446" w:type="dxa"/>
            <w:vAlign w:val="top"/>
          </w:tcPr>
          <w:p w14:paraId="318D33D4">
            <w:pPr>
              <w:pStyle w:val="142"/>
              <w:rPr>
                <w:rFonts w:hint="default" w:ascii="Times New Roman" w:hAnsi="Times New Roman" w:cs="Times New Roman"/>
                <w:color w:val="auto"/>
                <w:sz w:val="21"/>
                <w:szCs w:val="21"/>
                <w:highlight w:val="none"/>
              </w:rPr>
            </w:pPr>
          </w:p>
        </w:tc>
        <w:tc>
          <w:tcPr>
            <w:tcW w:w="1455" w:type="dxa"/>
            <w:vAlign w:val="top"/>
          </w:tcPr>
          <w:p w14:paraId="32059F13">
            <w:pPr>
              <w:pStyle w:val="142"/>
              <w:rPr>
                <w:rFonts w:hint="default" w:ascii="Times New Roman" w:hAnsi="Times New Roman" w:cs="Times New Roman"/>
                <w:color w:val="auto"/>
                <w:sz w:val="21"/>
                <w:szCs w:val="21"/>
                <w:highlight w:val="none"/>
              </w:rPr>
            </w:pPr>
          </w:p>
        </w:tc>
        <w:tc>
          <w:tcPr>
            <w:tcW w:w="1342" w:type="dxa"/>
            <w:vAlign w:val="top"/>
          </w:tcPr>
          <w:p w14:paraId="03742B06">
            <w:pPr>
              <w:pStyle w:val="142"/>
              <w:rPr>
                <w:rFonts w:hint="default" w:ascii="Times New Roman" w:hAnsi="Times New Roman" w:cs="Times New Roman"/>
                <w:color w:val="auto"/>
                <w:sz w:val="21"/>
                <w:szCs w:val="21"/>
                <w:highlight w:val="none"/>
              </w:rPr>
            </w:pPr>
          </w:p>
        </w:tc>
      </w:tr>
      <w:tr w14:paraId="6F9B6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7AE3EDAB">
            <w:pPr>
              <w:pStyle w:val="142"/>
              <w:rPr>
                <w:rFonts w:hint="default" w:ascii="Times New Roman" w:hAnsi="Times New Roman" w:cs="Times New Roman"/>
                <w:color w:val="auto"/>
                <w:sz w:val="21"/>
                <w:szCs w:val="21"/>
                <w:highlight w:val="none"/>
              </w:rPr>
            </w:pPr>
          </w:p>
        </w:tc>
        <w:tc>
          <w:tcPr>
            <w:tcW w:w="2812" w:type="dxa"/>
            <w:vAlign w:val="top"/>
          </w:tcPr>
          <w:p w14:paraId="63FDD9CB">
            <w:pPr>
              <w:pStyle w:val="142"/>
              <w:rPr>
                <w:rFonts w:hint="default" w:ascii="Times New Roman" w:hAnsi="Times New Roman" w:cs="Times New Roman"/>
                <w:color w:val="auto"/>
                <w:sz w:val="21"/>
                <w:szCs w:val="21"/>
                <w:highlight w:val="none"/>
              </w:rPr>
            </w:pPr>
          </w:p>
        </w:tc>
        <w:tc>
          <w:tcPr>
            <w:tcW w:w="2446" w:type="dxa"/>
            <w:vAlign w:val="top"/>
          </w:tcPr>
          <w:p w14:paraId="7BDD382F">
            <w:pPr>
              <w:pStyle w:val="142"/>
              <w:rPr>
                <w:rFonts w:hint="default" w:ascii="Times New Roman" w:hAnsi="Times New Roman" w:cs="Times New Roman"/>
                <w:color w:val="auto"/>
                <w:sz w:val="21"/>
                <w:szCs w:val="21"/>
                <w:highlight w:val="none"/>
              </w:rPr>
            </w:pPr>
          </w:p>
        </w:tc>
        <w:tc>
          <w:tcPr>
            <w:tcW w:w="1455" w:type="dxa"/>
            <w:vAlign w:val="top"/>
          </w:tcPr>
          <w:p w14:paraId="692B2844">
            <w:pPr>
              <w:pStyle w:val="142"/>
              <w:rPr>
                <w:rFonts w:hint="default" w:ascii="Times New Roman" w:hAnsi="Times New Roman" w:cs="Times New Roman"/>
                <w:color w:val="auto"/>
                <w:sz w:val="21"/>
                <w:szCs w:val="21"/>
                <w:highlight w:val="none"/>
              </w:rPr>
            </w:pPr>
          </w:p>
        </w:tc>
        <w:tc>
          <w:tcPr>
            <w:tcW w:w="1342" w:type="dxa"/>
            <w:vAlign w:val="top"/>
          </w:tcPr>
          <w:p w14:paraId="7CECF0E8">
            <w:pPr>
              <w:pStyle w:val="142"/>
              <w:rPr>
                <w:rFonts w:hint="default" w:ascii="Times New Roman" w:hAnsi="Times New Roman" w:cs="Times New Roman"/>
                <w:color w:val="auto"/>
                <w:sz w:val="21"/>
                <w:szCs w:val="21"/>
                <w:highlight w:val="none"/>
              </w:rPr>
            </w:pPr>
          </w:p>
        </w:tc>
      </w:tr>
      <w:tr w14:paraId="3D8A1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207559D4">
            <w:pPr>
              <w:pStyle w:val="142"/>
              <w:rPr>
                <w:rFonts w:hint="default" w:ascii="Times New Roman" w:hAnsi="Times New Roman" w:cs="Times New Roman"/>
                <w:color w:val="auto"/>
                <w:sz w:val="21"/>
                <w:szCs w:val="21"/>
                <w:highlight w:val="none"/>
              </w:rPr>
            </w:pPr>
          </w:p>
        </w:tc>
        <w:tc>
          <w:tcPr>
            <w:tcW w:w="2812" w:type="dxa"/>
            <w:vAlign w:val="top"/>
          </w:tcPr>
          <w:p w14:paraId="38B84EE5">
            <w:pPr>
              <w:pStyle w:val="142"/>
              <w:rPr>
                <w:rFonts w:hint="default" w:ascii="Times New Roman" w:hAnsi="Times New Roman" w:cs="Times New Roman"/>
                <w:color w:val="auto"/>
                <w:sz w:val="21"/>
                <w:szCs w:val="21"/>
                <w:highlight w:val="none"/>
              </w:rPr>
            </w:pPr>
          </w:p>
        </w:tc>
        <w:tc>
          <w:tcPr>
            <w:tcW w:w="2446" w:type="dxa"/>
            <w:vAlign w:val="top"/>
          </w:tcPr>
          <w:p w14:paraId="18F2C8EB">
            <w:pPr>
              <w:pStyle w:val="142"/>
              <w:rPr>
                <w:rFonts w:hint="default" w:ascii="Times New Roman" w:hAnsi="Times New Roman" w:cs="Times New Roman"/>
                <w:color w:val="auto"/>
                <w:sz w:val="21"/>
                <w:szCs w:val="21"/>
                <w:highlight w:val="none"/>
              </w:rPr>
            </w:pPr>
          </w:p>
        </w:tc>
        <w:tc>
          <w:tcPr>
            <w:tcW w:w="1455" w:type="dxa"/>
            <w:vAlign w:val="top"/>
          </w:tcPr>
          <w:p w14:paraId="29735A8A">
            <w:pPr>
              <w:pStyle w:val="142"/>
              <w:rPr>
                <w:rFonts w:hint="default" w:ascii="Times New Roman" w:hAnsi="Times New Roman" w:cs="Times New Roman"/>
                <w:color w:val="auto"/>
                <w:sz w:val="21"/>
                <w:szCs w:val="21"/>
                <w:highlight w:val="none"/>
              </w:rPr>
            </w:pPr>
          </w:p>
        </w:tc>
        <w:tc>
          <w:tcPr>
            <w:tcW w:w="1342" w:type="dxa"/>
            <w:vAlign w:val="top"/>
          </w:tcPr>
          <w:p w14:paraId="762A4860">
            <w:pPr>
              <w:pStyle w:val="142"/>
              <w:rPr>
                <w:rFonts w:hint="default" w:ascii="Times New Roman" w:hAnsi="Times New Roman" w:cs="Times New Roman"/>
                <w:color w:val="auto"/>
                <w:sz w:val="21"/>
                <w:szCs w:val="21"/>
                <w:highlight w:val="none"/>
              </w:rPr>
            </w:pPr>
          </w:p>
        </w:tc>
      </w:tr>
      <w:tr w14:paraId="45A07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36937707">
            <w:pPr>
              <w:pStyle w:val="142"/>
              <w:rPr>
                <w:rFonts w:hint="default" w:ascii="Times New Roman" w:hAnsi="Times New Roman" w:cs="Times New Roman"/>
                <w:color w:val="auto"/>
                <w:sz w:val="21"/>
                <w:szCs w:val="21"/>
                <w:highlight w:val="none"/>
              </w:rPr>
            </w:pPr>
          </w:p>
        </w:tc>
        <w:tc>
          <w:tcPr>
            <w:tcW w:w="2812" w:type="dxa"/>
            <w:vAlign w:val="top"/>
          </w:tcPr>
          <w:p w14:paraId="4738C3B6">
            <w:pPr>
              <w:pStyle w:val="142"/>
              <w:rPr>
                <w:rFonts w:hint="default" w:ascii="Times New Roman" w:hAnsi="Times New Roman" w:cs="Times New Roman"/>
                <w:color w:val="auto"/>
                <w:sz w:val="21"/>
                <w:szCs w:val="21"/>
                <w:highlight w:val="none"/>
              </w:rPr>
            </w:pPr>
          </w:p>
        </w:tc>
        <w:tc>
          <w:tcPr>
            <w:tcW w:w="2446" w:type="dxa"/>
            <w:vAlign w:val="top"/>
          </w:tcPr>
          <w:p w14:paraId="48DFE7D4">
            <w:pPr>
              <w:pStyle w:val="142"/>
              <w:rPr>
                <w:rFonts w:hint="default" w:ascii="Times New Roman" w:hAnsi="Times New Roman" w:cs="Times New Roman"/>
                <w:color w:val="auto"/>
                <w:sz w:val="21"/>
                <w:szCs w:val="21"/>
                <w:highlight w:val="none"/>
              </w:rPr>
            </w:pPr>
          </w:p>
        </w:tc>
        <w:tc>
          <w:tcPr>
            <w:tcW w:w="1455" w:type="dxa"/>
            <w:vAlign w:val="top"/>
          </w:tcPr>
          <w:p w14:paraId="1996B9E8">
            <w:pPr>
              <w:pStyle w:val="142"/>
              <w:rPr>
                <w:rFonts w:hint="default" w:ascii="Times New Roman" w:hAnsi="Times New Roman" w:cs="Times New Roman"/>
                <w:color w:val="auto"/>
                <w:sz w:val="21"/>
                <w:szCs w:val="21"/>
                <w:highlight w:val="none"/>
              </w:rPr>
            </w:pPr>
          </w:p>
        </w:tc>
        <w:tc>
          <w:tcPr>
            <w:tcW w:w="1342" w:type="dxa"/>
            <w:vAlign w:val="top"/>
          </w:tcPr>
          <w:p w14:paraId="3A902E2C">
            <w:pPr>
              <w:pStyle w:val="142"/>
              <w:rPr>
                <w:rFonts w:hint="default" w:ascii="Times New Roman" w:hAnsi="Times New Roman" w:cs="Times New Roman"/>
                <w:color w:val="auto"/>
                <w:sz w:val="21"/>
                <w:szCs w:val="21"/>
                <w:highlight w:val="none"/>
              </w:rPr>
            </w:pPr>
          </w:p>
        </w:tc>
      </w:tr>
      <w:tr w14:paraId="60D43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44C77E58">
            <w:pPr>
              <w:pStyle w:val="142"/>
              <w:rPr>
                <w:rFonts w:hint="default" w:ascii="Times New Roman" w:hAnsi="Times New Roman" w:cs="Times New Roman"/>
                <w:color w:val="auto"/>
                <w:sz w:val="21"/>
                <w:szCs w:val="21"/>
                <w:highlight w:val="none"/>
              </w:rPr>
            </w:pPr>
          </w:p>
        </w:tc>
        <w:tc>
          <w:tcPr>
            <w:tcW w:w="2812" w:type="dxa"/>
            <w:vAlign w:val="top"/>
          </w:tcPr>
          <w:p w14:paraId="2D444DAE">
            <w:pPr>
              <w:pStyle w:val="142"/>
              <w:rPr>
                <w:rFonts w:hint="default" w:ascii="Times New Roman" w:hAnsi="Times New Roman" w:cs="Times New Roman"/>
                <w:color w:val="auto"/>
                <w:sz w:val="21"/>
                <w:szCs w:val="21"/>
                <w:highlight w:val="none"/>
              </w:rPr>
            </w:pPr>
          </w:p>
        </w:tc>
        <w:tc>
          <w:tcPr>
            <w:tcW w:w="2446" w:type="dxa"/>
            <w:vAlign w:val="top"/>
          </w:tcPr>
          <w:p w14:paraId="4F1EAEBF">
            <w:pPr>
              <w:pStyle w:val="142"/>
              <w:rPr>
                <w:rFonts w:hint="default" w:ascii="Times New Roman" w:hAnsi="Times New Roman" w:cs="Times New Roman"/>
                <w:color w:val="auto"/>
                <w:sz w:val="21"/>
                <w:szCs w:val="21"/>
                <w:highlight w:val="none"/>
              </w:rPr>
            </w:pPr>
          </w:p>
        </w:tc>
        <w:tc>
          <w:tcPr>
            <w:tcW w:w="1455" w:type="dxa"/>
            <w:vAlign w:val="top"/>
          </w:tcPr>
          <w:p w14:paraId="685F707A">
            <w:pPr>
              <w:pStyle w:val="142"/>
              <w:rPr>
                <w:rFonts w:hint="default" w:ascii="Times New Roman" w:hAnsi="Times New Roman" w:cs="Times New Roman"/>
                <w:color w:val="auto"/>
                <w:sz w:val="21"/>
                <w:szCs w:val="21"/>
                <w:highlight w:val="none"/>
              </w:rPr>
            </w:pPr>
          </w:p>
        </w:tc>
        <w:tc>
          <w:tcPr>
            <w:tcW w:w="1342" w:type="dxa"/>
            <w:vAlign w:val="top"/>
          </w:tcPr>
          <w:p w14:paraId="4A0F207E">
            <w:pPr>
              <w:pStyle w:val="142"/>
              <w:rPr>
                <w:rFonts w:hint="default" w:ascii="Times New Roman" w:hAnsi="Times New Roman" w:cs="Times New Roman"/>
                <w:color w:val="auto"/>
                <w:sz w:val="21"/>
                <w:szCs w:val="21"/>
                <w:highlight w:val="none"/>
              </w:rPr>
            </w:pPr>
          </w:p>
        </w:tc>
      </w:tr>
      <w:tr w14:paraId="2DFB2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18CF1873">
            <w:pPr>
              <w:pStyle w:val="142"/>
              <w:rPr>
                <w:rFonts w:hint="default" w:ascii="Times New Roman" w:hAnsi="Times New Roman" w:cs="Times New Roman"/>
                <w:color w:val="auto"/>
                <w:sz w:val="21"/>
                <w:szCs w:val="21"/>
                <w:highlight w:val="none"/>
              </w:rPr>
            </w:pPr>
          </w:p>
        </w:tc>
        <w:tc>
          <w:tcPr>
            <w:tcW w:w="2812" w:type="dxa"/>
            <w:vAlign w:val="top"/>
          </w:tcPr>
          <w:p w14:paraId="0211067A">
            <w:pPr>
              <w:pStyle w:val="142"/>
              <w:rPr>
                <w:rFonts w:hint="default" w:ascii="Times New Roman" w:hAnsi="Times New Roman" w:cs="Times New Roman"/>
                <w:color w:val="auto"/>
                <w:sz w:val="21"/>
                <w:szCs w:val="21"/>
                <w:highlight w:val="none"/>
              </w:rPr>
            </w:pPr>
          </w:p>
        </w:tc>
        <w:tc>
          <w:tcPr>
            <w:tcW w:w="2446" w:type="dxa"/>
            <w:vAlign w:val="top"/>
          </w:tcPr>
          <w:p w14:paraId="4A7472EA">
            <w:pPr>
              <w:pStyle w:val="142"/>
              <w:rPr>
                <w:rFonts w:hint="default" w:ascii="Times New Roman" w:hAnsi="Times New Roman" w:cs="Times New Roman"/>
                <w:color w:val="auto"/>
                <w:sz w:val="21"/>
                <w:szCs w:val="21"/>
                <w:highlight w:val="none"/>
              </w:rPr>
            </w:pPr>
          </w:p>
        </w:tc>
        <w:tc>
          <w:tcPr>
            <w:tcW w:w="1455" w:type="dxa"/>
            <w:vAlign w:val="top"/>
          </w:tcPr>
          <w:p w14:paraId="4DAC5723">
            <w:pPr>
              <w:pStyle w:val="142"/>
              <w:rPr>
                <w:rFonts w:hint="default" w:ascii="Times New Roman" w:hAnsi="Times New Roman" w:cs="Times New Roman"/>
                <w:color w:val="auto"/>
                <w:sz w:val="21"/>
                <w:szCs w:val="21"/>
                <w:highlight w:val="none"/>
              </w:rPr>
            </w:pPr>
          </w:p>
        </w:tc>
        <w:tc>
          <w:tcPr>
            <w:tcW w:w="1342" w:type="dxa"/>
            <w:vAlign w:val="top"/>
          </w:tcPr>
          <w:p w14:paraId="5ADF9749">
            <w:pPr>
              <w:pStyle w:val="142"/>
              <w:rPr>
                <w:rFonts w:hint="default" w:ascii="Times New Roman" w:hAnsi="Times New Roman" w:cs="Times New Roman"/>
                <w:color w:val="auto"/>
                <w:sz w:val="21"/>
                <w:szCs w:val="21"/>
                <w:highlight w:val="none"/>
              </w:rPr>
            </w:pPr>
          </w:p>
        </w:tc>
      </w:tr>
      <w:tr w14:paraId="5E9B3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786" w:type="dxa"/>
            <w:vAlign w:val="top"/>
          </w:tcPr>
          <w:p w14:paraId="045026BE">
            <w:pPr>
              <w:pStyle w:val="142"/>
              <w:rPr>
                <w:rFonts w:hint="default" w:ascii="Times New Roman" w:hAnsi="Times New Roman" w:cs="Times New Roman"/>
                <w:color w:val="auto"/>
                <w:sz w:val="21"/>
                <w:szCs w:val="21"/>
                <w:highlight w:val="none"/>
              </w:rPr>
            </w:pPr>
          </w:p>
        </w:tc>
        <w:tc>
          <w:tcPr>
            <w:tcW w:w="2812" w:type="dxa"/>
            <w:vAlign w:val="top"/>
          </w:tcPr>
          <w:p w14:paraId="017C3048">
            <w:pPr>
              <w:pStyle w:val="142"/>
              <w:rPr>
                <w:rFonts w:hint="default" w:ascii="Times New Roman" w:hAnsi="Times New Roman" w:cs="Times New Roman"/>
                <w:color w:val="auto"/>
                <w:sz w:val="21"/>
                <w:szCs w:val="21"/>
                <w:highlight w:val="none"/>
              </w:rPr>
            </w:pPr>
          </w:p>
        </w:tc>
        <w:tc>
          <w:tcPr>
            <w:tcW w:w="2446" w:type="dxa"/>
            <w:vAlign w:val="top"/>
          </w:tcPr>
          <w:p w14:paraId="22C71249">
            <w:pPr>
              <w:pStyle w:val="142"/>
              <w:rPr>
                <w:rFonts w:hint="default" w:ascii="Times New Roman" w:hAnsi="Times New Roman" w:cs="Times New Roman"/>
                <w:color w:val="auto"/>
                <w:sz w:val="21"/>
                <w:szCs w:val="21"/>
                <w:highlight w:val="none"/>
              </w:rPr>
            </w:pPr>
          </w:p>
        </w:tc>
        <w:tc>
          <w:tcPr>
            <w:tcW w:w="1455" w:type="dxa"/>
            <w:vAlign w:val="top"/>
          </w:tcPr>
          <w:p w14:paraId="3EEA4AA3">
            <w:pPr>
              <w:pStyle w:val="142"/>
              <w:rPr>
                <w:rFonts w:hint="default" w:ascii="Times New Roman" w:hAnsi="Times New Roman" w:cs="Times New Roman"/>
                <w:color w:val="auto"/>
                <w:sz w:val="21"/>
                <w:szCs w:val="21"/>
                <w:highlight w:val="none"/>
              </w:rPr>
            </w:pPr>
          </w:p>
        </w:tc>
        <w:tc>
          <w:tcPr>
            <w:tcW w:w="1342" w:type="dxa"/>
            <w:vAlign w:val="top"/>
          </w:tcPr>
          <w:p w14:paraId="77EA3316">
            <w:pPr>
              <w:pStyle w:val="142"/>
              <w:rPr>
                <w:rFonts w:hint="default" w:ascii="Times New Roman" w:hAnsi="Times New Roman" w:cs="Times New Roman"/>
                <w:color w:val="auto"/>
                <w:sz w:val="21"/>
                <w:szCs w:val="21"/>
                <w:highlight w:val="none"/>
              </w:rPr>
            </w:pPr>
          </w:p>
        </w:tc>
      </w:tr>
    </w:tbl>
    <w:p w14:paraId="0AF44507">
      <w:pPr>
        <w:pStyle w:val="16"/>
        <w:spacing w:before="35" w:line="350" w:lineRule="auto"/>
        <w:ind w:left="40" w:right="3" w:firstLine="481"/>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说明：1、本表只填写</w:t>
      </w:r>
      <w:r>
        <w:rPr>
          <w:rFonts w:hint="default" w:ascii="Times New Roman" w:hAnsi="Times New Roman" w:cs="Times New Roman"/>
          <w:color w:val="auto"/>
          <w:sz w:val="21"/>
          <w:szCs w:val="21"/>
          <w:highlight w:val="none"/>
          <w:lang w:val="en-US" w:eastAsia="zh-CN"/>
        </w:rPr>
        <w:t>响应</w:t>
      </w:r>
      <w:r>
        <w:rPr>
          <w:rFonts w:hint="default" w:ascii="Times New Roman" w:hAnsi="Times New Roman" w:cs="Times New Roman"/>
          <w:color w:val="auto"/>
          <w:sz w:val="21"/>
          <w:szCs w:val="21"/>
          <w:highlight w:val="none"/>
        </w:rPr>
        <w:t>文件中与</w:t>
      </w:r>
      <w:r>
        <w:rPr>
          <w:rFonts w:hint="default" w:ascii="Times New Roman" w:hAnsi="Times New Roman" w:cs="Times New Roman"/>
          <w:color w:val="auto"/>
          <w:sz w:val="21"/>
          <w:szCs w:val="21"/>
          <w:highlight w:val="none"/>
          <w:lang w:val="en-US" w:eastAsia="zh-CN"/>
        </w:rPr>
        <w:t>磋商</w:t>
      </w:r>
      <w:r>
        <w:rPr>
          <w:rFonts w:hint="default" w:ascii="Times New Roman" w:hAnsi="Times New Roman" w:cs="Times New Roman"/>
          <w:color w:val="auto"/>
          <w:sz w:val="21"/>
          <w:szCs w:val="21"/>
          <w:highlight w:val="none"/>
        </w:rPr>
        <w:t>文件有</w:t>
      </w:r>
      <w:r>
        <w:rPr>
          <w:rFonts w:hint="default" w:ascii="Times New Roman" w:hAnsi="Times New Roman" w:cs="Times New Roman"/>
          <w:color w:val="auto"/>
          <w:spacing w:val="-1"/>
          <w:sz w:val="21"/>
          <w:szCs w:val="21"/>
          <w:highlight w:val="none"/>
        </w:rPr>
        <w:t>偏离（包括正偏离和负偏离）的</w:t>
      </w: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pacing w:val="-2"/>
          <w:sz w:val="21"/>
          <w:szCs w:val="21"/>
          <w:highlight w:val="none"/>
        </w:rPr>
        <w:t>内容，</w:t>
      </w:r>
      <w:r>
        <w:rPr>
          <w:rFonts w:hint="default" w:ascii="Times New Roman" w:hAnsi="Times New Roman" w:cs="Times New Roman"/>
          <w:color w:val="auto"/>
          <w:sz w:val="21"/>
          <w:szCs w:val="21"/>
          <w:highlight w:val="none"/>
          <w:lang w:val="en-US" w:eastAsia="zh-CN"/>
        </w:rPr>
        <w:t>响应</w:t>
      </w:r>
      <w:r>
        <w:rPr>
          <w:rFonts w:hint="default" w:ascii="Times New Roman" w:hAnsi="Times New Roman" w:cs="Times New Roman"/>
          <w:color w:val="auto"/>
          <w:sz w:val="21"/>
          <w:szCs w:val="21"/>
          <w:highlight w:val="none"/>
        </w:rPr>
        <w:t>文件</w:t>
      </w:r>
      <w:r>
        <w:rPr>
          <w:rFonts w:hint="default" w:ascii="Times New Roman" w:hAnsi="Times New Roman" w:cs="Times New Roman"/>
          <w:color w:val="auto"/>
          <w:spacing w:val="-2"/>
          <w:sz w:val="21"/>
          <w:szCs w:val="21"/>
          <w:highlight w:val="none"/>
        </w:rPr>
        <w:t>中合同条款响应与</w:t>
      </w:r>
      <w:r>
        <w:rPr>
          <w:rFonts w:hint="default" w:ascii="Times New Roman" w:hAnsi="Times New Roman" w:cs="Times New Roman"/>
          <w:color w:val="auto"/>
          <w:spacing w:val="-2"/>
          <w:sz w:val="21"/>
          <w:szCs w:val="21"/>
          <w:highlight w:val="none"/>
          <w:lang w:val="en-US" w:eastAsia="zh-CN"/>
        </w:rPr>
        <w:t>磋商文件</w:t>
      </w:r>
      <w:r>
        <w:rPr>
          <w:rFonts w:hint="default" w:ascii="Times New Roman" w:hAnsi="Times New Roman" w:cs="Times New Roman"/>
          <w:color w:val="auto"/>
          <w:spacing w:val="-2"/>
          <w:sz w:val="21"/>
          <w:szCs w:val="21"/>
          <w:highlight w:val="none"/>
        </w:rPr>
        <w:t>要求完全一致的，不用在此表中列</w:t>
      </w:r>
      <w:r>
        <w:rPr>
          <w:rFonts w:hint="default" w:ascii="Times New Roman" w:hAnsi="Times New Roman" w:cs="Times New Roman"/>
          <w:color w:val="auto"/>
          <w:spacing w:val="-3"/>
          <w:sz w:val="21"/>
          <w:szCs w:val="21"/>
          <w:highlight w:val="none"/>
        </w:rPr>
        <w:t>出，但必须</w:t>
      </w:r>
      <w:r>
        <w:rPr>
          <w:rFonts w:hint="default" w:ascii="Times New Roman" w:hAnsi="Times New Roman" w:cs="Times New Roman"/>
          <w:color w:val="auto"/>
          <w:spacing w:val="-2"/>
          <w:sz w:val="21"/>
          <w:szCs w:val="21"/>
          <w:highlight w:val="none"/>
        </w:rPr>
        <w:t>提供空白表。</w:t>
      </w:r>
    </w:p>
    <w:p w14:paraId="175DA8AD">
      <w:pPr>
        <w:pStyle w:val="16"/>
        <w:numPr>
          <w:ilvl w:val="0"/>
          <w:numId w:val="8"/>
        </w:numPr>
        <w:spacing w:before="37" w:line="345" w:lineRule="auto"/>
        <w:ind w:left="60" w:leftChars="0" w:right="56" w:firstLine="420" w:firstLineChars="0"/>
        <w:jc w:val="left"/>
        <w:rPr>
          <w:rFonts w:hint="default" w:ascii="Times New Roman" w:hAnsi="Times New Roman" w:cs="Times New Roman"/>
          <w:color w:val="auto"/>
          <w:spacing w:val="-2"/>
          <w:sz w:val="21"/>
          <w:szCs w:val="21"/>
          <w:highlight w:val="none"/>
        </w:rPr>
      </w:pPr>
      <w:r>
        <w:rPr>
          <w:rFonts w:hint="default" w:ascii="Times New Roman" w:hAnsi="Times New Roman" w:cs="Times New Roman"/>
          <w:color w:val="auto"/>
          <w:sz w:val="21"/>
          <w:szCs w:val="21"/>
          <w:highlight w:val="none"/>
        </w:rPr>
        <w:t>供应商必须据实填写，不得虚假响应，否则</w:t>
      </w:r>
      <w:r>
        <w:rPr>
          <w:rFonts w:hint="default" w:ascii="Times New Roman" w:hAnsi="Times New Roman" w:cs="Times New Roman"/>
          <w:color w:val="auto"/>
          <w:spacing w:val="-1"/>
          <w:sz w:val="21"/>
          <w:szCs w:val="21"/>
          <w:highlight w:val="none"/>
        </w:rPr>
        <w:t>将取消其评审或</w:t>
      </w:r>
      <w:r>
        <w:rPr>
          <w:rFonts w:hint="default" w:ascii="Times New Roman" w:hAnsi="Times New Roman" w:cs="Times New Roman"/>
          <w:color w:val="auto"/>
          <w:spacing w:val="-1"/>
          <w:sz w:val="21"/>
          <w:szCs w:val="21"/>
          <w:highlight w:val="none"/>
          <w:lang w:val="en-US" w:eastAsia="zh-CN"/>
        </w:rPr>
        <w:t>成交</w:t>
      </w:r>
      <w:r>
        <w:rPr>
          <w:rFonts w:hint="default" w:ascii="Times New Roman" w:hAnsi="Times New Roman" w:cs="Times New Roman"/>
          <w:color w:val="auto"/>
          <w:spacing w:val="-1"/>
          <w:sz w:val="21"/>
          <w:szCs w:val="21"/>
          <w:highlight w:val="none"/>
        </w:rPr>
        <w:t>资格，并按</w:t>
      </w: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pacing w:val="-2"/>
          <w:sz w:val="21"/>
          <w:szCs w:val="21"/>
          <w:highlight w:val="none"/>
        </w:rPr>
        <w:t>有关规定进处罚。</w:t>
      </w:r>
    </w:p>
    <w:p w14:paraId="09EA3C64">
      <w:pPr>
        <w:numPr>
          <w:ilvl w:val="0"/>
          <w:numId w:val="0"/>
        </w:numPr>
        <w:ind w:left="480" w:leftChars="0"/>
        <w:rPr>
          <w:rFonts w:hint="default"/>
        </w:rPr>
      </w:pPr>
    </w:p>
    <w:p w14:paraId="7075BD97">
      <w:pPr>
        <w:pStyle w:val="16"/>
        <w:keepNext w:val="0"/>
        <w:keepLines w:val="0"/>
        <w:pageBreakBefore w:val="0"/>
        <w:widowControl w:val="0"/>
        <w:kinsoku/>
        <w:wordWrap/>
        <w:overflowPunct/>
        <w:topLinePunct w:val="0"/>
        <w:autoSpaceDE/>
        <w:autoSpaceDN/>
        <w:bidi w:val="0"/>
        <w:adjustRightInd/>
        <w:snapToGrid/>
        <w:spacing w:before="78" w:line="480" w:lineRule="auto"/>
        <w:ind w:left="1260" w:leftChars="600" w:right="1736" w:firstLine="1890" w:firstLineChars="90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供应商名称(公章)：</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pacing w:val="-1"/>
          <w:sz w:val="21"/>
          <w:szCs w:val="21"/>
          <w:highlight w:val="none"/>
          <w:u w:val="single" w:color="auto"/>
        </w:rPr>
        <w:t xml:space="preserve">           </w:t>
      </w:r>
      <w:r>
        <w:rPr>
          <w:rFonts w:hint="default" w:ascii="Times New Roman" w:hAnsi="Times New Roman" w:cs="Times New Roman"/>
          <w:color w:val="auto"/>
          <w:sz w:val="21"/>
          <w:szCs w:val="21"/>
          <w:highlight w:val="none"/>
        </w:rPr>
        <w:t xml:space="preserve"> </w:t>
      </w:r>
    </w:p>
    <w:p w14:paraId="4F4AB9DA">
      <w:pPr>
        <w:pStyle w:val="16"/>
        <w:keepNext w:val="0"/>
        <w:keepLines w:val="0"/>
        <w:pageBreakBefore w:val="0"/>
        <w:widowControl w:val="0"/>
        <w:kinsoku/>
        <w:wordWrap/>
        <w:overflowPunct/>
        <w:topLinePunct w:val="0"/>
        <w:autoSpaceDE/>
        <w:autoSpaceDN/>
        <w:bidi w:val="0"/>
        <w:adjustRightInd/>
        <w:snapToGrid/>
        <w:spacing w:before="78" w:line="480" w:lineRule="auto"/>
        <w:ind w:left="1247" w:leftChars="594" w:right="1736" w:firstLine="1872" w:firstLineChars="90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1"/>
          <w:sz w:val="21"/>
          <w:szCs w:val="21"/>
          <w:highlight w:val="none"/>
        </w:rPr>
        <w:t>法定代表人或被授权人(盖章或签字)：</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z w:val="21"/>
          <w:szCs w:val="21"/>
          <w:highlight w:val="none"/>
          <w:u w:val="single" w:color="auto"/>
          <w:lang w:val="en-US" w:eastAsia="zh-CN"/>
        </w:rPr>
        <w:t xml:space="preserve">      </w:t>
      </w:r>
      <w:r>
        <w:rPr>
          <w:rFonts w:hint="default" w:ascii="Times New Roman" w:hAnsi="Times New Roman" w:cs="Times New Roman"/>
          <w:color w:val="auto"/>
          <w:sz w:val="21"/>
          <w:szCs w:val="21"/>
          <w:highlight w:val="none"/>
          <w:u w:val="single" w:color="auto"/>
        </w:rPr>
        <w:t xml:space="preserve">       </w:t>
      </w:r>
    </w:p>
    <w:p w14:paraId="74D63013">
      <w:pPr>
        <w:pStyle w:val="16"/>
        <w:keepNext w:val="0"/>
        <w:keepLines w:val="0"/>
        <w:pageBreakBefore w:val="0"/>
        <w:widowControl w:val="0"/>
        <w:kinsoku/>
        <w:wordWrap/>
        <w:overflowPunct/>
        <w:topLinePunct w:val="0"/>
        <w:autoSpaceDE/>
        <w:autoSpaceDN/>
        <w:bidi w:val="0"/>
        <w:adjustRightInd/>
        <w:snapToGrid/>
        <w:spacing w:before="38" w:line="480" w:lineRule="auto"/>
        <w:ind w:left="1103" w:leftChars="525" w:firstLine="2024" w:firstLineChars="1100"/>
        <w:textAlignment w:val="auto"/>
        <w:outlineLvl w:val="1"/>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13"/>
          <w:sz w:val="21"/>
          <w:szCs w:val="21"/>
          <w:highlight w:val="none"/>
        </w:rPr>
        <w:t>日</w:t>
      </w:r>
      <w:r>
        <w:rPr>
          <w:rFonts w:hint="default" w:ascii="Times New Roman" w:hAnsi="Times New Roman" w:cs="Times New Roman"/>
          <w:color w:val="auto"/>
          <w:spacing w:val="-13"/>
          <w:sz w:val="21"/>
          <w:szCs w:val="21"/>
          <w:highlight w:val="none"/>
          <w:lang w:val="en-US" w:eastAsia="zh-CN"/>
        </w:rPr>
        <w:t xml:space="preserve">         </w:t>
      </w:r>
      <w:r>
        <w:rPr>
          <w:rFonts w:hint="default" w:ascii="Times New Roman" w:hAnsi="Times New Roman" w:cs="Times New Roman"/>
          <w:color w:val="auto"/>
          <w:spacing w:val="-13"/>
          <w:sz w:val="21"/>
          <w:szCs w:val="21"/>
          <w:highlight w:val="none"/>
        </w:rPr>
        <w:t>期</w:t>
      </w:r>
      <w:r>
        <w:rPr>
          <w:rFonts w:hint="default" w:ascii="Times New Roman" w:hAnsi="Times New Roman" w:cs="Times New Roman"/>
          <w:color w:val="auto"/>
          <w:spacing w:val="-13"/>
          <w:sz w:val="21"/>
          <w:szCs w:val="21"/>
          <w:highlight w:val="none"/>
          <w:lang w:val="en-US" w:eastAsia="zh-CN"/>
        </w:rPr>
        <w:t xml:space="preserve"> </w:t>
      </w:r>
      <w:r>
        <w:rPr>
          <w:rFonts w:hint="default" w:ascii="Times New Roman" w:hAnsi="Times New Roman" w:cs="Times New Roman"/>
          <w:color w:val="auto"/>
          <w:spacing w:val="-13"/>
          <w:sz w:val="21"/>
          <w:szCs w:val="21"/>
          <w:highlight w:val="none"/>
        </w:rPr>
        <w:t>：</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pacing w:val="-109"/>
          <w:sz w:val="21"/>
          <w:szCs w:val="21"/>
          <w:highlight w:val="none"/>
        </w:rPr>
        <w:t xml:space="preserve"> </w:t>
      </w:r>
      <w:r>
        <w:rPr>
          <w:rFonts w:hint="default" w:ascii="Times New Roman" w:hAnsi="Times New Roman" w:cs="Times New Roman"/>
          <w:color w:val="auto"/>
          <w:spacing w:val="-13"/>
          <w:sz w:val="21"/>
          <w:szCs w:val="21"/>
          <w:highlight w:val="none"/>
        </w:rPr>
        <w:t>年</w:t>
      </w:r>
      <w:r>
        <w:rPr>
          <w:rFonts w:hint="default" w:ascii="Times New Roman" w:hAnsi="Times New Roman" w:cs="Times New Roman"/>
          <w:color w:val="auto"/>
          <w:spacing w:val="23"/>
          <w:sz w:val="21"/>
          <w:szCs w:val="21"/>
          <w:highlight w:val="none"/>
          <w:u w:val="single" w:color="auto"/>
        </w:rPr>
        <w:t xml:space="preserve">     </w:t>
      </w:r>
      <w:r>
        <w:rPr>
          <w:rFonts w:hint="default" w:ascii="Times New Roman" w:hAnsi="Times New Roman" w:cs="Times New Roman"/>
          <w:color w:val="auto"/>
          <w:spacing w:val="-100"/>
          <w:sz w:val="21"/>
          <w:szCs w:val="21"/>
          <w:highlight w:val="none"/>
        </w:rPr>
        <w:t xml:space="preserve"> </w:t>
      </w:r>
      <w:r>
        <w:rPr>
          <w:rFonts w:hint="default" w:ascii="Times New Roman" w:hAnsi="Times New Roman" w:cs="Times New Roman"/>
          <w:color w:val="auto"/>
          <w:spacing w:val="-13"/>
          <w:sz w:val="21"/>
          <w:szCs w:val="21"/>
          <w:highlight w:val="none"/>
        </w:rPr>
        <w:t>月</w:t>
      </w:r>
      <w:r>
        <w:rPr>
          <w:rFonts w:hint="default" w:ascii="Times New Roman" w:hAnsi="Times New Roman" w:cs="Times New Roman"/>
          <w:color w:val="auto"/>
          <w:spacing w:val="23"/>
          <w:sz w:val="21"/>
          <w:szCs w:val="21"/>
          <w:highlight w:val="none"/>
          <w:u w:val="single" w:color="auto"/>
        </w:rPr>
        <w:t xml:space="preserve">     </w:t>
      </w:r>
      <w:r>
        <w:rPr>
          <w:rFonts w:hint="default" w:ascii="Times New Roman" w:hAnsi="Times New Roman" w:cs="Times New Roman"/>
          <w:color w:val="auto"/>
          <w:spacing w:val="-64"/>
          <w:sz w:val="21"/>
          <w:szCs w:val="21"/>
          <w:highlight w:val="none"/>
        </w:rPr>
        <w:t xml:space="preserve"> </w:t>
      </w:r>
      <w:r>
        <w:rPr>
          <w:rFonts w:hint="default" w:ascii="Times New Roman" w:hAnsi="Times New Roman" w:cs="Times New Roman"/>
          <w:color w:val="auto"/>
          <w:spacing w:val="-13"/>
          <w:sz w:val="21"/>
          <w:szCs w:val="21"/>
          <w:highlight w:val="none"/>
        </w:rPr>
        <w:t>日</w:t>
      </w:r>
    </w:p>
    <w:p w14:paraId="3AD0F1C1">
      <w:pPr>
        <w:keepNext/>
        <w:spacing w:line="360" w:lineRule="auto"/>
        <w:jc w:val="center"/>
        <w:rPr>
          <w:rFonts w:hint="default" w:ascii="Times New Roman" w:hAnsi="Times New Roman"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五、企业近三年内类似业绩证明</w:t>
      </w:r>
    </w:p>
    <w:p w14:paraId="0576AE6D">
      <w:pPr>
        <w:keepNext/>
        <w:spacing w:line="360" w:lineRule="auto"/>
        <w:jc w:val="center"/>
        <w:rPr>
          <w:rFonts w:hint="default" w:ascii="Times New Roman" w:hAnsi="Times New Roman" w:cs="Times New Roman"/>
          <w:b/>
          <w:bCs/>
          <w:color w:val="auto"/>
          <w:sz w:val="32"/>
          <w:szCs w:val="32"/>
          <w:highlight w:val="none"/>
          <w:lang w:val="en-US" w:eastAsia="zh-CN"/>
        </w:rPr>
      </w:pPr>
    </w:p>
    <w:p w14:paraId="57E7DF4E">
      <w:pPr>
        <w:keepNext/>
        <w:spacing w:line="360" w:lineRule="auto"/>
        <w:jc w:val="center"/>
        <w:rPr>
          <w:rFonts w:hint="default" w:ascii="Times New Roman" w:hAnsi="Times New Roman" w:cs="Times New Roman"/>
          <w:b/>
          <w:bCs/>
          <w:color w:val="auto"/>
          <w:sz w:val="32"/>
          <w:szCs w:val="32"/>
          <w:highlight w:val="none"/>
          <w:lang w:val="en-US" w:eastAsia="zh-CN"/>
        </w:rPr>
      </w:pPr>
    </w:p>
    <w:p w14:paraId="4D98B03C">
      <w:pPr>
        <w:keepNext/>
        <w:spacing w:line="360" w:lineRule="auto"/>
        <w:jc w:val="center"/>
        <w:rPr>
          <w:rFonts w:hint="default" w:ascii="Times New Roman" w:hAnsi="Times New Roman" w:cs="Times New Roman"/>
          <w:b/>
          <w:bCs/>
          <w:color w:val="auto"/>
          <w:sz w:val="32"/>
          <w:szCs w:val="32"/>
          <w:highlight w:val="none"/>
          <w:lang w:val="en-US" w:eastAsia="zh-CN"/>
        </w:rPr>
      </w:pPr>
    </w:p>
    <w:p w14:paraId="3EF07516">
      <w:pPr>
        <w:keepNext/>
        <w:spacing w:line="360" w:lineRule="auto"/>
        <w:jc w:val="center"/>
        <w:rPr>
          <w:rFonts w:hint="default" w:ascii="Times New Roman" w:hAnsi="Times New Roman" w:cs="Times New Roman"/>
          <w:b/>
          <w:bCs/>
          <w:color w:val="auto"/>
          <w:sz w:val="32"/>
          <w:szCs w:val="32"/>
          <w:highlight w:val="none"/>
          <w:lang w:val="en-US" w:eastAsia="zh-CN"/>
        </w:rPr>
      </w:pPr>
    </w:p>
    <w:p w14:paraId="5733D367">
      <w:pPr>
        <w:keepNext/>
        <w:spacing w:line="360" w:lineRule="auto"/>
        <w:jc w:val="center"/>
        <w:rPr>
          <w:rFonts w:hint="default" w:ascii="Times New Roman" w:hAnsi="Times New Roman" w:cs="Times New Roman"/>
          <w:b/>
          <w:bCs/>
          <w:color w:val="auto"/>
          <w:sz w:val="32"/>
          <w:szCs w:val="32"/>
          <w:highlight w:val="none"/>
          <w:lang w:val="en-US" w:eastAsia="zh-CN"/>
        </w:rPr>
      </w:pPr>
    </w:p>
    <w:p w14:paraId="19C1D44E">
      <w:pPr>
        <w:keepNext/>
        <w:spacing w:line="360" w:lineRule="auto"/>
        <w:jc w:val="center"/>
        <w:rPr>
          <w:rFonts w:hint="default" w:ascii="Times New Roman" w:hAnsi="Times New Roman" w:cs="Times New Roman"/>
          <w:b/>
          <w:bCs/>
          <w:color w:val="auto"/>
          <w:sz w:val="32"/>
          <w:szCs w:val="32"/>
          <w:highlight w:val="none"/>
          <w:lang w:val="en-US" w:eastAsia="zh-CN"/>
        </w:rPr>
      </w:pPr>
    </w:p>
    <w:p w14:paraId="4C6E477B">
      <w:pPr>
        <w:keepNext/>
        <w:spacing w:line="360" w:lineRule="auto"/>
        <w:jc w:val="center"/>
        <w:rPr>
          <w:rFonts w:hint="default" w:ascii="Times New Roman" w:hAnsi="Times New Roman" w:cs="Times New Roman"/>
          <w:b/>
          <w:bCs/>
          <w:color w:val="auto"/>
          <w:sz w:val="32"/>
          <w:szCs w:val="32"/>
          <w:highlight w:val="none"/>
          <w:lang w:val="en-US" w:eastAsia="zh-CN"/>
        </w:rPr>
      </w:pPr>
    </w:p>
    <w:p w14:paraId="2339C802">
      <w:pPr>
        <w:keepNext/>
        <w:spacing w:line="360" w:lineRule="auto"/>
        <w:jc w:val="center"/>
        <w:rPr>
          <w:rFonts w:hint="default" w:ascii="Times New Roman" w:hAnsi="Times New Roman" w:cs="Times New Roman"/>
          <w:b/>
          <w:bCs/>
          <w:color w:val="auto"/>
          <w:sz w:val="32"/>
          <w:szCs w:val="32"/>
          <w:highlight w:val="none"/>
          <w:lang w:val="en-US" w:eastAsia="zh-CN"/>
        </w:rPr>
      </w:pPr>
    </w:p>
    <w:p w14:paraId="650A09F6">
      <w:pPr>
        <w:keepNext/>
        <w:spacing w:line="360" w:lineRule="auto"/>
        <w:jc w:val="center"/>
        <w:rPr>
          <w:rFonts w:hint="default" w:ascii="Times New Roman" w:hAnsi="Times New Roman" w:cs="Times New Roman"/>
          <w:b/>
          <w:bCs/>
          <w:color w:val="auto"/>
          <w:sz w:val="32"/>
          <w:szCs w:val="32"/>
          <w:highlight w:val="none"/>
          <w:lang w:val="en-US" w:eastAsia="zh-CN"/>
        </w:rPr>
      </w:pPr>
    </w:p>
    <w:p w14:paraId="4691AD1B">
      <w:pPr>
        <w:keepNext/>
        <w:spacing w:line="360" w:lineRule="auto"/>
        <w:jc w:val="center"/>
        <w:rPr>
          <w:rFonts w:hint="default" w:ascii="Times New Roman" w:hAnsi="Times New Roman" w:cs="Times New Roman"/>
          <w:b/>
          <w:bCs/>
          <w:color w:val="auto"/>
          <w:sz w:val="32"/>
          <w:szCs w:val="32"/>
          <w:highlight w:val="none"/>
          <w:lang w:val="en-US" w:eastAsia="zh-CN"/>
        </w:rPr>
      </w:pPr>
    </w:p>
    <w:p w14:paraId="6ED3FE14">
      <w:pPr>
        <w:keepNext/>
        <w:spacing w:line="360" w:lineRule="auto"/>
        <w:jc w:val="center"/>
        <w:rPr>
          <w:rFonts w:hint="default" w:ascii="Times New Roman" w:hAnsi="Times New Roman" w:cs="Times New Roman"/>
          <w:b/>
          <w:bCs/>
          <w:color w:val="auto"/>
          <w:sz w:val="32"/>
          <w:szCs w:val="32"/>
          <w:highlight w:val="none"/>
          <w:lang w:val="en-US" w:eastAsia="zh-CN"/>
        </w:rPr>
      </w:pPr>
    </w:p>
    <w:p w14:paraId="04ED6953">
      <w:pPr>
        <w:keepNext/>
        <w:spacing w:line="360" w:lineRule="auto"/>
        <w:jc w:val="center"/>
        <w:rPr>
          <w:rFonts w:hint="default" w:ascii="Times New Roman" w:hAnsi="Times New Roman" w:cs="Times New Roman"/>
          <w:b/>
          <w:bCs/>
          <w:color w:val="auto"/>
          <w:sz w:val="32"/>
          <w:szCs w:val="32"/>
          <w:highlight w:val="none"/>
          <w:lang w:val="en-US" w:eastAsia="zh-CN"/>
        </w:rPr>
      </w:pPr>
    </w:p>
    <w:p w14:paraId="315D6747">
      <w:pPr>
        <w:keepNext/>
        <w:spacing w:line="360" w:lineRule="auto"/>
        <w:jc w:val="center"/>
        <w:rPr>
          <w:rFonts w:hint="default" w:ascii="Times New Roman" w:hAnsi="Times New Roman" w:cs="Times New Roman"/>
          <w:b/>
          <w:bCs/>
          <w:color w:val="auto"/>
          <w:sz w:val="32"/>
          <w:szCs w:val="32"/>
          <w:highlight w:val="none"/>
          <w:lang w:val="en-US" w:eastAsia="zh-CN"/>
        </w:rPr>
      </w:pPr>
    </w:p>
    <w:p w14:paraId="7E8C8CAC">
      <w:pPr>
        <w:keepNext/>
        <w:spacing w:line="360" w:lineRule="auto"/>
        <w:jc w:val="center"/>
        <w:rPr>
          <w:rFonts w:hint="default" w:ascii="Times New Roman" w:hAnsi="Times New Roman" w:cs="Times New Roman"/>
          <w:b/>
          <w:bCs/>
          <w:color w:val="auto"/>
          <w:sz w:val="32"/>
          <w:szCs w:val="32"/>
          <w:highlight w:val="none"/>
          <w:lang w:val="en-US" w:eastAsia="zh-CN"/>
        </w:rPr>
      </w:pPr>
    </w:p>
    <w:p w14:paraId="68607B41">
      <w:pPr>
        <w:keepNext/>
        <w:spacing w:line="360" w:lineRule="auto"/>
        <w:jc w:val="center"/>
        <w:rPr>
          <w:rFonts w:hint="default" w:ascii="Times New Roman" w:hAnsi="Times New Roman" w:cs="Times New Roman"/>
          <w:b/>
          <w:bCs/>
          <w:color w:val="auto"/>
          <w:sz w:val="32"/>
          <w:szCs w:val="32"/>
          <w:highlight w:val="none"/>
          <w:lang w:val="en-US" w:eastAsia="zh-CN"/>
        </w:rPr>
      </w:pPr>
    </w:p>
    <w:p w14:paraId="218F48D4">
      <w:pPr>
        <w:keepNext/>
        <w:spacing w:line="360" w:lineRule="auto"/>
        <w:jc w:val="center"/>
        <w:rPr>
          <w:rFonts w:hint="default" w:ascii="Times New Roman" w:hAnsi="Times New Roman" w:cs="Times New Roman"/>
          <w:b/>
          <w:bCs/>
          <w:color w:val="auto"/>
          <w:sz w:val="32"/>
          <w:szCs w:val="32"/>
          <w:highlight w:val="none"/>
          <w:lang w:val="en-US" w:eastAsia="zh-CN"/>
        </w:rPr>
      </w:pPr>
    </w:p>
    <w:p w14:paraId="4CAAF23B">
      <w:pPr>
        <w:keepNext/>
        <w:spacing w:line="360" w:lineRule="auto"/>
        <w:jc w:val="center"/>
        <w:rPr>
          <w:rFonts w:hint="default" w:ascii="Times New Roman" w:hAnsi="Times New Roman" w:cs="Times New Roman"/>
          <w:b/>
          <w:bCs/>
          <w:color w:val="auto"/>
          <w:sz w:val="32"/>
          <w:szCs w:val="32"/>
          <w:highlight w:val="none"/>
          <w:lang w:val="en-US" w:eastAsia="zh-CN"/>
        </w:rPr>
      </w:pPr>
    </w:p>
    <w:p w14:paraId="5BA138C8">
      <w:pPr>
        <w:keepNext/>
        <w:spacing w:line="360" w:lineRule="auto"/>
        <w:jc w:val="center"/>
        <w:rPr>
          <w:rFonts w:hint="default" w:ascii="Times New Roman" w:hAnsi="Times New Roman" w:cs="Times New Roman"/>
          <w:b/>
          <w:bCs/>
          <w:color w:val="auto"/>
          <w:sz w:val="32"/>
          <w:szCs w:val="32"/>
          <w:highlight w:val="none"/>
          <w:lang w:val="en-US" w:eastAsia="zh-CN"/>
        </w:rPr>
      </w:pPr>
    </w:p>
    <w:p w14:paraId="7F1B3EC8">
      <w:pPr>
        <w:keepNext/>
        <w:spacing w:line="360" w:lineRule="auto"/>
        <w:jc w:val="center"/>
        <w:rPr>
          <w:rFonts w:hint="default" w:ascii="Times New Roman" w:hAnsi="Times New Roman" w:cs="Times New Roman"/>
          <w:b/>
          <w:bCs/>
          <w:color w:val="auto"/>
          <w:sz w:val="32"/>
          <w:szCs w:val="32"/>
          <w:highlight w:val="none"/>
          <w:lang w:val="en-US" w:eastAsia="zh-CN"/>
        </w:rPr>
      </w:pPr>
    </w:p>
    <w:p w14:paraId="2AA5CB4F">
      <w:pPr>
        <w:keepNext/>
        <w:spacing w:line="360" w:lineRule="auto"/>
        <w:jc w:val="center"/>
        <w:rPr>
          <w:rFonts w:hint="default" w:ascii="Times New Roman" w:hAnsi="Times New Roman" w:cs="Times New Roman"/>
          <w:b/>
          <w:bCs/>
          <w:color w:val="auto"/>
          <w:sz w:val="32"/>
          <w:szCs w:val="32"/>
          <w:highlight w:val="none"/>
          <w:lang w:val="en-US" w:eastAsia="zh-CN"/>
        </w:rPr>
      </w:pPr>
    </w:p>
    <w:p w14:paraId="16AF851D">
      <w:pPr>
        <w:keepNext/>
        <w:spacing w:line="360" w:lineRule="auto"/>
        <w:jc w:val="center"/>
        <w:rPr>
          <w:rFonts w:hint="default" w:ascii="Times New Roman" w:hAnsi="Times New Roman" w:cs="Times New Roman"/>
          <w:b/>
          <w:bCs/>
          <w:color w:val="auto"/>
          <w:sz w:val="32"/>
          <w:szCs w:val="32"/>
          <w:highlight w:val="none"/>
          <w:lang w:val="en-US" w:eastAsia="zh-CN"/>
        </w:rPr>
      </w:pPr>
    </w:p>
    <w:p w14:paraId="6D683107">
      <w:pPr>
        <w:keepNext/>
        <w:spacing w:line="360" w:lineRule="auto"/>
        <w:jc w:val="cente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六</w:t>
      </w:r>
      <w:r>
        <w:rPr>
          <w:rFonts w:hint="default" w:ascii="Times New Roman" w:hAnsi="Times New Roman" w:eastAsia="宋体" w:cs="Times New Roman"/>
          <w:b/>
          <w:bCs/>
          <w:color w:val="auto"/>
          <w:sz w:val="32"/>
          <w:szCs w:val="32"/>
          <w:highlight w:val="none"/>
        </w:rPr>
        <w:t>、</w:t>
      </w:r>
      <w:bookmarkEnd w:id="580"/>
      <w:r>
        <w:rPr>
          <w:rFonts w:hint="default" w:ascii="Times New Roman" w:hAnsi="Times New Roman" w:cs="Times New Roman"/>
          <w:b/>
          <w:bCs/>
          <w:color w:val="auto"/>
          <w:sz w:val="32"/>
          <w:szCs w:val="32"/>
          <w:highlight w:val="none"/>
          <w:lang w:val="en-US" w:eastAsia="zh-CN"/>
        </w:rPr>
        <w:t>施工组织设计</w:t>
      </w:r>
    </w:p>
    <w:p w14:paraId="0BC2F876">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（格式自拟）</w:t>
      </w:r>
    </w:p>
    <w:p w14:paraId="248974E8">
      <w:pPr>
        <w:keepNext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w:t>
      </w:r>
      <w:r>
        <w:rPr>
          <w:rFonts w:hint="default" w:ascii="Times New Roman" w:hAnsi="Times New Roman" w:eastAsia="宋体" w:cs="Times New Roman"/>
          <w:bCs/>
          <w:color w:val="auto"/>
          <w:sz w:val="21"/>
          <w:szCs w:val="21"/>
          <w:highlight w:val="none"/>
        </w:rPr>
        <w:t>供应商按照磋商文件“第</w:t>
      </w:r>
      <w:r>
        <w:rPr>
          <w:rFonts w:hint="default" w:ascii="Times New Roman" w:hAnsi="Times New Roman" w:eastAsia="宋体" w:cs="Times New Roman"/>
          <w:bCs/>
          <w:color w:val="auto"/>
          <w:sz w:val="21"/>
          <w:szCs w:val="21"/>
          <w:highlight w:val="none"/>
          <w:lang w:val="en-US" w:eastAsia="zh-CN"/>
        </w:rPr>
        <w:t>五</w:t>
      </w:r>
      <w:r>
        <w:rPr>
          <w:rFonts w:hint="default" w:ascii="Times New Roman" w:hAnsi="Times New Roman" w:eastAsia="宋体" w:cs="Times New Roman"/>
          <w:bCs/>
          <w:color w:val="auto"/>
          <w:sz w:val="21"/>
          <w:szCs w:val="21"/>
          <w:highlight w:val="none"/>
        </w:rPr>
        <w:t xml:space="preserve">章 </w:t>
      </w:r>
      <w:r>
        <w:rPr>
          <w:rFonts w:hint="eastAsia" w:ascii="宋体" w:hAnsi="宋体" w:eastAsia="宋体" w:cs="宋体"/>
          <w:bCs/>
          <w:sz w:val="21"/>
          <w:szCs w:val="21"/>
          <w:highlight w:val="none"/>
          <w:lang w:val="zh-CN" w:eastAsia="zh-CN"/>
        </w:rPr>
        <w:t>施工内容及技术要求</w:t>
      </w:r>
      <w:r>
        <w:rPr>
          <w:rFonts w:hint="default" w:ascii="Times New Roman" w:hAnsi="Times New Roman" w:eastAsia="宋体" w:cs="Times New Roman"/>
          <w:bCs/>
          <w:color w:val="auto"/>
          <w:sz w:val="21"/>
          <w:szCs w:val="21"/>
          <w:highlight w:val="none"/>
        </w:rPr>
        <w:t>”及磋商文件“第</w:t>
      </w:r>
      <w:r>
        <w:rPr>
          <w:rFonts w:hint="eastAsia" w:eastAsia="宋体" w:cs="Times New Roman"/>
          <w:bCs/>
          <w:color w:val="auto"/>
          <w:sz w:val="21"/>
          <w:szCs w:val="21"/>
          <w:highlight w:val="none"/>
          <w:lang w:val="en-US" w:eastAsia="zh-CN"/>
        </w:rPr>
        <w:t>四</w:t>
      </w:r>
      <w:r>
        <w:rPr>
          <w:rFonts w:hint="default" w:ascii="Times New Roman" w:hAnsi="Times New Roman" w:eastAsia="宋体" w:cs="Times New Roman"/>
          <w:bCs/>
          <w:color w:val="auto"/>
          <w:sz w:val="21"/>
          <w:szCs w:val="21"/>
          <w:highlight w:val="none"/>
        </w:rPr>
        <w:t>章 评审</w:t>
      </w:r>
      <w:r>
        <w:rPr>
          <w:rFonts w:hint="eastAsia" w:eastAsia="宋体" w:cs="Times New Roman"/>
          <w:bCs/>
          <w:color w:val="auto"/>
          <w:sz w:val="21"/>
          <w:szCs w:val="21"/>
          <w:highlight w:val="none"/>
          <w:lang w:val="en-US" w:eastAsia="zh-CN"/>
        </w:rPr>
        <w:t>办</w:t>
      </w:r>
      <w:r>
        <w:rPr>
          <w:rFonts w:hint="default" w:ascii="Times New Roman" w:hAnsi="Times New Roman" w:eastAsia="宋体" w:cs="Times New Roman"/>
          <w:bCs/>
          <w:color w:val="auto"/>
          <w:sz w:val="21"/>
          <w:szCs w:val="21"/>
          <w:highlight w:val="none"/>
          <w:lang w:val="en-US" w:eastAsia="zh-CN"/>
        </w:rPr>
        <w:t>法”中的评审细则表编制对应的</w:t>
      </w:r>
      <w:r>
        <w:rPr>
          <w:rFonts w:hint="default" w:ascii="Times New Roman" w:hAnsi="Times New Roman" w:cs="Times New Roman"/>
          <w:bCs/>
          <w:color w:val="auto"/>
          <w:sz w:val="21"/>
          <w:szCs w:val="21"/>
          <w:highlight w:val="none"/>
          <w:lang w:val="en-US" w:eastAsia="zh-CN"/>
        </w:rPr>
        <w:t>施工组织设计</w:t>
      </w:r>
      <w:r>
        <w:rPr>
          <w:rFonts w:hint="default" w:ascii="Times New Roman" w:hAnsi="Times New Roman" w:eastAsia="宋体" w:cs="Times New Roman"/>
          <w:bCs/>
          <w:color w:val="auto"/>
          <w:sz w:val="21"/>
          <w:szCs w:val="21"/>
          <w:highlight w:val="none"/>
          <w:lang w:val="en-US" w:eastAsia="zh-CN"/>
        </w:rPr>
        <w:t>。</w:t>
      </w:r>
    </w:p>
    <w:bookmarkEnd w:id="581"/>
    <w:bookmarkEnd w:id="582"/>
    <w:bookmarkEnd w:id="583"/>
    <w:p w14:paraId="6D4F3FD1">
      <w:pPr>
        <w:rPr>
          <w:rFonts w:hint="default" w:ascii="Times New Roman" w:hAnsi="Times New Roman" w:eastAsia="仿宋" w:cs="Times New Roman"/>
          <w:color w:val="auto"/>
          <w:szCs w:val="21"/>
          <w:highlight w:val="none"/>
        </w:rPr>
      </w:pPr>
    </w:p>
    <w:p w14:paraId="65E5A60C">
      <w:pPr>
        <w:rPr>
          <w:rFonts w:hint="default" w:ascii="Times New Roman" w:hAnsi="Times New Roman" w:eastAsia="仿宋" w:cs="Times New Roman"/>
          <w:color w:val="auto"/>
          <w:szCs w:val="21"/>
          <w:highlight w:val="none"/>
        </w:rPr>
      </w:pPr>
    </w:p>
    <w:p w14:paraId="46CF8A6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p>
    <w:p w14:paraId="29126F0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p>
    <w:p w14:paraId="62A7947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sectPr>
          <w:footerReference r:id="rId21" w:type="default"/>
          <w:pgSz w:w="11906" w:h="16838"/>
          <w:pgMar w:top="1417" w:right="1417" w:bottom="1417" w:left="1417" w:header="851" w:footer="992" w:gutter="0"/>
          <w:pgNumType w:fmt="decimal"/>
          <w:cols w:space="0" w:num="1"/>
          <w:docGrid w:type="lines" w:linePitch="312" w:charSpace="0"/>
        </w:sectPr>
      </w:pPr>
    </w:p>
    <w:p w14:paraId="391FF83D">
      <w:pPr>
        <w:keepNext/>
        <w:keepLines/>
        <w:widowControl w:val="0"/>
        <w:suppressLineNumbers w:val="0"/>
        <w:spacing w:before="156" w:beforeLines="50" w:beforeAutospacing="0" w:after="156" w:afterLines="50" w:afterAutospacing="0"/>
        <w:ind w:left="0" w:right="0"/>
        <w:jc w:val="both"/>
        <w:outlineLvl w:val="9"/>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b/>
          <w:bCs w:val="0"/>
          <w:color w:val="auto"/>
          <w:kern w:val="0"/>
          <w:sz w:val="24"/>
          <w:szCs w:val="24"/>
          <w:highlight w:val="none"/>
          <w:lang w:val="en-US" w:eastAsia="zh-CN" w:bidi="ar"/>
        </w:rPr>
        <w:t>附表一</w:t>
      </w:r>
      <w:r>
        <w:rPr>
          <w:rFonts w:hint="eastAsia" w:eastAsia="宋体" w:cs="Times New Roman"/>
          <w:b/>
          <w:bCs w:val="0"/>
          <w:color w:val="auto"/>
          <w:kern w:val="0"/>
          <w:sz w:val="24"/>
          <w:szCs w:val="24"/>
          <w:highlight w:val="none"/>
          <w:lang w:val="en-US" w:eastAsia="zh-CN" w:bidi="ar"/>
        </w:rPr>
        <w:t>：</w:t>
      </w:r>
      <w:r>
        <w:rPr>
          <w:rFonts w:hint="default" w:ascii="Times New Roman" w:hAnsi="Times New Roman" w:eastAsia="宋体" w:cs="Times New Roman"/>
          <w:color w:val="auto"/>
          <w:kern w:val="2"/>
          <w:sz w:val="24"/>
          <w:szCs w:val="24"/>
          <w:highlight w:val="none"/>
          <w:lang w:val="en-US" w:eastAsia="zh-CN" w:bidi="ar"/>
        </w:rPr>
        <w:t xml:space="preserve">                    </w:t>
      </w:r>
    </w:p>
    <w:p w14:paraId="535D82C5">
      <w:pPr>
        <w:keepNext/>
        <w:keepLines/>
        <w:widowControl w:val="0"/>
        <w:suppressLineNumbers w:val="0"/>
        <w:spacing w:before="156" w:beforeLines="50" w:beforeAutospacing="0" w:after="156" w:afterLines="50" w:afterAutospacing="0"/>
        <w:ind w:left="0" w:right="0"/>
        <w:jc w:val="center"/>
        <w:outlineLvl w:val="9"/>
        <w:rPr>
          <w:rFonts w:hint="default" w:ascii="Times New Roman" w:hAnsi="Times New Roman" w:eastAsia="宋体" w:cs="Times New Roman"/>
          <w:b/>
          <w:bCs/>
          <w:color w:val="auto"/>
          <w:kern w:val="2"/>
          <w:sz w:val="28"/>
          <w:szCs w:val="28"/>
          <w:highlight w:val="none"/>
        </w:rPr>
      </w:pPr>
      <w:r>
        <w:rPr>
          <w:rFonts w:hint="default" w:ascii="Times New Roman" w:hAnsi="Times New Roman" w:eastAsia="宋体" w:cs="Times New Roman"/>
          <w:b/>
          <w:bCs/>
          <w:color w:val="auto"/>
          <w:kern w:val="2"/>
          <w:sz w:val="28"/>
          <w:szCs w:val="28"/>
          <w:highlight w:val="none"/>
          <w:lang w:val="en-US" w:eastAsia="zh-CN" w:bidi="ar"/>
        </w:rPr>
        <w:t>项目管理机构组成表</w:t>
      </w:r>
    </w:p>
    <w:p w14:paraId="68A481E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tbl>
      <w:tblPr>
        <w:tblStyle w:val="37"/>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070"/>
        <w:gridCol w:w="727"/>
        <w:gridCol w:w="715"/>
        <w:gridCol w:w="869"/>
        <w:gridCol w:w="1521"/>
        <w:gridCol w:w="1521"/>
        <w:gridCol w:w="1566"/>
      </w:tblGrid>
      <w:tr w14:paraId="3FB823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11" w:type="dxa"/>
            <w:tcBorders>
              <w:top w:val="single" w:color="auto" w:sz="8" w:space="0"/>
              <w:left w:val="single" w:color="auto" w:sz="8" w:space="0"/>
              <w:bottom w:val="single" w:color="auto" w:sz="4" w:space="0"/>
              <w:right w:val="single" w:color="auto" w:sz="4" w:space="0"/>
            </w:tcBorders>
            <w:noWrap w:val="0"/>
            <w:vAlign w:val="center"/>
          </w:tcPr>
          <w:p w14:paraId="55665E0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序号</w:t>
            </w:r>
          </w:p>
        </w:tc>
        <w:tc>
          <w:tcPr>
            <w:tcW w:w="1070" w:type="dxa"/>
            <w:tcBorders>
              <w:top w:val="single" w:color="auto" w:sz="8" w:space="0"/>
              <w:left w:val="single" w:color="auto" w:sz="4" w:space="0"/>
              <w:bottom w:val="single" w:color="auto" w:sz="4" w:space="0"/>
              <w:right w:val="single" w:color="auto" w:sz="4" w:space="0"/>
            </w:tcBorders>
            <w:noWrap w:val="0"/>
            <w:vAlign w:val="center"/>
          </w:tcPr>
          <w:p w14:paraId="4A71D4F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姓名</w:t>
            </w:r>
          </w:p>
        </w:tc>
        <w:tc>
          <w:tcPr>
            <w:tcW w:w="727" w:type="dxa"/>
            <w:tcBorders>
              <w:top w:val="single" w:color="auto" w:sz="8" w:space="0"/>
              <w:left w:val="single" w:color="auto" w:sz="4" w:space="0"/>
              <w:bottom w:val="single" w:color="auto" w:sz="4" w:space="0"/>
              <w:right w:val="single" w:color="auto" w:sz="4" w:space="0"/>
            </w:tcBorders>
            <w:noWrap w:val="0"/>
            <w:vAlign w:val="center"/>
          </w:tcPr>
          <w:p w14:paraId="375C7E8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性别</w:t>
            </w:r>
          </w:p>
        </w:tc>
        <w:tc>
          <w:tcPr>
            <w:tcW w:w="715" w:type="dxa"/>
            <w:tcBorders>
              <w:top w:val="single" w:color="auto" w:sz="8" w:space="0"/>
              <w:left w:val="single" w:color="auto" w:sz="4" w:space="0"/>
              <w:bottom w:val="single" w:color="auto" w:sz="4" w:space="0"/>
              <w:right w:val="single" w:color="auto" w:sz="4" w:space="0"/>
            </w:tcBorders>
            <w:noWrap w:val="0"/>
            <w:vAlign w:val="center"/>
          </w:tcPr>
          <w:p w14:paraId="2248C00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年龄</w:t>
            </w:r>
          </w:p>
        </w:tc>
        <w:tc>
          <w:tcPr>
            <w:tcW w:w="869" w:type="dxa"/>
            <w:tcBorders>
              <w:top w:val="single" w:color="auto" w:sz="8" w:space="0"/>
              <w:left w:val="single" w:color="auto" w:sz="4" w:space="0"/>
              <w:bottom w:val="single" w:color="auto" w:sz="4" w:space="0"/>
              <w:right w:val="single" w:color="auto" w:sz="4" w:space="0"/>
            </w:tcBorders>
            <w:noWrap w:val="0"/>
            <w:vAlign w:val="center"/>
          </w:tcPr>
          <w:p w14:paraId="695878F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学历</w:t>
            </w:r>
          </w:p>
        </w:tc>
        <w:tc>
          <w:tcPr>
            <w:tcW w:w="1521" w:type="dxa"/>
            <w:tcBorders>
              <w:top w:val="single" w:color="auto" w:sz="8" w:space="0"/>
              <w:left w:val="single" w:color="auto" w:sz="4" w:space="0"/>
              <w:bottom w:val="single" w:color="auto" w:sz="4" w:space="0"/>
              <w:right w:val="single" w:color="auto" w:sz="4" w:space="0"/>
            </w:tcBorders>
            <w:noWrap w:val="0"/>
            <w:vAlign w:val="center"/>
          </w:tcPr>
          <w:p w14:paraId="1B09593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专业</w:t>
            </w:r>
          </w:p>
        </w:tc>
        <w:tc>
          <w:tcPr>
            <w:tcW w:w="1521" w:type="dxa"/>
            <w:tcBorders>
              <w:top w:val="single" w:color="auto" w:sz="8" w:space="0"/>
              <w:left w:val="single" w:color="auto" w:sz="4" w:space="0"/>
              <w:bottom w:val="single" w:color="auto" w:sz="4" w:space="0"/>
              <w:right w:val="single" w:color="auto" w:sz="4" w:space="0"/>
            </w:tcBorders>
            <w:noWrap w:val="0"/>
            <w:vAlign w:val="center"/>
          </w:tcPr>
          <w:p w14:paraId="1024341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资格证书</w:t>
            </w:r>
          </w:p>
          <w:p w14:paraId="244286A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及编号</w:t>
            </w:r>
          </w:p>
        </w:tc>
        <w:tc>
          <w:tcPr>
            <w:tcW w:w="1566" w:type="dxa"/>
            <w:tcBorders>
              <w:top w:val="single" w:color="auto" w:sz="8" w:space="0"/>
              <w:left w:val="single" w:color="auto" w:sz="4" w:space="0"/>
              <w:bottom w:val="single" w:color="auto" w:sz="4" w:space="0"/>
              <w:right w:val="single" w:color="auto" w:sz="8" w:space="0"/>
            </w:tcBorders>
            <w:noWrap w:val="0"/>
            <w:vAlign w:val="center"/>
          </w:tcPr>
          <w:p w14:paraId="4CD429A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拟在本项目中</w:t>
            </w:r>
          </w:p>
          <w:p w14:paraId="1C050B9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担任岗位</w:t>
            </w:r>
          </w:p>
        </w:tc>
      </w:tr>
      <w:tr w14:paraId="68A2D2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704C9E6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B1B9C0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A98423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743524A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436838F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106FB3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213ED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6B8CBD6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项目经理</w:t>
            </w:r>
          </w:p>
        </w:tc>
      </w:tr>
      <w:tr w14:paraId="63717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7459C2A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E1A6B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EA4EDD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E3C6C8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F89A6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4BA02E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6F469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0C4CF6F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技术负责人</w:t>
            </w:r>
          </w:p>
        </w:tc>
      </w:tr>
      <w:tr w14:paraId="14DBA6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360D13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23C11B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7FC25B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3E45EF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4930AF2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DC073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21100F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F3A72A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w:t>
            </w:r>
          </w:p>
        </w:tc>
      </w:tr>
      <w:tr w14:paraId="1698A2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B5727B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2E78D8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4471096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674CCD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A9E92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B210BB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A6C12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E08373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487B9D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4BE2D1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64BF8B1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45287A8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074A4AA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2E384C4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63D5D69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4DA23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1ED1011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p>
        </w:tc>
      </w:tr>
      <w:tr w14:paraId="58C06D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04747E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FAC801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3E3A51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2FE067B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6A3FAFF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DA7E06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1236B1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285341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30F95C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2CFEC79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C8B09A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6189E08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1ACE1C1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4D1DA2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52DEA8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47B373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2DF1602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4685D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1A4DD6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247EA9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21E4740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7BF9EFF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202058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9AC2EB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A92FB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1FB200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53E024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48B450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3D729E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01E9B2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44F1CE3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26948DB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8C62A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13411E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7E2527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160D43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3EEDD9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4B1A9E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E77AB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66E94C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78CF33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99505B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AA9A2D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6B238C7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41AD2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0CF634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3819F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ED164C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C5C969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12136D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5D86F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1C9819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39AD544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5FA556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DC9490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0F18491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35F7B5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024FDEA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1A7EE55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7F8E46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656508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44ABA73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28727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4FBEEC7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1AE8C1A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03A3E08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420234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37E0A76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ADCB48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6E489C3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7048299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322DB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639AAA7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00EC565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0F511BA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2C703B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F790F4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A2EC4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EEE94D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0B5BCB0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508C5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2EB733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09D0E2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2A5AE22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113907D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319A82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B85BA2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5B0541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43D830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27176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8" w:space="0"/>
              <w:right w:val="single" w:color="auto" w:sz="4" w:space="0"/>
            </w:tcBorders>
            <w:noWrap w:val="0"/>
            <w:vAlign w:val="center"/>
          </w:tcPr>
          <w:p w14:paraId="4A7208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8" w:space="0"/>
              <w:right w:val="single" w:color="auto" w:sz="4" w:space="0"/>
            </w:tcBorders>
            <w:noWrap w:val="0"/>
            <w:vAlign w:val="center"/>
          </w:tcPr>
          <w:p w14:paraId="795E7BB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8" w:space="0"/>
              <w:right w:val="single" w:color="auto" w:sz="4" w:space="0"/>
            </w:tcBorders>
            <w:noWrap w:val="0"/>
            <w:vAlign w:val="center"/>
          </w:tcPr>
          <w:p w14:paraId="471D7BB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8" w:space="0"/>
              <w:right w:val="single" w:color="auto" w:sz="4" w:space="0"/>
            </w:tcBorders>
            <w:noWrap w:val="0"/>
            <w:vAlign w:val="center"/>
          </w:tcPr>
          <w:p w14:paraId="7F056A0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8" w:space="0"/>
              <w:right w:val="single" w:color="auto" w:sz="4" w:space="0"/>
            </w:tcBorders>
            <w:noWrap w:val="0"/>
            <w:vAlign w:val="center"/>
          </w:tcPr>
          <w:p w14:paraId="5769615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8" w:space="0"/>
              <w:right w:val="single" w:color="auto" w:sz="4" w:space="0"/>
            </w:tcBorders>
            <w:noWrap w:val="0"/>
            <w:vAlign w:val="center"/>
          </w:tcPr>
          <w:p w14:paraId="0E5878A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8" w:space="0"/>
              <w:right w:val="single" w:color="auto" w:sz="4" w:space="0"/>
            </w:tcBorders>
            <w:noWrap w:val="0"/>
            <w:vAlign w:val="center"/>
          </w:tcPr>
          <w:p w14:paraId="079088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8" w:space="0"/>
              <w:right w:val="single" w:color="auto" w:sz="8" w:space="0"/>
            </w:tcBorders>
            <w:noWrap w:val="0"/>
            <w:vAlign w:val="center"/>
          </w:tcPr>
          <w:p w14:paraId="25CE8A2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bl>
    <w:p w14:paraId="0AAF1C50">
      <w:pPr>
        <w:pStyle w:val="16"/>
        <w:bidi w:val="0"/>
        <w:rPr>
          <w:rFonts w:hint="default"/>
          <w:lang w:val="en-US" w:eastAsia="zh-CN"/>
        </w:rPr>
      </w:pPr>
    </w:p>
    <w:p w14:paraId="0CBEAA4B">
      <w:pPr>
        <w:pStyle w:val="3"/>
        <w:jc w:val="center"/>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cs="Times New Roman"/>
          <w:b/>
          <w:bCs/>
          <w:color w:val="auto"/>
          <w:sz w:val="30"/>
          <w:szCs w:val="30"/>
          <w:highlight w:val="none"/>
          <w:lang w:val="en-US" w:eastAsia="zh-CN"/>
        </w:rPr>
        <w:t>七、</w:t>
      </w:r>
      <w:r>
        <w:rPr>
          <w:rFonts w:hint="default" w:ascii="Times New Roman" w:hAnsi="Times New Roman" w:eastAsia="宋体" w:cs="Times New Roman"/>
          <w:b/>
          <w:bCs/>
          <w:color w:val="auto"/>
          <w:sz w:val="30"/>
          <w:szCs w:val="30"/>
          <w:highlight w:val="none"/>
          <w:lang w:val="en-US" w:eastAsia="zh-CN"/>
        </w:rPr>
        <w:t>陕西省政府采购供应商拒绝政府采购领域商业贿赂承诺书</w:t>
      </w:r>
    </w:p>
    <w:p w14:paraId="299D1583">
      <w:pPr>
        <w:keepNext w:val="0"/>
        <w:keepLines w:val="0"/>
        <w:pageBreakBefore w:val="0"/>
        <w:widowControl/>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为响应党中央、国务院关于治理政府采购领域商业贿赂行为的号召，我公司在此庄严承诺：</w:t>
      </w:r>
    </w:p>
    <w:p w14:paraId="312EDEF7">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在参与政府采购活动中遵纪守法、诚信经营、公平竞标。</w:t>
      </w:r>
    </w:p>
    <w:p w14:paraId="7075F030">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不向政府采购人、采购代理机构和政府采购评审专家进行任何形式的商业贿赂以谋取交易机会。</w:t>
      </w:r>
    </w:p>
    <w:p w14:paraId="186D8D01">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不向政府采购代理机构和采购人提供虚假资质文件或采用虚假应标方式参与政府采购市场竞争并谋取中标、成交。</w:t>
      </w:r>
    </w:p>
    <w:p w14:paraId="7BE48AC7">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不采取“围标、陪标”等商业欺诈手段获得政府采购定单。</w:t>
      </w:r>
    </w:p>
    <w:p w14:paraId="4F234302">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不采取不正当手段诋毁、排挤其他供应商。</w:t>
      </w:r>
    </w:p>
    <w:p w14:paraId="75DCAF0F">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不在提供商品和服务时“偷梁换柱、以次充好”损害采购人的合法权益。</w:t>
      </w:r>
    </w:p>
    <w:p w14:paraId="43FF31F8">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不与采购人、采购代理机构政府采购评审专家或其它供应商恶意串通，进行质疑和投诉，维护政府采购市场秩序。</w:t>
      </w:r>
    </w:p>
    <w:p w14:paraId="4D19E3DD">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尊重和接受政府采购监督管理部门的监督和政府采购代理机构招标采购要求，承担因违约行为给采购人造成的损失。</w:t>
      </w:r>
    </w:p>
    <w:p w14:paraId="63D335EF">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不发生其他有悖于政府采购公开、公平、公正和诚信原则的行为。</w:t>
      </w:r>
      <w:r>
        <w:rPr>
          <w:rFonts w:hint="default" w:ascii="Times New Roman" w:hAnsi="Times New Roman" w:eastAsia="宋体" w:cs="Times New Roman"/>
          <w:color w:val="auto"/>
          <w:sz w:val="21"/>
          <w:szCs w:val="21"/>
          <w:highlight w:val="none"/>
        </w:rPr>
        <w:br w:type="textWrapping"/>
      </w:r>
    </w:p>
    <w:p w14:paraId="50A7A86C">
      <w:pPr>
        <w:widowControl/>
        <w:spacing w:line="408" w:lineRule="auto"/>
        <w:ind w:left="239" w:leftChars="11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承诺单位：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（盖章）</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lang w:eastAsia="zh-CN"/>
        </w:rPr>
        <w:t>被授权人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z w:val="21"/>
          <w:szCs w:val="21"/>
          <w:highlight w:val="none"/>
          <w:lang w:eastAsia="zh-CN"/>
        </w:rPr>
        <w:t>字</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地  址：</w:t>
      </w:r>
      <w:r>
        <w:rPr>
          <w:rFonts w:hint="default" w:ascii="Times New Roman" w:hAnsi="Times New Roman" w:eastAsia="宋体" w:cs="Times New Roman"/>
          <w:color w:val="auto"/>
          <w:sz w:val="21"/>
          <w:szCs w:val="21"/>
          <w:highlight w:val="none"/>
          <w:u w:val="single"/>
          <w:lang w:val="en-US" w:eastAsia="zh-CN"/>
        </w:rPr>
        <w:t xml:space="preserve">                          </w:t>
      </w:r>
    </w:p>
    <w:p w14:paraId="404F5B5F">
      <w:pPr>
        <w:widowControl/>
        <w:spacing w:line="408" w:lineRule="auto"/>
        <w:ind w:left="239" w:leftChars="114"/>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  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w:t>
      </w:r>
      <w:r>
        <w:rPr>
          <w:rFonts w:hint="default" w:ascii="Times New Roman" w:hAnsi="Times New Roman" w:eastAsia="宋体" w:cs="Times New Roman"/>
          <w:color w:val="auto"/>
          <w:sz w:val="21"/>
          <w:szCs w:val="21"/>
          <w:highlight w:val="none"/>
          <w:lang w:val="en-US" w:eastAsia="zh-CN"/>
        </w:rPr>
        <w:t xml:space="preserve">  </w:t>
      </w:r>
    </w:p>
    <w:p w14:paraId="247BC647">
      <w:pPr>
        <w:widowControl/>
        <w:spacing w:line="408" w:lineRule="auto"/>
        <w:ind w:left="239" w:leftChars="114"/>
        <w:jc w:val="left"/>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日 期：</w:t>
      </w:r>
      <w:r>
        <w:rPr>
          <w:rFonts w:hint="eastAsia"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年 </w:t>
      </w:r>
      <w:r>
        <w:rPr>
          <w:rFonts w:hint="default" w:ascii="Times New Roman" w:hAnsi="Times New Roman" w:eastAsia="宋体" w:cs="Times New Roman"/>
          <w:color w:val="auto"/>
          <w:sz w:val="21"/>
          <w:szCs w:val="21"/>
          <w:highlight w:val="none"/>
          <w:u w:val="single"/>
        </w:rPr>
        <w:t>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w:t>
      </w:r>
      <w:r>
        <w:rPr>
          <w:rFonts w:hint="default" w:ascii="Times New Roman" w:hAnsi="Times New Roman" w:eastAsia="宋体" w:cs="Times New Roman"/>
          <w:color w:val="auto"/>
          <w:sz w:val="21"/>
          <w:szCs w:val="21"/>
          <w:highlight w:val="none"/>
        </w:rPr>
        <w:t>日</w:t>
      </w:r>
    </w:p>
    <w:bookmarkEnd w:id="572"/>
    <w:bookmarkEnd w:id="573"/>
    <w:bookmarkEnd w:id="574"/>
    <w:bookmarkEnd w:id="575"/>
    <w:p w14:paraId="5B8E0052">
      <w:pPr>
        <w:spacing w:line="360" w:lineRule="auto"/>
        <w:jc w:val="center"/>
        <w:rPr>
          <w:rFonts w:hint="default" w:ascii="Times New Roman" w:hAnsi="Times New Roman" w:eastAsia="宋体" w:cs="Times New Roman"/>
          <w:b/>
          <w:bCs/>
          <w:color w:val="auto"/>
          <w:sz w:val="30"/>
          <w:szCs w:val="30"/>
          <w:highlight w:val="none"/>
        </w:rPr>
      </w:pPr>
      <w:bookmarkStart w:id="584" w:name="_Toc19798_WPSOffice_Level1"/>
      <w:bookmarkStart w:id="585" w:name="_Toc31052_WPSOffice_Level1"/>
    </w:p>
    <w:p w14:paraId="572135E0">
      <w:pPr>
        <w:spacing w:line="360" w:lineRule="auto"/>
        <w:jc w:val="center"/>
        <w:rPr>
          <w:rFonts w:hint="default" w:ascii="Times New Roman" w:hAnsi="Times New Roman" w:eastAsia="宋体" w:cs="Times New Roman"/>
          <w:b/>
          <w:bCs/>
          <w:color w:val="auto"/>
          <w:sz w:val="30"/>
          <w:szCs w:val="30"/>
          <w:highlight w:val="none"/>
        </w:rPr>
      </w:pPr>
    </w:p>
    <w:p w14:paraId="1C55C7E1">
      <w:pPr>
        <w:spacing w:line="360" w:lineRule="auto"/>
        <w:jc w:val="center"/>
        <w:rPr>
          <w:rFonts w:hint="default" w:ascii="Times New Roman" w:hAnsi="Times New Roman" w:eastAsia="宋体" w:cs="Times New Roman"/>
          <w:b/>
          <w:bCs/>
          <w:color w:val="auto"/>
          <w:sz w:val="30"/>
          <w:szCs w:val="30"/>
          <w:highlight w:val="none"/>
        </w:rPr>
      </w:pPr>
    </w:p>
    <w:p w14:paraId="1C22E419">
      <w:pPr>
        <w:spacing w:line="360" w:lineRule="auto"/>
        <w:jc w:val="center"/>
        <w:rPr>
          <w:rFonts w:hint="default" w:ascii="Times New Roman" w:hAnsi="Times New Roman" w:eastAsia="宋体" w:cs="Times New Roman"/>
          <w:b/>
          <w:bCs/>
          <w:color w:val="auto"/>
          <w:sz w:val="30"/>
          <w:szCs w:val="30"/>
          <w:highlight w:val="none"/>
        </w:rPr>
      </w:pPr>
    </w:p>
    <w:bookmarkEnd w:id="584"/>
    <w:bookmarkEnd w:id="585"/>
    <w:p w14:paraId="12C8A49C">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cs="Times New Roman"/>
          <w:b/>
          <w:bCs/>
          <w:color w:val="auto"/>
          <w:sz w:val="30"/>
          <w:szCs w:val="30"/>
          <w:highlight w:val="none"/>
          <w:lang w:val="en-US" w:eastAsia="zh-CN"/>
        </w:rPr>
        <w:t>八</w:t>
      </w:r>
      <w:r>
        <w:rPr>
          <w:rFonts w:hint="default" w:ascii="Times New Roman" w:hAnsi="Times New Roman" w:eastAsia="宋体" w:cs="Times New Roman"/>
          <w:b/>
          <w:bCs/>
          <w:color w:val="auto"/>
          <w:sz w:val="30"/>
          <w:szCs w:val="30"/>
          <w:highlight w:val="none"/>
          <w:lang w:val="en-US" w:eastAsia="zh-CN"/>
        </w:rPr>
        <w:t>、其他资料（如有）</w:t>
      </w:r>
    </w:p>
    <w:p w14:paraId="76FB0448">
      <w:pPr>
        <w:shd w:val="clear" w:color="auto" w:fill="auto"/>
        <w:ind w:firstLine="420" w:firstLineChars="200"/>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lang w:eastAsia="zh-CN"/>
        </w:rPr>
        <w:t>依据</w:t>
      </w:r>
      <w:r>
        <w:rPr>
          <w:rFonts w:hint="default" w:ascii="Times New Roman" w:hAnsi="Times New Roman" w:cs="Times New Roman"/>
          <w:b w:val="0"/>
          <w:bCs/>
          <w:color w:val="auto"/>
          <w:sz w:val="21"/>
          <w:szCs w:val="21"/>
          <w:highlight w:val="none"/>
          <w:lang w:val="en-US" w:eastAsia="zh-CN"/>
        </w:rPr>
        <w:t>磋商文件</w:t>
      </w:r>
      <w:r>
        <w:rPr>
          <w:rFonts w:hint="default" w:ascii="Times New Roman" w:hAnsi="Times New Roman" w:eastAsia="宋体" w:cs="Times New Roman"/>
          <w:b w:val="0"/>
          <w:bCs/>
          <w:color w:val="auto"/>
          <w:sz w:val="21"/>
          <w:szCs w:val="21"/>
          <w:highlight w:val="none"/>
          <w:lang w:eastAsia="zh-CN"/>
        </w:rPr>
        <w:t>要求，供应商认为有必要说明的其他内容。</w:t>
      </w:r>
    </w:p>
    <w:p w14:paraId="23863347">
      <w:pPr>
        <w:shd w:val="clear" w:color="auto" w:fill="auto"/>
        <w:ind w:firstLine="420" w:firstLineChars="20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r>
        <w:rPr>
          <w:rFonts w:hint="default" w:ascii="Times New Roman" w:hAnsi="Times New Roman" w:eastAsia="宋体" w:cs="Times New Roman"/>
          <w:b w:val="0"/>
          <w:bCs/>
          <w:color w:val="auto"/>
          <w:sz w:val="21"/>
          <w:szCs w:val="21"/>
          <w:highlight w:val="none"/>
          <w:lang w:eastAsia="zh-CN"/>
        </w:rPr>
        <w:t>、其他可以证明供应商实力的文件。</w:t>
      </w:r>
    </w:p>
    <w:p w14:paraId="4C2D3D6A">
      <w:pPr>
        <w:pStyle w:val="16"/>
        <w:rPr>
          <w:rFonts w:hint="eastAsia" w:ascii="宋体" w:hAnsi="宋体" w:eastAsia="宋体" w:cs="宋体"/>
          <w:color w:val="auto"/>
          <w:highlight w:val="none"/>
          <w:lang w:val="en-US" w:eastAsia="zh-CN"/>
        </w:rPr>
      </w:pPr>
    </w:p>
    <w:sectPr>
      <w:headerReference r:id="rId22" w:type="default"/>
      <w:footerReference r:id="rId23"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3EB36E5-6DDC-4234-BD02-C5591602EDF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embedRegular r:id="rId2" w:fontKey="{A9AE2D11-2EC5-4979-AD42-3876F8F91EC4}"/>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3" w:fontKey="{4C8D6DEB-9CD9-433C-98D3-62AE4BAD58A5}"/>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auto"/>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简体">
    <w:panose1 w:val="02010600010101010101"/>
    <w:charset w:val="86"/>
    <w:family w:val="auto"/>
    <w:pitch w:val="default"/>
    <w:sig w:usb0="00000001" w:usb1="080E0000" w:usb2="00000000" w:usb3="00000000" w:csb0="00040000" w:csb1="00000000"/>
    <w:embedRegular r:id="rId4" w:fontKey="{AD4B5BD5-6098-4135-8E31-9C13CEF3D336}"/>
  </w:font>
  <w:font w:name="WPSEMBED1">
    <w:panose1 w:val="02010600010101010101"/>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202C0"/>
  <w:p w14:paraId="4ACFA16E">
    <w:pPr>
      <w:pStyle w:val="24"/>
      <w:tabs>
        <w:tab w:val="right" w:pos="9135"/>
        <w:tab w:val="clear" w:pos="8306"/>
      </w:tabs>
      <w:ind w:right="-6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6B0B4">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F744">
    <w:pPr>
      <w:pStyle w:val="24"/>
      <w:ind w:firstLine="4066" w:firstLineChars="225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1C3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B1333">
    <w:pPr>
      <w:pStyle w:val="24"/>
      <w:rPr>
        <w:rFonts w:hint="eastAsia"/>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F27FA">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195F4">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26195F4">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4528B">
    <w:pPr>
      <w:pStyle w:val="24"/>
      <w:rPr>
        <w:rFonts w:hint="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E8E72C">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7E8E72C">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31D6B">
    <w:pPr>
      <w:pStyle w:val="24"/>
      <w:tabs>
        <w:tab w:val="left" w:pos="6480"/>
        <w:tab w:val="clear" w:pos="8306"/>
      </w:tabs>
      <w:jc w:val="both"/>
      <w:rPr>
        <w:rFonts w:hint="default"/>
        <w:lang w:val="en-US"/>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8809D">
                          <w:pPr>
                            <w:pStyle w:val="24"/>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428809D">
                    <w:pPr>
                      <w:pStyle w:val="24"/>
                    </w:pPr>
                    <w:r>
                      <w:fldChar w:fldCharType="begin"/>
                    </w:r>
                    <w:r>
                      <w:instrText xml:space="preserve"> PAGE  \* MERGEFORMAT </w:instrText>
                    </w:r>
                    <w:r>
                      <w:fldChar w:fldCharType="separate"/>
                    </w:r>
                    <w:r>
                      <w:t>8</w:t>
                    </w:r>
                    <w:r>
                      <w:fldChar w:fldCharType="end"/>
                    </w:r>
                  </w:p>
                </w:txbxContent>
              </v:textbox>
            </v:shape>
          </w:pict>
        </mc:Fallback>
      </mc:AlternateContent>
    </w:r>
    <w:r>
      <w:rPr>
        <w:sz w:val="18"/>
        <w:szCs w:val="18"/>
      </w:rPr>
      <mc:AlternateContent>
        <mc:Choice Requires="wps">
          <w:drawing>
            <wp:anchor distT="0" distB="0" distL="114300" distR="114300" simplePos="0" relativeHeight="251662336"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4233C6">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2336;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QC4YnUAAAACAEAAA8AAAAAAAAAAQAgAAAAIgAAAGRycy9k&#10;b3ducmV2LnhtbFBLAQIUABQAAAAIAIdO4kBAlEQlzQEAAKkDAAAOAAAAAAAAAAEAIAAAACMBAABk&#10;cnMvZTJvRG9jLnhtbFBLBQYAAAAABgAGAFkBAABiBQAAAAA=&#10;">
              <v:fill on="f" focussize="0,0"/>
              <v:stroke on="f"/>
              <v:imagedata o:title=""/>
              <o:lock v:ext="edit" aspectratio="f"/>
              <v:textbox inset="0mm,0mm,0mm,0mm" style="mso-fit-shape-to-text:t;">
                <w:txbxContent>
                  <w:p w14:paraId="484233C6">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AD9AC3">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131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QC4YnUAAAACAEAAA8AAAAAAAAAAQAgAAAAIgAAAGRycy9k&#10;b3ducmV2LnhtbFBLAQIUABQAAAAIAIdO4kAoetenzQEAAKkDAAAOAAAAAAAAAAEAIAAAACMBAABk&#10;cnMvZTJvRG9jLnhtbFBLBQYAAAAABgAGAFkBAABiBQAAAAA=&#10;">
              <v:fill on="f" focussize="0,0"/>
              <v:stroke on="f"/>
              <v:imagedata o:title=""/>
              <o:lock v:ext="edit" aspectratio="f"/>
              <v:textbox inset="0mm,0mm,0mm,0mm" style="mso-fit-shape-to-text:t;">
                <w:txbxContent>
                  <w:p w14:paraId="34AD9AC3">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0288" behindDoc="0" locked="0" layoutInCell="1" allowOverlap="1">
              <wp:simplePos x="0" y="0"/>
              <wp:positionH relativeFrom="margin">
                <wp:posOffset>2948305</wp:posOffset>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6E26AC0">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32.15pt;margin-top:0pt;height:144pt;width:144pt;mso-position-horizontal-relative:margin;mso-wrap-style:none;z-index:251660288;mso-width-relative:page;mso-height-relative:page;" filled="f" stroked="f" coordsize="21600,21600" o:gfxdata="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jwXT7UAAAACAEAAA8AAAAAAAAAAQAgAAAAIgAAAGRycy9k&#10;b3ducmV2LnhtbFBLAQIUABQAAAAIAIdO4kDP3XZvzQEAAKkDAAAOAAAAAAAAAAEAIAAAACMBAABk&#10;cnMvZTJvRG9jLnhtbFBLBQYAAAAABgAGAFkBAABiBQAAAAA=&#10;">
              <v:fill on="f" focussize="0,0"/>
              <v:stroke on="f"/>
              <v:imagedata o:title=""/>
              <o:lock v:ext="edit" aspectratio="f"/>
              <v:textbox inset="0mm,0mm,0mm,0mm" style="mso-fit-shape-to-text:t;">
                <w:txbxContent>
                  <w:p w14:paraId="66E26AC0">
                    <w:pPr>
                      <w:snapToGrid w:val="0"/>
                      <w:rPr>
                        <w:sz w:val="18"/>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3DE64">
    <w:pPr>
      <w:pStyle w:val="2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C19EF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Lazos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trOiyQEAAJkDAAAOAAAAAAAAAAEAIAAAAB4BAABkcnMvZTJvRG9j&#10;LnhtbFBLBQYAAAAABgAGAFkBAABZBQAAAAA=&#10;">
              <v:fill on="f" focussize="0,0"/>
              <v:stroke on="f"/>
              <v:imagedata o:title=""/>
              <o:lock v:ext="edit" aspectratio="f"/>
              <v:textbox inset="0mm,0mm,0mm,0mm" style="mso-fit-shape-to-text:t;">
                <w:txbxContent>
                  <w:p w14:paraId="69C19EF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CED77">
    <w:pPr>
      <w:pStyle w:val="24"/>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B030E">
                          <w:pPr>
                            <w:pStyle w:val="2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56B030E">
                    <w:pPr>
                      <w:pStyle w:val="2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09A3">
    <w:pPr>
      <w:kinsoku w:val="0"/>
      <w:overflowPunct w:val="0"/>
      <w:spacing w:line="200" w:lineRule="exact"/>
      <w:rPr>
        <w:rFonts w:ascii="Times New Roman" w:hAnsi="Times New Roman" w:eastAsia="宋体" w:cs="Times New Roman"/>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0F252">
                          <w:pPr>
                            <w:pStyle w:val="2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3D0F252">
                    <w:pPr>
                      <w:pStyle w:val="2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AB09">
    <w:pPr>
      <w:spacing w:line="176" w:lineRule="auto"/>
      <w:ind w:left="42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CF6068">
                          <w:pPr>
                            <w:pStyle w:val="2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0CF6068">
                    <w:pPr>
                      <w:pStyle w:val="2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C7B84">
    <w:pPr>
      <w:kinsoku w:val="0"/>
      <w:overflowPunct w:val="0"/>
      <w:spacing w:line="200" w:lineRule="exact"/>
      <w:rPr>
        <w:rFonts w:ascii="Times New Roman" w:hAnsi="Times New Roman" w:eastAsia="宋体" w:cs="Times New Roman"/>
        <w:sz w:val="20"/>
        <w:szCs w:val="20"/>
      </w:rPr>
    </w:pPr>
    <w:r>
      <w:rPr>
        <w:rFonts w:ascii="Times New Roman" w:hAnsi="Times New Roman" w:eastAsia="宋体" w:cs="Times New Roman"/>
        <w:sz w:val="20"/>
        <w:szCs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593F7E4">
                          <w:pPr>
                            <w:pStyle w:val="2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- 23 -</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3593F7E4">
                    <w:pPr>
                      <w:pStyle w:val="2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- 23 -</w:t>
                    </w:r>
                    <w:r>
                      <w:rPr>
                        <w:rFonts w:ascii="Times New Roman" w:hAnsi="Times New Roman" w:eastAsia="宋体"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D57E1">
    <w:pPr>
      <w:pStyle w:val="25"/>
      <w:ind w:firstLine="180" w:firstLineChars="100"/>
      <w:jc w:val="left"/>
      <w:rPr>
        <w:rFonts w:hint="default"/>
        <w:sz w:val="18"/>
        <w:szCs w:val="18"/>
        <w:lang w:val="en-US"/>
      </w:rPr>
    </w:pPr>
    <w:r>
      <w:rPr>
        <w:rFonts w:hint="eastAsia" w:ascii="宋体" w:hAnsi="宋体" w:eastAsia="宋体" w:cs="宋体"/>
        <w:sz w:val="18"/>
        <w:szCs w:val="18"/>
      </w:rPr>
      <w:t>项目编号：</w:t>
    </w:r>
    <w:r>
      <w:rPr>
        <w:rFonts w:hint="eastAsia" w:ascii="宋体" w:hAnsi="宋体" w:cs="宋体"/>
        <w:sz w:val="18"/>
        <w:szCs w:val="18"/>
        <w:lang w:eastAsia="zh-CN"/>
      </w:rPr>
      <w:t>ZFCG-泾阳县-2026-0000</w:t>
    </w:r>
    <w:r>
      <w:rPr>
        <w:rFonts w:hint="eastAsia" w:ascii="宋体" w:hAnsi="宋体" w:cs="宋体"/>
        <w:sz w:val="18"/>
        <w:szCs w:val="18"/>
        <w:lang w:val="en-US" w:eastAsia="zh-CN"/>
      </w:rPr>
      <w:t>5                 泾阳县老年人服务中心(泾阳县中心敬老院)提升改造项目</w:t>
    </w:r>
  </w:p>
  <w:p w14:paraId="69C78738">
    <w:pPr>
      <w:spacing w:beforeLines="0" w:afterLines="0"/>
      <w:jc w:val="left"/>
      <w:rPr>
        <w:rFonts w:hint="default" w:ascii="宋体" w:hAnsi="宋体" w:eastAsia="宋体" w:cs="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E3CA7">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3FB82">
    <w:pPr>
      <w:pStyle w:val="25"/>
      <w:pBdr>
        <w:bottom w:val="none" w:color="auto" w:sz="0" w:space="0"/>
      </w:pBdr>
      <w:jc w:val="right"/>
      <w:rPr>
        <w:rFonts w:ascii="宋体"/>
        <w:b/>
        <w:bCs/>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2AB41">
    <w:pPr>
      <w:pStyle w:val="25"/>
      <w:ind w:firstLine="180" w:firstLineChars="100"/>
      <w:jc w:val="left"/>
      <w:rPr>
        <w:rFonts w:hint="default" w:ascii="宋体" w:hAnsi="宋体" w:eastAsia="宋体" w:cs="宋体"/>
        <w:b/>
        <w:bCs/>
        <w:iCs/>
        <w:lang w:val="en-US" w:eastAsia="zh-CN"/>
      </w:rPr>
    </w:pPr>
    <w:r>
      <w:rPr>
        <w:rFonts w:hint="eastAsia" w:ascii="宋体" w:hAnsi="宋体" w:eastAsia="宋体" w:cs="宋体"/>
      </w:rPr>
      <w:t>项目编号：</w:t>
    </w:r>
    <w:r>
      <w:rPr>
        <w:rFonts w:hint="eastAsia" w:ascii="宋体" w:hAnsi="宋体" w:cs="宋体"/>
        <w:lang w:eastAsia="zh-CN"/>
      </w:rPr>
      <w:t>ZFCG-泾阳县-2026-00005</w:t>
    </w:r>
    <w:r>
      <w:rPr>
        <w:rFonts w:hint="eastAsia" w:ascii="宋体" w:hAnsi="宋体" w:cs="宋体"/>
        <w:lang w:val="en-US" w:eastAsia="zh-CN"/>
      </w:rPr>
      <w:t xml:space="preserve">                  </w:t>
    </w:r>
    <w:r>
      <w:rPr>
        <w:rFonts w:hint="eastAsia" w:ascii="宋体" w:hAnsi="宋体" w:cs="宋体"/>
        <w:sz w:val="18"/>
        <w:szCs w:val="18"/>
        <w:lang w:val="en-US" w:eastAsia="zh-CN"/>
      </w:rPr>
      <w:t>泾阳县老年人服务中心(泾阳县中心敬老院)提升改造项目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F5C89">
    <w:pPr>
      <w:pStyle w:val="25"/>
      <w:ind w:firstLine="180" w:firstLineChars="100"/>
      <w:jc w:val="left"/>
      <w:rPr>
        <w:rFonts w:hint="default"/>
        <w:lang w:val="en-US"/>
      </w:rPr>
    </w:pPr>
    <w:r>
      <w:rPr>
        <w:rFonts w:hint="eastAsia" w:ascii="宋体" w:hAnsi="宋体" w:cs="宋体"/>
        <w:lang w:eastAsia="zh-CN"/>
      </w:rPr>
      <w:t>项目编号：ZFCG-泾阳县-2026-0000</w:t>
    </w:r>
    <w:r>
      <w:rPr>
        <w:rFonts w:hint="eastAsia" w:ascii="宋体" w:hAnsi="宋体" w:cs="宋体"/>
        <w:lang w:val="en-US" w:eastAsia="zh-CN"/>
      </w:rPr>
      <w:t xml:space="preserve">5                </w:t>
    </w:r>
    <w:r>
      <w:rPr>
        <w:rFonts w:hint="eastAsia" w:ascii="宋体" w:hAnsi="宋体" w:cs="宋体"/>
        <w:sz w:val="18"/>
        <w:szCs w:val="18"/>
        <w:lang w:val="en-US" w:eastAsia="zh-CN"/>
      </w:rPr>
      <w:t>泾阳县老年人服务中心(泾阳县中心敬老院)提升改造项目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91D33">
    <w:pPr>
      <w:pStyle w:val="25"/>
      <w:ind w:firstLine="180" w:firstLineChars="100"/>
      <w:jc w:val="left"/>
      <w:rPr>
        <w:rFonts w:hint="default"/>
        <w:sz w:val="18"/>
        <w:szCs w:val="18"/>
        <w:lang w:val="en-US"/>
      </w:rPr>
    </w:pPr>
    <w:r>
      <w:rPr>
        <w:rFonts w:hint="eastAsia" w:ascii="宋体" w:hAnsi="宋体" w:cs="宋体"/>
        <w:sz w:val="18"/>
        <w:szCs w:val="18"/>
        <w:lang w:eastAsia="zh-CN"/>
      </w:rPr>
      <w:t>项目编号：ZFCG-泾阳县-2026-00005</w:t>
    </w:r>
    <w:r>
      <w:rPr>
        <w:rFonts w:hint="eastAsia" w:ascii="宋体" w:hAnsi="宋体" w:cs="宋体"/>
        <w:sz w:val="18"/>
        <w:szCs w:val="18"/>
        <w:lang w:val="en-US" w:eastAsia="zh-CN"/>
      </w:rPr>
      <w:t xml:space="preserve">                 泾阳县老年人服务中心(泾阳县中心敬老院)提升改造项目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306E">
    <w:pPr>
      <w:pBdr>
        <w:bottom w:val="none" w:color="auto" w:sz="0" w:space="0"/>
      </w:pBdr>
      <w:spacing w:beforeLines="0" w:afterLines="0"/>
      <w:jc w:val="left"/>
      <w:rPr>
        <w:rFonts w:hint="default" w:ascii="宋体" w:hAnsi="宋体" w:eastAsia="宋体" w:cs="宋体"/>
        <w:b/>
        <w:bCs/>
        <w:iCs/>
        <w:lang w:val="en-US" w:eastAsia="zh-CN"/>
      </w:rPr>
    </w:pPr>
    <w:r>
      <w:rPr>
        <w:rFonts w:hint="eastAsia" w:ascii="宋体" w:hAnsi="宋体" w:eastAsia="宋体" w:cs="宋体"/>
        <w:sz w:val="18"/>
        <w:szCs w:val="18"/>
        <w:lang w:val="en-US" w:eastAsia="zh-CN"/>
      </w:rPr>
      <w:t>项目编号：ZFCG-泾阳县-2026-00005</w:t>
    </w:r>
    <w:r>
      <w:rPr>
        <w:rFonts w:hint="eastAsia" w:ascii="宋体" w:hAnsi="宋体" w:cs="宋体"/>
        <w:lang w:val="en-US" w:eastAsia="zh-CN"/>
      </w:rPr>
      <w:t xml:space="preserve">              </w:t>
    </w:r>
    <w:r>
      <w:rPr>
        <w:rFonts w:hint="eastAsia" w:ascii="宋体" w:hAnsi="宋体" w:cs="宋体"/>
        <w:sz w:val="18"/>
        <w:szCs w:val="18"/>
        <w:lang w:val="en-US" w:eastAsia="zh-CN"/>
      </w:rPr>
      <w:t>泾阳县老年人服务中心(泾阳县中心敬老院)提升改造项目</w:t>
    </w:r>
  </w:p>
  <w:p w14:paraId="517FF8EA">
    <w:pPr>
      <w:widowControl w:val="0"/>
      <w:pBdr>
        <w:bottom w:val="none" w:color="auto" w:sz="0" w:space="0"/>
      </w:pBdr>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9504" behindDoc="1" locked="0" layoutInCell="1" allowOverlap="1">
              <wp:simplePos x="0" y="0"/>
              <wp:positionH relativeFrom="page">
                <wp:posOffset>3884930</wp:posOffset>
              </wp:positionH>
              <wp:positionV relativeFrom="page">
                <wp:posOffset>614045</wp:posOffset>
              </wp:positionV>
              <wp:extent cx="2871470" cy="203835"/>
              <wp:effectExtent l="0" t="0" r="0" b="0"/>
              <wp:wrapNone/>
              <wp:docPr id="9" name="文本框 9"/>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639B6BD0">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305.9pt;margin-top:48.35pt;height:16.05pt;width:226.1pt;mso-position-horizontal-relative:page;mso-position-vertical-relative:page;z-index:-251646976;mso-width-relative:page;mso-height-relative:page;" filled="f" stroked="f" coordsize="21600,21600" o:gfxdata="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eVGNL2QAAAAsBAAAPAAAAAAAAAAEAIAAAACIAAABkcnMvZG93bnJldi54&#10;bWxQSwECFAAUAAAACACHTuJA0DuR4sABAACAAwAADgAAAAAAAAABACAAAAAoAQAAZHJzL2Uyb0Rv&#10;Yy54bWxQSwUGAAAAAAYABgBZAQAAWgUAAAAA&#10;">
              <v:fill on="f" focussize="0,0"/>
              <v:stroke on="f"/>
              <v:imagedata o:title=""/>
              <o:lock v:ext="edit" aspectratio="f"/>
              <v:textbox inset="0mm,0mm,0mm,0mm">
                <w:txbxContent>
                  <w:p w14:paraId="639B6BD0">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p w14:paraId="2EC1FA67">
    <w:pPr>
      <w:widowControl w:val="0"/>
      <w:pBdr>
        <w:bottom w:val="single" w:color="auto" w:sz="4" w:space="0"/>
      </w:pBdr>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1312" behindDoc="1" locked="0" layoutInCell="1" allowOverlap="1">
              <wp:simplePos x="0" y="0"/>
              <wp:positionH relativeFrom="page">
                <wp:posOffset>3732530</wp:posOffset>
              </wp:positionH>
              <wp:positionV relativeFrom="page">
                <wp:posOffset>461645</wp:posOffset>
              </wp:positionV>
              <wp:extent cx="2871470" cy="20383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31004878">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293.9pt;margin-top:36.35pt;height:16.05pt;width:226.1pt;mso-position-horizontal-relative:page;mso-position-vertical-relative:page;z-index:-251655168;mso-width-relative:page;mso-height-relative:page;" filled="f" stroked="f" coordsize="21600,21600" o:gfxdata="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XC0HDZAAAACwEAAA8AAAAAAAAAAQAgAAAAIgAAAGRycy9kb3ducmV2Lnht&#10;bFBLAQIUABQAAAAIAIdO4kDFduxIvwEAAIADAAAOAAAAAAAAAAEAIAAAACgBAABkcnMvZTJvRG9j&#10;LnhtbFBLBQYAAAAABgAGAFkBAABZBQAAAAA=&#10;">
              <v:fill on="f" focussize="0,0"/>
              <v:stroke on="f"/>
              <v:imagedata o:title=""/>
              <o:lock v:ext="edit" aspectratio="f"/>
              <v:textbox inset="0mm,0mm,0mm,0mm">
                <w:txbxContent>
                  <w:p w14:paraId="31004878">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926B3">
    <w:pPr>
      <w:pBdr>
        <w:bottom w:val="none" w:color="auto" w:sz="0" w:space="0"/>
      </w:pBdr>
      <w:spacing w:beforeLines="0" w:afterLines="0"/>
      <w:jc w:val="left"/>
      <w:rPr>
        <w:rFonts w:hint="default" w:ascii="宋体" w:hAnsi="宋体" w:eastAsia="宋体" w:cs="宋体"/>
        <w:b/>
        <w:bCs/>
        <w:iCs/>
        <w:lang w:val="en-US" w:eastAsia="zh-CN"/>
      </w:rPr>
    </w:pPr>
    <w:r>
      <w:rPr>
        <w:rFonts w:hint="eastAsia" w:ascii="宋体" w:hAnsi="宋体" w:eastAsia="宋体" w:cs="宋体"/>
      </w:rPr>
      <w:t>项目编号：</w:t>
    </w:r>
    <w:r>
      <w:rPr>
        <w:rFonts w:hint="eastAsia" w:ascii="宋体" w:hAnsi="宋体" w:cs="宋体"/>
        <w:lang w:eastAsia="zh-CN"/>
      </w:rPr>
      <w:t>ZFCG-泾阳县-2026-00005</w:t>
    </w:r>
    <w:r>
      <w:rPr>
        <w:rFonts w:hint="eastAsia" w:ascii="宋体" w:hAnsi="宋体" w:cs="宋体"/>
        <w:lang w:val="en-US" w:eastAsia="zh-CN"/>
      </w:rPr>
      <w:t xml:space="preserve">           </w:t>
    </w:r>
    <w:r>
      <w:rPr>
        <w:rFonts w:hint="eastAsia" w:ascii="宋体" w:hAnsi="宋体" w:cs="宋体"/>
        <w:sz w:val="18"/>
        <w:szCs w:val="18"/>
        <w:lang w:val="en-US" w:eastAsia="zh-CN"/>
      </w:rPr>
      <w:t>泾阳县老年人服务中心(泾阳县中心敬老院)提升改造项目</w:t>
    </w:r>
  </w:p>
  <w:p w14:paraId="072655CB">
    <w:pPr>
      <w:widowControl w:val="0"/>
      <w:pBdr>
        <w:bottom w:val="single" w:color="auto" w:sz="4" w:space="0"/>
      </w:pBdr>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0288" behindDoc="1" locked="0" layoutInCell="1" allowOverlap="1">
              <wp:simplePos x="0" y="0"/>
              <wp:positionH relativeFrom="page">
                <wp:posOffset>3732530</wp:posOffset>
              </wp:positionH>
              <wp:positionV relativeFrom="page">
                <wp:posOffset>461645</wp:posOffset>
              </wp:positionV>
              <wp:extent cx="2871470" cy="2038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44A5D30A">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293.9pt;margin-top:36.35pt;height:16.05pt;width:226.1pt;mso-position-horizontal-relative:page;mso-position-vertical-relative:page;z-index:-251656192;mso-width-relative:page;mso-height-relative:page;" filled="f" stroked="f" coordsize="21600,21600" o:gfxdata="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XC0HDZAAAACwEAAA8AAAAAAAAAAQAgAAAAIgAAAGRycy9kb3ducmV2Lnht&#10;bFBLAQIUABQAAAAIAIdO4kBeSINCvwEAAIADAAAOAAAAAAAAAAEAIAAAACgBAABkcnMvZTJvRG9j&#10;LnhtbFBLBQYAAAAABgAGAFkBAABZBQAAAAA=&#10;">
              <v:fill on="f" focussize="0,0"/>
              <v:stroke on="f"/>
              <v:imagedata o:title=""/>
              <o:lock v:ext="edit" aspectratio="f"/>
              <v:textbox inset="0mm,0mm,0mm,0mm">
                <w:txbxContent>
                  <w:p w14:paraId="44A5D30A">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9BC1EECB"/>
    <w:multiLevelType w:val="singleLevel"/>
    <w:tmpl w:val="9BC1EECB"/>
    <w:lvl w:ilvl="0" w:tentative="0">
      <w:start w:val="1"/>
      <w:numFmt w:val="chineseCounting"/>
      <w:suff w:val="nothing"/>
      <w:lvlText w:val="（%1）"/>
      <w:lvlJc w:val="left"/>
      <w:rPr>
        <w:rFonts w:hint="eastAsia"/>
      </w:rPr>
    </w:lvl>
  </w:abstractNum>
  <w:abstractNum w:abstractNumId="2">
    <w:nsid w:val="AC536888"/>
    <w:multiLevelType w:val="singleLevel"/>
    <w:tmpl w:val="AC536888"/>
    <w:lvl w:ilvl="0" w:tentative="0">
      <w:start w:val="1"/>
      <w:numFmt w:val="decimal"/>
      <w:lvlText w:val="%1."/>
      <w:lvlJc w:val="left"/>
      <w:pPr>
        <w:tabs>
          <w:tab w:val="left" w:pos="312"/>
        </w:tabs>
      </w:pPr>
    </w:lvl>
  </w:abstractNum>
  <w:abstractNum w:abstractNumId="3">
    <w:nsid w:val="B06CFFB0"/>
    <w:multiLevelType w:val="singleLevel"/>
    <w:tmpl w:val="B06CFFB0"/>
    <w:lvl w:ilvl="0" w:tentative="0">
      <w:start w:val="1"/>
      <w:numFmt w:val="decimal"/>
      <w:suff w:val="nothing"/>
      <w:lvlText w:val="%1、"/>
      <w:lvlJc w:val="left"/>
      <w:pPr>
        <w:ind w:left="60"/>
      </w:pPr>
    </w:lvl>
  </w:abstractNum>
  <w:abstractNum w:abstractNumId="4">
    <w:nsid w:val="C5793458"/>
    <w:multiLevelType w:val="singleLevel"/>
    <w:tmpl w:val="C5793458"/>
    <w:lvl w:ilvl="0" w:tentative="0">
      <w:start w:val="5"/>
      <w:numFmt w:val="decimal"/>
      <w:suff w:val="nothing"/>
      <w:lvlText w:val="%1、"/>
      <w:lvlJc w:val="left"/>
    </w:lvl>
  </w:abstractNum>
  <w:abstractNum w:abstractNumId="5">
    <w:nsid w:val="DA232A1A"/>
    <w:multiLevelType w:val="singleLevel"/>
    <w:tmpl w:val="DA232A1A"/>
    <w:lvl w:ilvl="0" w:tentative="0">
      <w:start w:val="8"/>
      <w:numFmt w:val="decimal"/>
      <w:suff w:val="nothing"/>
      <w:lvlText w:val="%1、"/>
      <w:lvlJc w:val="left"/>
    </w:lvl>
  </w:abstractNum>
  <w:abstractNum w:abstractNumId="6">
    <w:nsid w:val="3F836DA0"/>
    <w:multiLevelType w:val="singleLevel"/>
    <w:tmpl w:val="3F836DA0"/>
    <w:lvl w:ilvl="0" w:tentative="0">
      <w:start w:val="1"/>
      <w:numFmt w:val="decimal"/>
      <w:suff w:val="nothing"/>
      <w:lvlText w:val="%1."/>
      <w:lvlJc w:val="left"/>
      <w:pPr>
        <w:ind w:left="425" w:hanging="425"/>
      </w:pPr>
      <w:rPr>
        <w:rFonts w:hint="default"/>
      </w:rPr>
    </w:lvl>
  </w:abstractNum>
  <w:abstractNum w:abstractNumId="7">
    <w:nsid w:val="4602DF96"/>
    <w:multiLevelType w:val="singleLevel"/>
    <w:tmpl w:val="4602DF96"/>
    <w:lvl w:ilvl="0" w:tentative="0">
      <w:start w:val="1"/>
      <w:numFmt w:val="decimal"/>
      <w:suff w:val="nothing"/>
      <w:lvlText w:val="%1."/>
      <w:lvlJc w:val="left"/>
    </w:lvl>
  </w:abstractNum>
  <w:abstractNum w:abstractNumId="8">
    <w:nsid w:val="7D1EC287"/>
    <w:multiLevelType w:val="singleLevel"/>
    <w:tmpl w:val="7D1EC287"/>
    <w:lvl w:ilvl="0" w:tentative="0">
      <w:start w:val="5"/>
      <w:numFmt w:val="chineseCounting"/>
      <w:suff w:val="nothing"/>
      <w:lvlText w:val="%1、"/>
      <w:lvlJc w:val="left"/>
      <w:rPr>
        <w:rFonts w:hint="eastAsia"/>
      </w:rPr>
    </w:lvl>
  </w:abstractNum>
  <w:num w:numId="1">
    <w:abstractNumId w:val="6"/>
  </w:num>
  <w:num w:numId="2">
    <w:abstractNumId w:val="7"/>
  </w:num>
  <w:num w:numId="3">
    <w:abstractNumId w:val="8"/>
  </w:num>
  <w:num w:numId="4">
    <w:abstractNumId w:val="2"/>
  </w:num>
  <w:num w:numId="5">
    <w:abstractNumId w:val="1"/>
  </w:num>
  <w:num w:numId="6">
    <w:abstractNumId w:val="4"/>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NjZlNGMxNDdmMzUwYTk4ZTU2MjJjNTA2OTI2ZWEifQ=="/>
  </w:docVars>
  <w:rsids>
    <w:rsidRoot w:val="00AF7032"/>
    <w:rsid w:val="00002082"/>
    <w:rsid w:val="00002415"/>
    <w:rsid w:val="00005936"/>
    <w:rsid w:val="00005C9D"/>
    <w:rsid w:val="000072CF"/>
    <w:rsid w:val="00010847"/>
    <w:rsid w:val="00011C1D"/>
    <w:rsid w:val="00012265"/>
    <w:rsid w:val="000126E0"/>
    <w:rsid w:val="00015A2B"/>
    <w:rsid w:val="000169B2"/>
    <w:rsid w:val="00017B40"/>
    <w:rsid w:val="0002051E"/>
    <w:rsid w:val="000224F5"/>
    <w:rsid w:val="000246B1"/>
    <w:rsid w:val="00025AB7"/>
    <w:rsid w:val="00030A37"/>
    <w:rsid w:val="0003191A"/>
    <w:rsid w:val="00032033"/>
    <w:rsid w:val="000333D3"/>
    <w:rsid w:val="00035A02"/>
    <w:rsid w:val="00040727"/>
    <w:rsid w:val="00040B71"/>
    <w:rsid w:val="00041A78"/>
    <w:rsid w:val="0004320A"/>
    <w:rsid w:val="00043FD9"/>
    <w:rsid w:val="00044112"/>
    <w:rsid w:val="00045317"/>
    <w:rsid w:val="000459D4"/>
    <w:rsid w:val="00045BD4"/>
    <w:rsid w:val="000468ED"/>
    <w:rsid w:val="0004767C"/>
    <w:rsid w:val="000530F3"/>
    <w:rsid w:val="00053B9E"/>
    <w:rsid w:val="00055378"/>
    <w:rsid w:val="00055A76"/>
    <w:rsid w:val="00064E85"/>
    <w:rsid w:val="000671E1"/>
    <w:rsid w:val="00070C79"/>
    <w:rsid w:val="00071475"/>
    <w:rsid w:val="0007459A"/>
    <w:rsid w:val="00074C03"/>
    <w:rsid w:val="00075479"/>
    <w:rsid w:val="00077E8A"/>
    <w:rsid w:val="00082634"/>
    <w:rsid w:val="00083291"/>
    <w:rsid w:val="00083C78"/>
    <w:rsid w:val="00084442"/>
    <w:rsid w:val="0009325C"/>
    <w:rsid w:val="0009348E"/>
    <w:rsid w:val="00093572"/>
    <w:rsid w:val="00093A93"/>
    <w:rsid w:val="00095FC9"/>
    <w:rsid w:val="000A138F"/>
    <w:rsid w:val="000A1BAC"/>
    <w:rsid w:val="000A2B04"/>
    <w:rsid w:val="000A41EA"/>
    <w:rsid w:val="000A48D7"/>
    <w:rsid w:val="000A677E"/>
    <w:rsid w:val="000B0DDD"/>
    <w:rsid w:val="000B5D53"/>
    <w:rsid w:val="000B6887"/>
    <w:rsid w:val="000B724B"/>
    <w:rsid w:val="000C06B0"/>
    <w:rsid w:val="000C07E3"/>
    <w:rsid w:val="000C0D27"/>
    <w:rsid w:val="000C4415"/>
    <w:rsid w:val="000C5E84"/>
    <w:rsid w:val="000D3948"/>
    <w:rsid w:val="000D5DDA"/>
    <w:rsid w:val="000D6550"/>
    <w:rsid w:val="000D6BD8"/>
    <w:rsid w:val="000E2FFA"/>
    <w:rsid w:val="000E361A"/>
    <w:rsid w:val="000E3DC9"/>
    <w:rsid w:val="000E59FD"/>
    <w:rsid w:val="000E6228"/>
    <w:rsid w:val="000E6D2D"/>
    <w:rsid w:val="000E76E4"/>
    <w:rsid w:val="000F0D15"/>
    <w:rsid w:val="000F1D56"/>
    <w:rsid w:val="000F441B"/>
    <w:rsid w:val="000F6C6D"/>
    <w:rsid w:val="000F6EDE"/>
    <w:rsid w:val="000F72A8"/>
    <w:rsid w:val="001004B7"/>
    <w:rsid w:val="00102146"/>
    <w:rsid w:val="001035A1"/>
    <w:rsid w:val="00103B71"/>
    <w:rsid w:val="00103E26"/>
    <w:rsid w:val="00105186"/>
    <w:rsid w:val="00105A1D"/>
    <w:rsid w:val="00105ABF"/>
    <w:rsid w:val="001067C6"/>
    <w:rsid w:val="00106C53"/>
    <w:rsid w:val="001072D5"/>
    <w:rsid w:val="001105A6"/>
    <w:rsid w:val="00110A4F"/>
    <w:rsid w:val="0011202A"/>
    <w:rsid w:val="00113D2E"/>
    <w:rsid w:val="0011475D"/>
    <w:rsid w:val="00115266"/>
    <w:rsid w:val="001163E5"/>
    <w:rsid w:val="001213EB"/>
    <w:rsid w:val="0012297F"/>
    <w:rsid w:val="0012548F"/>
    <w:rsid w:val="001254A6"/>
    <w:rsid w:val="00126169"/>
    <w:rsid w:val="0012658C"/>
    <w:rsid w:val="001268BB"/>
    <w:rsid w:val="00134C63"/>
    <w:rsid w:val="00135A73"/>
    <w:rsid w:val="00136679"/>
    <w:rsid w:val="0013708B"/>
    <w:rsid w:val="001378FA"/>
    <w:rsid w:val="001405BE"/>
    <w:rsid w:val="0014192C"/>
    <w:rsid w:val="00141A55"/>
    <w:rsid w:val="00141C57"/>
    <w:rsid w:val="00141FF0"/>
    <w:rsid w:val="00143963"/>
    <w:rsid w:val="00144D56"/>
    <w:rsid w:val="001477D9"/>
    <w:rsid w:val="00150743"/>
    <w:rsid w:val="00152EAA"/>
    <w:rsid w:val="00153340"/>
    <w:rsid w:val="00154781"/>
    <w:rsid w:val="00154885"/>
    <w:rsid w:val="00154E32"/>
    <w:rsid w:val="00155883"/>
    <w:rsid w:val="00155A12"/>
    <w:rsid w:val="001560DB"/>
    <w:rsid w:val="00157555"/>
    <w:rsid w:val="001615C5"/>
    <w:rsid w:val="00163CB7"/>
    <w:rsid w:val="00163DAC"/>
    <w:rsid w:val="00165D7C"/>
    <w:rsid w:val="00166581"/>
    <w:rsid w:val="00166874"/>
    <w:rsid w:val="00170DEA"/>
    <w:rsid w:val="00170E44"/>
    <w:rsid w:val="00171185"/>
    <w:rsid w:val="001714A6"/>
    <w:rsid w:val="001721BB"/>
    <w:rsid w:val="001726A8"/>
    <w:rsid w:val="00173436"/>
    <w:rsid w:val="00173664"/>
    <w:rsid w:val="001744BE"/>
    <w:rsid w:val="0017467F"/>
    <w:rsid w:val="00177672"/>
    <w:rsid w:val="00181543"/>
    <w:rsid w:val="00183D46"/>
    <w:rsid w:val="0018405A"/>
    <w:rsid w:val="00186867"/>
    <w:rsid w:val="00186BB2"/>
    <w:rsid w:val="001900C9"/>
    <w:rsid w:val="001920AB"/>
    <w:rsid w:val="0019280B"/>
    <w:rsid w:val="00195BC5"/>
    <w:rsid w:val="001A4555"/>
    <w:rsid w:val="001A5EB8"/>
    <w:rsid w:val="001A7A12"/>
    <w:rsid w:val="001B04F5"/>
    <w:rsid w:val="001B15C5"/>
    <w:rsid w:val="001B35E2"/>
    <w:rsid w:val="001B377D"/>
    <w:rsid w:val="001B4584"/>
    <w:rsid w:val="001B45ED"/>
    <w:rsid w:val="001B4E18"/>
    <w:rsid w:val="001B56E5"/>
    <w:rsid w:val="001B7387"/>
    <w:rsid w:val="001C1E52"/>
    <w:rsid w:val="001C2365"/>
    <w:rsid w:val="001C2A9C"/>
    <w:rsid w:val="001C43E7"/>
    <w:rsid w:val="001C4D04"/>
    <w:rsid w:val="001C6156"/>
    <w:rsid w:val="001C66A2"/>
    <w:rsid w:val="001D204D"/>
    <w:rsid w:val="001D5F0D"/>
    <w:rsid w:val="001D64A0"/>
    <w:rsid w:val="001D6D11"/>
    <w:rsid w:val="001D72AB"/>
    <w:rsid w:val="001E0640"/>
    <w:rsid w:val="001E0784"/>
    <w:rsid w:val="001E1D5E"/>
    <w:rsid w:val="001E3E03"/>
    <w:rsid w:val="001E3EF8"/>
    <w:rsid w:val="001E456B"/>
    <w:rsid w:val="001E4B10"/>
    <w:rsid w:val="001F07D0"/>
    <w:rsid w:val="001F082A"/>
    <w:rsid w:val="001F0913"/>
    <w:rsid w:val="001F0CA9"/>
    <w:rsid w:val="001F1C0E"/>
    <w:rsid w:val="001F3D73"/>
    <w:rsid w:val="001F5855"/>
    <w:rsid w:val="001F6CB3"/>
    <w:rsid w:val="00201148"/>
    <w:rsid w:val="00202413"/>
    <w:rsid w:val="00203E84"/>
    <w:rsid w:val="002040BE"/>
    <w:rsid w:val="00205BFA"/>
    <w:rsid w:val="0020729D"/>
    <w:rsid w:val="002110B4"/>
    <w:rsid w:val="002114D1"/>
    <w:rsid w:val="00211D96"/>
    <w:rsid w:val="00217065"/>
    <w:rsid w:val="0021747B"/>
    <w:rsid w:val="00221F84"/>
    <w:rsid w:val="00223601"/>
    <w:rsid w:val="002252DC"/>
    <w:rsid w:val="00227C56"/>
    <w:rsid w:val="0023030C"/>
    <w:rsid w:val="0023048D"/>
    <w:rsid w:val="00230B14"/>
    <w:rsid w:val="0023396B"/>
    <w:rsid w:val="00234950"/>
    <w:rsid w:val="0023569D"/>
    <w:rsid w:val="00236DE4"/>
    <w:rsid w:val="002427BB"/>
    <w:rsid w:val="002430B3"/>
    <w:rsid w:val="0024320F"/>
    <w:rsid w:val="002437D2"/>
    <w:rsid w:val="002451B8"/>
    <w:rsid w:val="002467D6"/>
    <w:rsid w:val="00250413"/>
    <w:rsid w:val="0025138E"/>
    <w:rsid w:val="00253A2F"/>
    <w:rsid w:val="0025491A"/>
    <w:rsid w:val="002552A8"/>
    <w:rsid w:val="00255643"/>
    <w:rsid w:val="00256CA1"/>
    <w:rsid w:val="00256EE9"/>
    <w:rsid w:val="00256FF8"/>
    <w:rsid w:val="00260761"/>
    <w:rsid w:val="002608C1"/>
    <w:rsid w:val="00260F58"/>
    <w:rsid w:val="002626FB"/>
    <w:rsid w:val="002630E7"/>
    <w:rsid w:val="002637BE"/>
    <w:rsid w:val="00264377"/>
    <w:rsid w:val="0026651C"/>
    <w:rsid w:val="00266EDB"/>
    <w:rsid w:val="002670EF"/>
    <w:rsid w:val="00267768"/>
    <w:rsid w:val="00267DE8"/>
    <w:rsid w:val="00270243"/>
    <w:rsid w:val="00270763"/>
    <w:rsid w:val="002722E8"/>
    <w:rsid w:val="002742B6"/>
    <w:rsid w:val="0027517B"/>
    <w:rsid w:val="00275DB6"/>
    <w:rsid w:val="00277227"/>
    <w:rsid w:val="002775B4"/>
    <w:rsid w:val="0027781D"/>
    <w:rsid w:val="002779FF"/>
    <w:rsid w:val="00281921"/>
    <w:rsid w:val="00283837"/>
    <w:rsid w:val="0028537E"/>
    <w:rsid w:val="0028547F"/>
    <w:rsid w:val="0028691C"/>
    <w:rsid w:val="00291EE5"/>
    <w:rsid w:val="00292BAB"/>
    <w:rsid w:val="00294B5D"/>
    <w:rsid w:val="00295C0B"/>
    <w:rsid w:val="002A135F"/>
    <w:rsid w:val="002A1A17"/>
    <w:rsid w:val="002A1F94"/>
    <w:rsid w:val="002A26F0"/>
    <w:rsid w:val="002A48E1"/>
    <w:rsid w:val="002A5A8E"/>
    <w:rsid w:val="002A7770"/>
    <w:rsid w:val="002B0704"/>
    <w:rsid w:val="002B1C26"/>
    <w:rsid w:val="002B215D"/>
    <w:rsid w:val="002B433F"/>
    <w:rsid w:val="002B5708"/>
    <w:rsid w:val="002C2B5B"/>
    <w:rsid w:val="002C3CF1"/>
    <w:rsid w:val="002C412E"/>
    <w:rsid w:val="002C587F"/>
    <w:rsid w:val="002C72E2"/>
    <w:rsid w:val="002D101E"/>
    <w:rsid w:val="002D1744"/>
    <w:rsid w:val="002D25D7"/>
    <w:rsid w:val="002D2DC4"/>
    <w:rsid w:val="002D3376"/>
    <w:rsid w:val="002D3C31"/>
    <w:rsid w:val="002D6432"/>
    <w:rsid w:val="002D64D9"/>
    <w:rsid w:val="002E0586"/>
    <w:rsid w:val="002E1258"/>
    <w:rsid w:val="002E30BB"/>
    <w:rsid w:val="002E33CC"/>
    <w:rsid w:val="002E388A"/>
    <w:rsid w:val="002E4F44"/>
    <w:rsid w:val="002E4FC1"/>
    <w:rsid w:val="002E6F47"/>
    <w:rsid w:val="002F27B9"/>
    <w:rsid w:val="002F48FF"/>
    <w:rsid w:val="00302C50"/>
    <w:rsid w:val="003039C4"/>
    <w:rsid w:val="00303B84"/>
    <w:rsid w:val="00303DA7"/>
    <w:rsid w:val="003044B5"/>
    <w:rsid w:val="00304CFB"/>
    <w:rsid w:val="003074CF"/>
    <w:rsid w:val="00307529"/>
    <w:rsid w:val="00311931"/>
    <w:rsid w:val="00311A32"/>
    <w:rsid w:val="00315645"/>
    <w:rsid w:val="00317F13"/>
    <w:rsid w:val="00321D3B"/>
    <w:rsid w:val="00323212"/>
    <w:rsid w:val="003236EA"/>
    <w:rsid w:val="00323D53"/>
    <w:rsid w:val="003243B7"/>
    <w:rsid w:val="00324A81"/>
    <w:rsid w:val="00324C9F"/>
    <w:rsid w:val="00331F40"/>
    <w:rsid w:val="0033248E"/>
    <w:rsid w:val="003324EB"/>
    <w:rsid w:val="00332F45"/>
    <w:rsid w:val="00333F98"/>
    <w:rsid w:val="003340C6"/>
    <w:rsid w:val="00335141"/>
    <w:rsid w:val="00335C1C"/>
    <w:rsid w:val="003405B4"/>
    <w:rsid w:val="003412F6"/>
    <w:rsid w:val="00344DF7"/>
    <w:rsid w:val="00344E5F"/>
    <w:rsid w:val="003503B2"/>
    <w:rsid w:val="003505FC"/>
    <w:rsid w:val="00350814"/>
    <w:rsid w:val="003534C3"/>
    <w:rsid w:val="0035393A"/>
    <w:rsid w:val="00353CD1"/>
    <w:rsid w:val="00356A62"/>
    <w:rsid w:val="00356BF7"/>
    <w:rsid w:val="00360E0C"/>
    <w:rsid w:val="003624DB"/>
    <w:rsid w:val="00362A4B"/>
    <w:rsid w:val="003640D3"/>
    <w:rsid w:val="00364411"/>
    <w:rsid w:val="0036462B"/>
    <w:rsid w:val="0036717A"/>
    <w:rsid w:val="00367937"/>
    <w:rsid w:val="003712EB"/>
    <w:rsid w:val="003729CC"/>
    <w:rsid w:val="00372B57"/>
    <w:rsid w:val="003735D4"/>
    <w:rsid w:val="003735E0"/>
    <w:rsid w:val="00373DF9"/>
    <w:rsid w:val="0037424E"/>
    <w:rsid w:val="00374B72"/>
    <w:rsid w:val="00375CEA"/>
    <w:rsid w:val="00376CB8"/>
    <w:rsid w:val="0037701C"/>
    <w:rsid w:val="00377356"/>
    <w:rsid w:val="00381736"/>
    <w:rsid w:val="00382796"/>
    <w:rsid w:val="00383EAF"/>
    <w:rsid w:val="003840BD"/>
    <w:rsid w:val="003841CA"/>
    <w:rsid w:val="00384514"/>
    <w:rsid w:val="00384996"/>
    <w:rsid w:val="00384CC9"/>
    <w:rsid w:val="00387BB9"/>
    <w:rsid w:val="00387C8B"/>
    <w:rsid w:val="00391469"/>
    <w:rsid w:val="00392427"/>
    <w:rsid w:val="003928BC"/>
    <w:rsid w:val="0039370A"/>
    <w:rsid w:val="0039407E"/>
    <w:rsid w:val="00394BEF"/>
    <w:rsid w:val="00395B68"/>
    <w:rsid w:val="00396437"/>
    <w:rsid w:val="00396D7C"/>
    <w:rsid w:val="003A035C"/>
    <w:rsid w:val="003A1594"/>
    <w:rsid w:val="003A229B"/>
    <w:rsid w:val="003A4942"/>
    <w:rsid w:val="003A632F"/>
    <w:rsid w:val="003A69BE"/>
    <w:rsid w:val="003B08CF"/>
    <w:rsid w:val="003B212A"/>
    <w:rsid w:val="003B3871"/>
    <w:rsid w:val="003B5EFD"/>
    <w:rsid w:val="003B714C"/>
    <w:rsid w:val="003C083B"/>
    <w:rsid w:val="003C314A"/>
    <w:rsid w:val="003C3DF8"/>
    <w:rsid w:val="003C3E18"/>
    <w:rsid w:val="003C4F16"/>
    <w:rsid w:val="003D0954"/>
    <w:rsid w:val="003D1FD9"/>
    <w:rsid w:val="003D292A"/>
    <w:rsid w:val="003D2A24"/>
    <w:rsid w:val="003D2A81"/>
    <w:rsid w:val="003D4A34"/>
    <w:rsid w:val="003D56AA"/>
    <w:rsid w:val="003D58DC"/>
    <w:rsid w:val="003D6281"/>
    <w:rsid w:val="003E0030"/>
    <w:rsid w:val="003E0200"/>
    <w:rsid w:val="003E0220"/>
    <w:rsid w:val="003E0847"/>
    <w:rsid w:val="003E0C0F"/>
    <w:rsid w:val="003E3186"/>
    <w:rsid w:val="003E3E5F"/>
    <w:rsid w:val="003E46D1"/>
    <w:rsid w:val="003E7798"/>
    <w:rsid w:val="003F04DD"/>
    <w:rsid w:val="003F09FC"/>
    <w:rsid w:val="003F1B20"/>
    <w:rsid w:val="003F1BC3"/>
    <w:rsid w:val="003F23C8"/>
    <w:rsid w:val="003F465F"/>
    <w:rsid w:val="004035AC"/>
    <w:rsid w:val="00406E67"/>
    <w:rsid w:val="0040756D"/>
    <w:rsid w:val="00411CE5"/>
    <w:rsid w:val="00411D84"/>
    <w:rsid w:val="00412521"/>
    <w:rsid w:val="004132BF"/>
    <w:rsid w:val="004150B7"/>
    <w:rsid w:val="0041590C"/>
    <w:rsid w:val="004163DE"/>
    <w:rsid w:val="00425E73"/>
    <w:rsid w:val="004279DE"/>
    <w:rsid w:val="00427A8D"/>
    <w:rsid w:val="00431A22"/>
    <w:rsid w:val="00431AD1"/>
    <w:rsid w:val="00431F92"/>
    <w:rsid w:val="004332F3"/>
    <w:rsid w:val="00433768"/>
    <w:rsid w:val="00435065"/>
    <w:rsid w:val="00435286"/>
    <w:rsid w:val="00440D0D"/>
    <w:rsid w:val="004423D0"/>
    <w:rsid w:val="004462F7"/>
    <w:rsid w:val="00446E51"/>
    <w:rsid w:val="00447312"/>
    <w:rsid w:val="00447968"/>
    <w:rsid w:val="00447AFB"/>
    <w:rsid w:val="00452FC4"/>
    <w:rsid w:val="0045350F"/>
    <w:rsid w:val="00453D40"/>
    <w:rsid w:val="00455A99"/>
    <w:rsid w:val="00455CB3"/>
    <w:rsid w:val="00460D00"/>
    <w:rsid w:val="0046194D"/>
    <w:rsid w:val="00466857"/>
    <w:rsid w:val="00467125"/>
    <w:rsid w:val="00470730"/>
    <w:rsid w:val="00470843"/>
    <w:rsid w:val="00470E12"/>
    <w:rsid w:val="00471114"/>
    <w:rsid w:val="00471382"/>
    <w:rsid w:val="00472C0F"/>
    <w:rsid w:val="00474426"/>
    <w:rsid w:val="0047444C"/>
    <w:rsid w:val="0047449F"/>
    <w:rsid w:val="004745E2"/>
    <w:rsid w:val="004745ED"/>
    <w:rsid w:val="00475700"/>
    <w:rsid w:val="00475C50"/>
    <w:rsid w:val="00475E03"/>
    <w:rsid w:val="004764D6"/>
    <w:rsid w:val="00476E47"/>
    <w:rsid w:val="004770F5"/>
    <w:rsid w:val="0047760D"/>
    <w:rsid w:val="00477B49"/>
    <w:rsid w:val="00480295"/>
    <w:rsid w:val="00480610"/>
    <w:rsid w:val="00481416"/>
    <w:rsid w:val="0048144C"/>
    <w:rsid w:val="00491E9B"/>
    <w:rsid w:val="0049243F"/>
    <w:rsid w:val="0049284F"/>
    <w:rsid w:val="00492B9F"/>
    <w:rsid w:val="00493ADE"/>
    <w:rsid w:val="00493C05"/>
    <w:rsid w:val="00496347"/>
    <w:rsid w:val="00497C87"/>
    <w:rsid w:val="00497D09"/>
    <w:rsid w:val="004A043A"/>
    <w:rsid w:val="004A16AB"/>
    <w:rsid w:val="004A2D41"/>
    <w:rsid w:val="004A5412"/>
    <w:rsid w:val="004A57E0"/>
    <w:rsid w:val="004A629D"/>
    <w:rsid w:val="004B1732"/>
    <w:rsid w:val="004B396B"/>
    <w:rsid w:val="004B41C5"/>
    <w:rsid w:val="004B5ED3"/>
    <w:rsid w:val="004B65CF"/>
    <w:rsid w:val="004C008D"/>
    <w:rsid w:val="004C1D03"/>
    <w:rsid w:val="004C22F8"/>
    <w:rsid w:val="004C2759"/>
    <w:rsid w:val="004C43D2"/>
    <w:rsid w:val="004C5858"/>
    <w:rsid w:val="004C5F30"/>
    <w:rsid w:val="004D0E8B"/>
    <w:rsid w:val="004D1106"/>
    <w:rsid w:val="004D13ED"/>
    <w:rsid w:val="004D1E5A"/>
    <w:rsid w:val="004D2599"/>
    <w:rsid w:val="004D378F"/>
    <w:rsid w:val="004D5B0A"/>
    <w:rsid w:val="004E054A"/>
    <w:rsid w:val="004E0659"/>
    <w:rsid w:val="004E0804"/>
    <w:rsid w:val="004E158D"/>
    <w:rsid w:val="004E22C7"/>
    <w:rsid w:val="004E2CF6"/>
    <w:rsid w:val="004E2DE2"/>
    <w:rsid w:val="004E322A"/>
    <w:rsid w:val="004E33B4"/>
    <w:rsid w:val="004E67BF"/>
    <w:rsid w:val="004E67FA"/>
    <w:rsid w:val="004E68C9"/>
    <w:rsid w:val="004E784C"/>
    <w:rsid w:val="004E7BB3"/>
    <w:rsid w:val="004E7F44"/>
    <w:rsid w:val="004F0BC3"/>
    <w:rsid w:val="004F2C06"/>
    <w:rsid w:val="004F673F"/>
    <w:rsid w:val="00500F13"/>
    <w:rsid w:val="0050147E"/>
    <w:rsid w:val="00503A47"/>
    <w:rsid w:val="00504129"/>
    <w:rsid w:val="00507B60"/>
    <w:rsid w:val="005117BF"/>
    <w:rsid w:val="00513B00"/>
    <w:rsid w:val="00514427"/>
    <w:rsid w:val="005165D8"/>
    <w:rsid w:val="00517522"/>
    <w:rsid w:val="00517C5F"/>
    <w:rsid w:val="0052010E"/>
    <w:rsid w:val="0052123A"/>
    <w:rsid w:val="00522288"/>
    <w:rsid w:val="005224CD"/>
    <w:rsid w:val="005225E5"/>
    <w:rsid w:val="00523464"/>
    <w:rsid w:val="005239FC"/>
    <w:rsid w:val="00523FDB"/>
    <w:rsid w:val="005241AD"/>
    <w:rsid w:val="005244F4"/>
    <w:rsid w:val="0052781F"/>
    <w:rsid w:val="00530004"/>
    <w:rsid w:val="00530DC9"/>
    <w:rsid w:val="005328BF"/>
    <w:rsid w:val="005328E0"/>
    <w:rsid w:val="00533515"/>
    <w:rsid w:val="005348E1"/>
    <w:rsid w:val="00536980"/>
    <w:rsid w:val="005377A9"/>
    <w:rsid w:val="005405E3"/>
    <w:rsid w:val="0054070D"/>
    <w:rsid w:val="00540B99"/>
    <w:rsid w:val="00540B9D"/>
    <w:rsid w:val="005417D5"/>
    <w:rsid w:val="00542795"/>
    <w:rsid w:val="005431BF"/>
    <w:rsid w:val="005444BC"/>
    <w:rsid w:val="0054491F"/>
    <w:rsid w:val="00544DF5"/>
    <w:rsid w:val="0054734D"/>
    <w:rsid w:val="00550B80"/>
    <w:rsid w:val="005523CE"/>
    <w:rsid w:val="00553A9C"/>
    <w:rsid w:val="00555944"/>
    <w:rsid w:val="0055658D"/>
    <w:rsid w:val="00556655"/>
    <w:rsid w:val="00557550"/>
    <w:rsid w:val="005605F5"/>
    <w:rsid w:val="00561950"/>
    <w:rsid w:val="0056225D"/>
    <w:rsid w:val="005641C1"/>
    <w:rsid w:val="00565682"/>
    <w:rsid w:val="005669F0"/>
    <w:rsid w:val="00567E42"/>
    <w:rsid w:val="005706D9"/>
    <w:rsid w:val="0057125D"/>
    <w:rsid w:val="005732F7"/>
    <w:rsid w:val="0057354B"/>
    <w:rsid w:val="005739C3"/>
    <w:rsid w:val="00573E6A"/>
    <w:rsid w:val="005748E0"/>
    <w:rsid w:val="00576B34"/>
    <w:rsid w:val="005774A7"/>
    <w:rsid w:val="00581E85"/>
    <w:rsid w:val="00582116"/>
    <w:rsid w:val="00582CB2"/>
    <w:rsid w:val="005846FE"/>
    <w:rsid w:val="00584831"/>
    <w:rsid w:val="00584D47"/>
    <w:rsid w:val="00584D94"/>
    <w:rsid w:val="005855BF"/>
    <w:rsid w:val="005859F8"/>
    <w:rsid w:val="0058716E"/>
    <w:rsid w:val="005877E2"/>
    <w:rsid w:val="00587DB6"/>
    <w:rsid w:val="005903F5"/>
    <w:rsid w:val="00592347"/>
    <w:rsid w:val="0059380C"/>
    <w:rsid w:val="00595B75"/>
    <w:rsid w:val="00597F9A"/>
    <w:rsid w:val="005A1429"/>
    <w:rsid w:val="005A35DF"/>
    <w:rsid w:val="005A609B"/>
    <w:rsid w:val="005A6E6F"/>
    <w:rsid w:val="005B106C"/>
    <w:rsid w:val="005B26A3"/>
    <w:rsid w:val="005B275F"/>
    <w:rsid w:val="005B5F24"/>
    <w:rsid w:val="005B6A74"/>
    <w:rsid w:val="005C263D"/>
    <w:rsid w:val="005C305F"/>
    <w:rsid w:val="005C5F6A"/>
    <w:rsid w:val="005D112A"/>
    <w:rsid w:val="005D2084"/>
    <w:rsid w:val="005D2B81"/>
    <w:rsid w:val="005D2BA1"/>
    <w:rsid w:val="005D57AF"/>
    <w:rsid w:val="005D6535"/>
    <w:rsid w:val="005D6B43"/>
    <w:rsid w:val="005D6DC7"/>
    <w:rsid w:val="005E0246"/>
    <w:rsid w:val="005E32CB"/>
    <w:rsid w:val="005E3905"/>
    <w:rsid w:val="005E6610"/>
    <w:rsid w:val="005E73D2"/>
    <w:rsid w:val="005E7E54"/>
    <w:rsid w:val="005F1632"/>
    <w:rsid w:val="005F1B2A"/>
    <w:rsid w:val="005F333E"/>
    <w:rsid w:val="005F390A"/>
    <w:rsid w:val="005F63CA"/>
    <w:rsid w:val="005F6919"/>
    <w:rsid w:val="0060112D"/>
    <w:rsid w:val="00602891"/>
    <w:rsid w:val="00604F16"/>
    <w:rsid w:val="00606411"/>
    <w:rsid w:val="006113C1"/>
    <w:rsid w:val="006137F4"/>
    <w:rsid w:val="006138C1"/>
    <w:rsid w:val="006146C5"/>
    <w:rsid w:val="0061660D"/>
    <w:rsid w:val="0061773F"/>
    <w:rsid w:val="00620CE9"/>
    <w:rsid w:val="00623E70"/>
    <w:rsid w:val="00624945"/>
    <w:rsid w:val="006249F4"/>
    <w:rsid w:val="0062680D"/>
    <w:rsid w:val="00641552"/>
    <w:rsid w:val="006450EC"/>
    <w:rsid w:val="006472A6"/>
    <w:rsid w:val="00647880"/>
    <w:rsid w:val="006510D4"/>
    <w:rsid w:val="0065639F"/>
    <w:rsid w:val="00657CB1"/>
    <w:rsid w:val="0066023B"/>
    <w:rsid w:val="00660CE3"/>
    <w:rsid w:val="006614CA"/>
    <w:rsid w:val="00664032"/>
    <w:rsid w:val="006642FF"/>
    <w:rsid w:val="00671739"/>
    <w:rsid w:val="00673652"/>
    <w:rsid w:val="00675317"/>
    <w:rsid w:val="0067594E"/>
    <w:rsid w:val="00675E03"/>
    <w:rsid w:val="00676806"/>
    <w:rsid w:val="006774E4"/>
    <w:rsid w:val="00682727"/>
    <w:rsid w:val="00687191"/>
    <w:rsid w:val="00687E84"/>
    <w:rsid w:val="00690081"/>
    <w:rsid w:val="006900BF"/>
    <w:rsid w:val="0069117F"/>
    <w:rsid w:val="00691DA1"/>
    <w:rsid w:val="006929C0"/>
    <w:rsid w:val="006948DF"/>
    <w:rsid w:val="00694EEC"/>
    <w:rsid w:val="00696404"/>
    <w:rsid w:val="00697883"/>
    <w:rsid w:val="00697C01"/>
    <w:rsid w:val="006A1DD5"/>
    <w:rsid w:val="006A1EF4"/>
    <w:rsid w:val="006A223F"/>
    <w:rsid w:val="006A4020"/>
    <w:rsid w:val="006A6E58"/>
    <w:rsid w:val="006B0022"/>
    <w:rsid w:val="006B0E5A"/>
    <w:rsid w:val="006B38B4"/>
    <w:rsid w:val="006B4EF7"/>
    <w:rsid w:val="006C1A67"/>
    <w:rsid w:val="006C4BED"/>
    <w:rsid w:val="006C593B"/>
    <w:rsid w:val="006D0C57"/>
    <w:rsid w:val="006D3AAB"/>
    <w:rsid w:val="006D51A6"/>
    <w:rsid w:val="006E1140"/>
    <w:rsid w:val="006E1365"/>
    <w:rsid w:val="006E18D8"/>
    <w:rsid w:val="006E2BBF"/>
    <w:rsid w:val="006E3150"/>
    <w:rsid w:val="006E5FB3"/>
    <w:rsid w:val="006E5FDA"/>
    <w:rsid w:val="006E6359"/>
    <w:rsid w:val="006E6C23"/>
    <w:rsid w:val="006E7917"/>
    <w:rsid w:val="006F04E9"/>
    <w:rsid w:val="006F2175"/>
    <w:rsid w:val="006F2F95"/>
    <w:rsid w:val="006F3E16"/>
    <w:rsid w:val="006F630B"/>
    <w:rsid w:val="006F7C6E"/>
    <w:rsid w:val="0070050B"/>
    <w:rsid w:val="007012E6"/>
    <w:rsid w:val="00705BCF"/>
    <w:rsid w:val="00706E1D"/>
    <w:rsid w:val="00710635"/>
    <w:rsid w:val="00711DE4"/>
    <w:rsid w:val="007123C4"/>
    <w:rsid w:val="007159E8"/>
    <w:rsid w:val="00716EC6"/>
    <w:rsid w:val="00717540"/>
    <w:rsid w:val="007202C1"/>
    <w:rsid w:val="00720AE7"/>
    <w:rsid w:val="00721DB4"/>
    <w:rsid w:val="007221FC"/>
    <w:rsid w:val="00722332"/>
    <w:rsid w:val="00723E45"/>
    <w:rsid w:val="00725BBA"/>
    <w:rsid w:val="00726AAC"/>
    <w:rsid w:val="0073125C"/>
    <w:rsid w:val="0073360F"/>
    <w:rsid w:val="00736051"/>
    <w:rsid w:val="0074085C"/>
    <w:rsid w:val="00741C13"/>
    <w:rsid w:val="0074366B"/>
    <w:rsid w:val="007437D2"/>
    <w:rsid w:val="0074500F"/>
    <w:rsid w:val="00745217"/>
    <w:rsid w:val="00746F98"/>
    <w:rsid w:val="00747739"/>
    <w:rsid w:val="00750707"/>
    <w:rsid w:val="00753BEE"/>
    <w:rsid w:val="0075586A"/>
    <w:rsid w:val="007561F1"/>
    <w:rsid w:val="00756FE2"/>
    <w:rsid w:val="00757012"/>
    <w:rsid w:val="007573A2"/>
    <w:rsid w:val="00757C7E"/>
    <w:rsid w:val="00757DAD"/>
    <w:rsid w:val="00764926"/>
    <w:rsid w:val="00764C65"/>
    <w:rsid w:val="00767B25"/>
    <w:rsid w:val="00771A04"/>
    <w:rsid w:val="0077369F"/>
    <w:rsid w:val="00773968"/>
    <w:rsid w:val="00774928"/>
    <w:rsid w:val="00774BA8"/>
    <w:rsid w:val="007750D1"/>
    <w:rsid w:val="00776176"/>
    <w:rsid w:val="00780533"/>
    <w:rsid w:val="00780C8B"/>
    <w:rsid w:val="00782A51"/>
    <w:rsid w:val="00782EBE"/>
    <w:rsid w:val="007859C5"/>
    <w:rsid w:val="007873D7"/>
    <w:rsid w:val="00790DD2"/>
    <w:rsid w:val="00791DB3"/>
    <w:rsid w:val="007927AA"/>
    <w:rsid w:val="00792DE2"/>
    <w:rsid w:val="00792E07"/>
    <w:rsid w:val="0079485E"/>
    <w:rsid w:val="00795C9D"/>
    <w:rsid w:val="00796A53"/>
    <w:rsid w:val="007A1D8D"/>
    <w:rsid w:val="007A522A"/>
    <w:rsid w:val="007A5ACD"/>
    <w:rsid w:val="007A61C6"/>
    <w:rsid w:val="007B048E"/>
    <w:rsid w:val="007B07E5"/>
    <w:rsid w:val="007B1F53"/>
    <w:rsid w:val="007B20DF"/>
    <w:rsid w:val="007B2D90"/>
    <w:rsid w:val="007B4A3D"/>
    <w:rsid w:val="007B6ADB"/>
    <w:rsid w:val="007B70CF"/>
    <w:rsid w:val="007B7EDD"/>
    <w:rsid w:val="007C0180"/>
    <w:rsid w:val="007C03C4"/>
    <w:rsid w:val="007C0F6E"/>
    <w:rsid w:val="007C131B"/>
    <w:rsid w:val="007C157C"/>
    <w:rsid w:val="007C32F2"/>
    <w:rsid w:val="007C39C0"/>
    <w:rsid w:val="007C4039"/>
    <w:rsid w:val="007C41F8"/>
    <w:rsid w:val="007C434D"/>
    <w:rsid w:val="007C4928"/>
    <w:rsid w:val="007C4BA8"/>
    <w:rsid w:val="007C5D3E"/>
    <w:rsid w:val="007C6C79"/>
    <w:rsid w:val="007C70B8"/>
    <w:rsid w:val="007C7710"/>
    <w:rsid w:val="007D07B6"/>
    <w:rsid w:val="007D0C40"/>
    <w:rsid w:val="007D1A4E"/>
    <w:rsid w:val="007D1B00"/>
    <w:rsid w:val="007D283D"/>
    <w:rsid w:val="007D2D85"/>
    <w:rsid w:val="007D30B8"/>
    <w:rsid w:val="007D34D2"/>
    <w:rsid w:val="007D48D3"/>
    <w:rsid w:val="007D6327"/>
    <w:rsid w:val="007E4281"/>
    <w:rsid w:val="007E4E49"/>
    <w:rsid w:val="007E4F85"/>
    <w:rsid w:val="007E5229"/>
    <w:rsid w:val="007E5CDC"/>
    <w:rsid w:val="007E5D75"/>
    <w:rsid w:val="007E5DBD"/>
    <w:rsid w:val="007E65EF"/>
    <w:rsid w:val="007E6C6C"/>
    <w:rsid w:val="007F0537"/>
    <w:rsid w:val="007F0CDE"/>
    <w:rsid w:val="007F1365"/>
    <w:rsid w:val="007F1A40"/>
    <w:rsid w:val="007F37AA"/>
    <w:rsid w:val="007F3B4B"/>
    <w:rsid w:val="007F450A"/>
    <w:rsid w:val="007F67D0"/>
    <w:rsid w:val="007F72D3"/>
    <w:rsid w:val="007F7FBC"/>
    <w:rsid w:val="00801186"/>
    <w:rsid w:val="0080144C"/>
    <w:rsid w:val="00801C3D"/>
    <w:rsid w:val="00802CFB"/>
    <w:rsid w:val="0080520F"/>
    <w:rsid w:val="0080610D"/>
    <w:rsid w:val="00807CF6"/>
    <w:rsid w:val="008108CB"/>
    <w:rsid w:val="00816590"/>
    <w:rsid w:val="00816F5E"/>
    <w:rsid w:val="0081752C"/>
    <w:rsid w:val="00820DCE"/>
    <w:rsid w:val="00820F5C"/>
    <w:rsid w:val="00826F9E"/>
    <w:rsid w:val="008270B0"/>
    <w:rsid w:val="008318EE"/>
    <w:rsid w:val="00832159"/>
    <w:rsid w:val="00834CE0"/>
    <w:rsid w:val="00834D0B"/>
    <w:rsid w:val="00834FB2"/>
    <w:rsid w:val="00837701"/>
    <w:rsid w:val="00837F27"/>
    <w:rsid w:val="00840463"/>
    <w:rsid w:val="00841FA6"/>
    <w:rsid w:val="00842365"/>
    <w:rsid w:val="00842512"/>
    <w:rsid w:val="0084283D"/>
    <w:rsid w:val="008434B8"/>
    <w:rsid w:val="008448C4"/>
    <w:rsid w:val="00846F2B"/>
    <w:rsid w:val="0084739C"/>
    <w:rsid w:val="00850EDB"/>
    <w:rsid w:val="00852C8A"/>
    <w:rsid w:val="008549E0"/>
    <w:rsid w:val="00854EFA"/>
    <w:rsid w:val="00856DFF"/>
    <w:rsid w:val="00860088"/>
    <w:rsid w:val="00860E16"/>
    <w:rsid w:val="008627FE"/>
    <w:rsid w:val="00862812"/>
    <w:rsid w:val="00865243"/>
    <w:rsid w:val="008666B9"/>
    <w:rsid w:val="00872B22"/>
    <w:rsid w:val="00874A7D"/>
    <w:rsid w:val="00874ABB"/>
    <w:rsid w:val="00874E6F"/>
    <w:rsid w:val="00875E29"/>
    <w:rsid w:val="0088521A"/>
    <w:rsid w:val="008858C1"/>
    <w:rsid w:val="00885ECF"/>
    <w:rsid w:val="00886014"/>
    <w:rsid w:val="00887E2E"/>
    <w:rsid w:val="00890184"/>
    <w:rsid w:val="00890404"/>
    <w:rsid w:val="00890869"/>
    <w:rsid w:val="00890C43"/>
    <w:rsid w:val="00890CE3"/>
    <w:rsid w:val="00890F6C"/>
    <w:rsid w:val="00893040"/>
    <w:rsid w:val="00893C47"/>
    <w:rsid w:val="00894E1F"/>
    <w:rsid w:val="00895C64"/>
    <w:rsid w:val="00895F6F"/>
    <w:rsid w:val="0089634B"/>
    <w:rsid w:val="00897279"/>
    <w:rsid w:val="008A08AA"/>
    <w:rsid w:val="008A0BCB"/>
    <w:rsid w:val="008A146C"/>
    <w:rsid w:val="008A28C5"/>
    <w:rsid w:val="008A3219"/>
    <w:rsid w:val="008A33F5"/>
    <w:rsid w:val="008A4028"/>
    <w:rsid w:val="008A6439"/>
    <w:rsid w:val="008A6C41"/>
    <w:rsid w:val="008B06AF"/>
    <w:rsid w:val="008B1904"/>
    <w:rsid w:val="008B422F"/>
    <w:rsid w:val="008B4A84"/>
    <w:rsid w:val="008B4BC8"/>
    <w:rsid w:val="008B5028"/>
    <w:rsid w:val="008B54BE"/>
    <w:rsid w:val="008B5FFC"/>
    <w:rsid w:val="008B717A"/>
    <w:rsid w:val="008C2381"/>
    <w:rsid w:val="008C276D"/>
    <w:rsid w:val="008C30AB"/>
    <w:rsid w:val="008C360E"/>
    <w:rsid w:val="008C3CA0"/>
    <w:rsid w:val="008C3EBC"/>
    <w:rsid w:val="008C476E"/>
    <w:rsid w:val="008C6083"/>
    <w:rsid w:val="008C766B"/>
    <w:rsid w:val="008C7E8D"/>
    <w:rsid w:val="008D0504"/>
    <w:rsid w:val="008D1984"/>
    <w:rsid w:val="008D2202"/>
    <w:rsid w:val="008D57E7"/>
    <w:rsid w:val="008D5974"/>
    <w:rsid w:val="008D5FDB"/>
    <w:rsid w:val="008D7BE6"/>
    <w:rsid w:val="008E15BC"/>
    <w:rsid w:val="008E27EE"/>
    <w:rsid w:val="008E4095"/>
    <w:rsid w:val="008E41AC"/>
    <w:rsid w:val="008E597F"/>
    <w:rsid w:val="008E624B"/>
    <w:rsid w:val="008F14DB"/>
    <w:rsid w:val="008F4994"/>
    <w:rsid w:val="008F4E99"/>
    <w:rsid w:val="008F5C53"/>
    <w:rsid w:val="008F6212"/>
    <w:rsid w:val="009059F7"/>
    <w:rsid w:val="009074EB"/>
    <w:rsid w:val="00911AD1"/>
    <w:rsid w:val="00911D51"/>
    <w:rsid w:val="00912A4B"/>
    <w:rsid w:val="0091302C"/>
    <w:rsid w:val="0091455F"/>
    <w:rsid w:val="00914CB0"/>
    <w:rsid w:val="009172D4"/>
    <w:rsid w:val="009210FF"/>
    <w:rsid w:val="0092174A"/>
    <w:rsid w:val="00921BD9"/>
    <w:rsid w:val="00922029"/>
    <w:rsid w:val="009250A4"/>
    <w:rsid w:val="00926463"/>
    <w:rsid w:val="00926BBB"/>
    <w:rsid w:val="00927D2B"/>
    <w:rsid w:val="0093022D"/>
    <w:rsid w:val="009304ED"/>
    <w:rsid w:val="00931F47"/>
    <w:rsid w:val="00932315"/>
    <w:rsid w:val="00933813"/>
    <w:rsid w:val="009362CB"/>
    <w:rsid w:val="009368DE"/>
    <w:rsid w:val="00936D0A"/>
    <w:rsid w:val="009371FE"/>
    <w:rsid w:val="009379C9"/>
    <w:rsid w:val="009404AE"/>
    <w:rsid w:val="00943B36"/>
    <w:rsid w:val="0094443E"/>
    <w:rsid w:val="00945221"/>
    <w:rsid w:val="00952591"/>
    <w:rsid w:val="00952812"/>
    <w:rsid w:val="00953B40"/>
    <w:rsid w:val="00953E2B"/>
    <w:rsid w:val="00960E82"/>
    <w:rsid w:val="009610D8"/>
    <w:rsid w:val="009624B8"/>
    <w:rsid w:val="00963F7E"/>
    <w:rsid w:val="00967F77"/>
    <w:rsid w:val="00970211"/>
    <w:rsid w:val="009707AB"/>
    <w:rsid w:val="009714B0"/>
    <w:rsid w:val="00971814"/>
    <w:rsid w:val="00973F37"/>
    <w:rsid w:val="0097453C"/>
    <w:rsid w:val="00975076"/>
    <w:rsid w:val="00976E25"/>
    <w:rsid w:val="00977BC8"/>
    <w:rsid w:val="00977C90"/>
    <w:rsid w:val="0098118A"/>
    <w:rsid w:val="00982062"/>
    <w:rsid w:val="0098237C"/>
    <w:rsid w:val="00982CBD"/>
    <w:rsid w:val="00982DE2"/>
    <w:rsid w:val="00982F9F"/>
    <w:rsid w:val="00983EFD"/>
    <w:rsid w:val="00983FFD"/>
    <w:rsid w:val="00985AEC"/>
    <w:rsid w:val="00991E86"/>
    <w:rsid w:val="00992A06"/>
    <w:rsid w:val="009959F7"/>
    <w:rsid w:val="0099620C"/>
    <w:rsid w:val="0099732B"/>
    <w:rsid w:val="009A1C6A"/>
    <w:rsid w:val="009A3A17"/>
    <w:rsid w:val="009A3BC7"/>
    <w:rsid w:val="009A408E"/>
    <w:rsid w:val="009A5857"/>
    <w:rsid w:val="009A5EAF"/>
    <w:rsid w:val="009A65C8"/>
    <w:rsid w:val="009B0538"/>
    <w:rsid w:val="009B2281"/>
    <w:rsid w:val="009B22A2"/>
    <w:rsid w:val="009B23EF"/>
    <w:rsid w:val="009B24C8"/>
    <w:rsid w:val="009B5127"/>
    <w:rsid w:val="009B744E"/>
    <w:rsid w:val="009C19A1"/>
    <w:rsid w:val="009C1D04"/>
    <w:rsid w:val="009C49EA"/>
    <w:rsid w:val="009C4B9C"/>
    <w:rsid w:val="009D0709"/>
    <w:rsid w:val="009D0B04"/>
    <w:rsid w:val="009D15AB"/>
    <w:rsid w:val="009D2048"/>
    <w:rsid w:val="009D20BA"/>
    <w:rsid w:val="009D21FE"/>
    <w:rsid w:val="009D246D"/>
    <w:rsid w:val="009D332E"/>
    <w:rsid w:val="009D3BFF"/>
    <w:rsid w:val="009D3DD0"/>
    <w:rsid w:val="009D4F41"/>
    <w:rsid w:val="009D51A3"/>
    <w:rsid w:val="009D5B57"/>
    <w:rsid w:val="009D7EF5"/>
    <w:rsid w:val="009E1398"/>
    <w:rsid w:val="009E1A15"/>
    <w:rsid w:val="009E1D53"/>
    <w:rsid w:val="009E2187"/>
    <w:rsid w:val="009E2785"/>
    <w:rsid w:val="009E31C0"/>
    <w:rsid w:val="009E32D2"/>
    <w:rsid w:val="009E370D"/>
    <w:rsid w:val="009E3EEB"/>
    <w:rsid w:val="009E4230"/>
    <w:rsid w:val="009E5738"/>
    <w:rsid w:val="009E6AD2"/>
    <w:rsid w:val="009F0C3C"/>
    <w:rsid w:val="009F1E03"/>
    <w:rsid w:val="009F1EA3"/>
    <w:rsid w:val="009F1F3B"/>
    <w:rsid w:val="009F25E0"/>
    <w:rsid w:val="009F43D2"/>
    <w:rsid w:val="009F4922"/>
    <w:rsid w:val="009F7BCA"/>
    <w:rsid w:val="00A00232"/>
    <w:rsid w:val="00A012D2"/>
    <w:rsid w:val="00A03198"/>
    <w:rsid w:val="00A0607A"/>
    <w:rsid w:val="00A06722"/>
    <w:rsid w:val="00A072B2"/>
    <w:rsid w:val="00A078C5"/>
    <w:rsid w:val="00A07AF2"/>
    <w:rsid w:val="00A116B7"/>
    <w:rsid w:val="00A12682"/>
    <w:rsid w:val="00A12A72"/>
    <w:rsid w:val="00A156C8"/>
    <w:rsid w:val="00A15CCF"/>
    <w:rsid w:val="00A16253"/>
    <w:rsid w:val="00A16D40"/>
    <w:rsid w:val="00A17CF0"/>
    <w:rsid w:val="00A20741"/>
    <w:rsid w:val="00A2171A"/>
    <w:rsid w:val="00A225FB"/>
    <w:rsid w:val="00A2331C"/>
    <w:rsid w:val="00A23C3A"/>
    <w:rsid w:val="00A248CF"/>
    <w:rsid w:val="00A265A9"/>
    <w:rsid w:val="00A30D15"/>
    <w:rsid w:val="00A32BCF"/>
    <w:rsid w:val="00A33C25"/>
    <w:rsid w:val="00A35712"/>
    <w:rsid w:val="00A35AC0"/>
    <w:rsid w:val="00A35B61"/>
    <w:rsid w:val="00A375B5"/>
    <w:rsid w:val="00A40527"/>
    <w:rsid w:val="00A40CB9"/>
    <w:rsid w:val="00A4121C"/>
    <w:rsid w:val="00A41811"/>
    <w:rsid w:val="00A43A11"/>
    <w:rsid w:val="00A43A6E"/>
    <w:rsid w:val="00A43FCD"/>
    <w:rsid w:val="00A44132"/>
    <w:rsid w:val="00A45424"/>
    <w:rsid w:val="00A47344"/>
    <w:rsid w:val="00A50204"/>
    <w:rsid w:val="00A51BD5"/>
    <w:rsid w:val="00A5477A"/>
    <w:rsid w:val="00A557A8"/>
    <w:rsid w:val="00A56F6D"/>
    <w:rsid w:val="00A57438"/>
    <w:rsid w:val="00A60009"/>
    <w:rsid w:val="00A65D8F"/>
    <w:rsid w:val="00A66932"/>
    <w:rsid w:val="00A66B10"/>
    <w:rsid w:val="00A6740E"/>
    <w:rsid w:val="00A67BE3"/>
    <w:rsid w:val="00A703A4"/>
    <w:rsid w:val="00A7053C"/>
    <w:rsid w:val="00A70979"/>
    <w:rsid w:val="00A724DA"/>
    <w:rsid w:val="00A72F87"/>
    <w:rsid w:val="00A751E7"/>
    <w:rsid w:val="00A75414"/>
    <w:rsid w:val="00A76FC0"/>
    <w:rsid w:val="00A77F36"/>
    <w:rsid w:val="00A77FA5"/>
    <w:rsid w:val="00A8013F"/>
    <w:rsid w:val="00A80DEB"/>
    <w:rsid w:val="00A80E3B"/>
    <w:rsid w:val="00A827A7"/>
    <w:rsid w:val="00A827DB"/>
    <w:rsid w:val="00A84560"/>
    <w:rsid w:val="00A84EB2"/>
    <w:rsid w:val="00A85E87"/>
    <w:rsid w:val="00A87522"/>
    <w:rsid w:val="00A934E5"/>
    <w:rsid w:val="00A9457D"/>
    <w:rsid w:val="00A955C0"/>
    <w:rsid w:val="00A95970"/>
    <w:rsid w:val="00A96974"/>
    <w:rsid w:val="00A96CA3"/>
    <w:rsid w:val="00AA1EBE"/>
    <w:rsid w:val="00AA229D"/>
    <w:rsid w:val="00AA3686"/>
    <w:rsid w:val="00AA3C84"/>
    <w:rsid w:val="00AA4825"/>
    <w:rsid w:val="00AA4D7F"/>
    <w:rsid w:val="00AB0D98"/>
    <w:rsid w:val="00AB377F"/>
    <w:rsid w:val="00AC01F3"/>
    <w:rsid w:val="00AC07B8"/>
    <w:rsid w:val="00AC252C"/>
    <w:rsid w:val="00AC2C4F"/>
    <w:rsid w:val="00AC4BAC"/>
    <w:rsid w:val="00AC5DE9"/>
    <w:rsid w:val="00AC64B2"/>
    <w:rsid w:val="00AC6537"/>
    <w:rsid w:val="00AD06D8"/>
    <w:rsid w:val="00AD1D25"/>
    <w:rsid w:val="00AD2EDC"/>
    <w:rsid w:val="00AD324B"/>
    <w:rsid w:val="00AD3DFC"/>
    <w:rsid w:val="00AD47DF"/>
    <w:rsid w:val="00AD5899"/>
    <w:rsid w:val="00AD676F"/>
    <w:rsid w:val="00AD70A3"/>
    <w:rsid w:val="00AE02A6"/>
    <w:rsid w:val="00AE1321"/>
    <w:rsid w:val="00AE295A"/>
    <w:rsid w:val="00AE6552"/>
    <w:rsid w:val="00AE762A"/>
    <w:rsid w:val="00AF02FA"/>
    <w:rsid w:val="00AF0D3D"/>
    <w:rsid w:val="00AF3851"/>
    <w:rsid w:val="00AF496D"/>
    <w:rsid w:val="00AF56B1"/>
    <w:rsid w:val="00AF679F"/>
    <w:rsid w:val="00AF7032"/>
    <w:rsid w:val="00B01780"/>
    <w:rsid w:val="00B05681"/>
    <w:rsid w:val="00B0742B"/>
    <w:rsid w:val="00B078EA"/>
    <w:rsid w:val="00B12E28"/>
    <w:rsid w:val="00B1320E"/>
    <w:rsid w:val="00B1421B"/>
    <w:rsid w:val="00B154E8"/>
    <w:rsid w:val="00B20DDA"/>
    <w:rsid w:val="00B22714"/>
    <w:rsid w:val="00B23597"/>
    <w:rsid w:val="00B239AD"/>
    <w:rsid w:val="00B306B7"/>
    <w:rsid w:val="00B32240"/>
    <w:rsid w:val="00B33E17"/>
    <w:rsid w:val="00B34768"/>
    <w:rsid w:val="00B34B2D"/>
    <w:rsid w:val="00B350D7"/>
    <w:rsid w:val="00B35455"/>
    <w:rsid w:val="00B36CAD"/>
    <w:rsid w:val="00B377B0"/>
    <w:rsid w:val="00B406BC"/>
    <w:rsid w:val="00B40795"/>
    <w:rsid w:val="00B40DD6"/>
    <w:rsid w:val="00B42B80"/>
    <w:rsid w:val="00B42DF5"/>
    <w:rsid w:val="00B44DA1"/>
    <w:rsid w:val="00B44E6F"/>
    <w:rsid w:val="00B460AD"/>
    <w:rsid w:val="00B50FE3"/>
    <w:rsid w:val="00B5247D"/>
    <w:rsid w:val="00B5289A"/>
    <w:rsid w:val="00B53406"/>
    <w:rsid w:val="00B541BB"/>
    <w:rsid w:val="00B563B4"/>
    <w:rsid w:val="00B606CA"/>
    <w:rsid w:val="00B618E9"/>
    <w:rsid w:val="00B621E4"/>
    <w:rsid w:val="00B62ABC"/>
    <w:rsid w:val="00B63DA1"/>
    <w:rsid w:val="00B63DBC"/>
    <w:rsid w:val="00B66F81"/>
    <w:rsid w:val="00B67DB6"/>
    <w:rsid w:val="00B70DA4"/>
    <w:rsid w:val="00B71E65"/>
    <w:rsid w:val="00B73827"/>
    <w:rsid w:val="00B74957"/>
    <w:rsid w:val="00B75226"/>
    <w:rsid w:val="00B75735"/>
    <w:rsid w:val="00B757FD"/>
    <w:rsid w:val="00B76928"/>
    <w:rsid w:val="00B779B0"/>
    <w:rsid w:val="00B802EA"/>
    <w:rsid w:val="00B802F9"/>
    <w:rsid w:val="00B808E3"/>
    <w:rsid w:val="00B822BE"/>
    <w:rsid w:val="00B82550"/>
    <w:rsid w:val="00B84555"/>
    <w:rsid w:val="00B85531"/>
    <w:rsid w:val="00B86F8C"/>
    <w:rsid w:val="00B87027"/>
    <w:rsid w:val="00B9003C"/>
    <w:rsid w:val="00B90892"/>
    <w:rsid w:val="00B91A26"/>
    <w:rsid w:val="00B949D4"/>
    <w:rsid w:val="00B94EF2"/>
    <w:rsid w:val="00B95A5F"/>
    <w:rsid w:val="00B97280"/>
    <w:rsid w:val="00B974AC"/>
    <w:rsid w:val="00B97CC7"/>
    <w:rsid w:val="00BA0973"/>
    <w:rsid w:val="00BA103F"/>
    <w:rsid w:val="00BA1DE4"/>
    <w:rsid w:val="00BA590B"/>
    <w:rsid w:val="00BA64FD"/>
    <w:rsid w:val="00BA74C4"/>
    <w:rsid w:val="00BB0618"/>
    <w:rsid w:val="00BB106D"/>
    <w:rsid w:val="00BB1F1A"/>
    <w:rsid w:val="00BB24C8"/>
    <w:rsid w:val="00BB2524"/>
    <w:rsid w:val="00BB297E"/>
    <w:rsid w:val="00BB2C28"/>
    <w:rsid w:val="00BB65A3"/>
    <w:rsid w:val="00BB6D33"/>
    <w:rsid w:val="00BB6EFB"/>
    <w:rsid w:val="00BB7147"/>
    <w:rsid w:val="00BB771F"/>
    <w:rsid w:val="00BC005D"/>
    <w:rsid w:val="00BC0C8D"/>
    <w:rsid w:val="00BC0D04"/>
    <w:rsid w:val="00BC2098"/>
    <w:rsid w:val="00BC4C7A"/>
    <w:rsid w:val="00BC602E"/>
    <w:rsid w:val="00BC683A"/>
    <w:rsid w:val="00BC701B"/>
    <w:rsid w:val="00BC7BBE"/>
    <w:rsid w:val="00BC7E33"/>
    <w:rsid w:val="00BC7F44"/>
    <w:rsid w:val="00BD141C"/>
    <w:rsid w:val="00BD6FF9"/>
    <w:rsid w:val="00BE0B6B"/>
    <w:rsid w:val="00BE522E"/>
    <w:rsid w:val="00BE6464"/>
    <w:rsid w:val="00BE6A10"/>
    <w:rsid w:val="00BE78E5"/>
    <w:rsid w:val="00BE7CB5"/>
    <w:rsid w:val="00BF1229"/>
    <w:rsid w:val="00BF1876"/>
    <w:rsid w:val="00BF2CED"/>
    <w:rsid w:val="00BF3692"/>
    <w:rsid w:val="00BF3E6D"/>
    <w:rsid w:val="00BF4803"/>
    <w:rsid w:val="00BF63A9"/>
    <w:rsid w:val="00C017A3"/>
    <w:rsid w:val="00C01801"/>
    <w:rsid w:val="00C01899"/>
    <w:rsid w:val="00C019FF"/>
    <w:rsid w:val="00C035CD"/>
    <w:rsid w:val="00C05013"/>
    <w:rsid w:val="00C06668"/>
    <w:rsid w:val="00C07FE9"/>
    <w:rsid w:val="00C10730"/>
    <w:rsid w:val="00C12168"/>
    <w:rsid w:val="00C1411B"/>
    <w:rsid w:val="00C16AFE"/>
    <w:rsid w:val="00C16E66"/>
    <w:rsid w:val="00C205BF"/>
    <w:rsid w:val="00C22D1B"/>
    <w:rsid w:val="00C248B3"/>
    <w:rsid w:val="00C248D7"/>
    <w:rsid w:val="00C26ACB"/>
    <w:rsid w:val="00C27726"/>
    <w:rsid w:val="00C27F4F"/>
    <w:rsid w:val="00C30526"/>
    <w:rsid w:val="00C30EE9"/>
    <w:rsid w:val="00C3173E"/>
    <w:rsid w:val="00C31F17"/>
    <w:rsid w:val="00C32F59"/>
    <w:rsid w:val="00C36129"/>
    <w:rsid w:val="00C373CF"/>
    <w:rsid w:val="00C37769"/>
    <w:rsid w:val="00C37DE5"/>
    <w:rsid w:val="00C41016"/>
    <w:rsid w:val="00C4180F"/>
    <w:rsid w:val="00C425DD"/>
    <w:rsid w:val="00C42FC4"/>
    <w:rsid w:val="00C4498D"/>
    <w:rsid w:val="00C44C31"/>
    <w:rsid w:val="00C46A0F"/>
    <w:rsid w:val="00C5383E"/>
    <w:rsid w:val="00C540F9"/>
    <w:rsid w:val="00C54A62"/>
    <w:rsid w:val="00C54D1A"/>
    <w:rsid w:val="00C607A6"/>
    <w:rsid w:val="00C60B40"/>
    <w:rsid w:val="00C612D3"/>
    <w:rsid w:val="00C630EC"/>
    <w:rsid w:val="00C657B2"/>
    <w:rsid w:val="00C65D48"/>
    <w:rsid w:val="00C7073C"/>
    <w:rsid w:val="00C71AE3"/>
    <w:rsid w:val="00C71D2B"/>
    <w:rsid w:val="00C726BD"/>
    <w:rsid w:val="00C730B0"/>
    <w:rsid w:val="00C73800"/>
    <w:rsid w:val="00C75746"/>
    <w:rsid w:val="00C76309"/>
    <w:rsid w:val="00C7641E"/>
    <w:rsid w:val="00C769D1"/>
    <w:rsid w:val="00C77472"/>
    <w:rsid w:val="00C77865"/>
    <w:rsid w:val="00C77AE2"/>
    <w:rsid w:val="00C81584"/>
    <w:rsid w:val="00C84990"/>
    <w:rsid w:val="00C84D46"/>
    <w:rsid w:val="00C84F54"/>
    <w:rsid w:val="00C8556F"/>
    <w:rsid w:val="00C85961"/>
    <w:rsid w:val="00C85B57"/>
    <w:rsid w:val="00C86703"/>
    <w:rsid w:val="00C87E7E"/>
    <w:rsid w:val="00C90767"/>
    <w:rsid w:val="00C914A5"/>
    <w:rsid w:val="00C9364E"/>
    <w:rsid w:val="00C94E6D"/>
    <w:rsid w:val="00CA1790"/>
    <w:rsid w:val="00CA23A8"/>
    <w:rsid w:val="00CA2647"/>
    <w:rsid w:val="00CA2BBE"/>
    <w:rsid w:val="00CA3175"/>
    <w:rsid w:val="00CA3816"/>
    <w:rsid w:val="00CA3B5C"/>
    <w:rsid w:val="00CA4F35"/>
    <w:rsid w:val="00CB1318"/>
    <w:rsid w:val="00CB27FA"/>
    <w:rsid w:val="00CB2977"/>
    <w:rsid w:val="00CB29B8"/>
    <w:rsid w:val="00CB2E14"/>
    <w:rsid w:val="00CB3AFE"/>
    <w:rsid w:val="00CB6A4A"/>
    <w:rsid w:val="00CB6DE3"/>
    <w:rsid w:val="00CC076C"/>
    <w:rsid w:val="00CC09E0"/>
    <w:rsid w:val="00CC2C54"/>
    <w:rsid w:val="00CC3B25"/>
    <w:rsid w:val="00CC553B"/>
    <w:rsid w:val="00CC5FED"/>
    <w:rsid w:val="00CC6AFA"/>
    <w:rsid w:val="00CC7E2C"/>
    <w:rsid w:val="00CD00C2"/>
    <w:rsid w:val="00CD0E05"/>
    <w:rsid w:val="00CD1438"/>
    <w:rsid w:val="00CD2E73"/>
    <w:rsid w:val="00CD7610"/>
    <w:rsid w:val="00CE00ED"/>
    <w:rsid w:val="00CE0DE9"/>
    <w:rsid w:val="00CE0EEB"/>
    <w:rsid w:val="00CE15AD"/>
    <w:rsid w:val="00CE36FC"/>
    <w:rsid w:val="00CE4915"/>
    <w:rsid w:val="00CE781C"/>
    <w:rsid w:val="00CF1F08"/>
    <w:rsid w:val="00CF2316"/>
    <w:rsid w:val="00CF23B1"/>
    <w:rsid w:val="00CF2DAC"/>
    <w:rsid w:val="00CF5B23"/>
    <w:rsid w:val="00CF67BB"/>
    <w:rsid w:val="00D0050C"/>
    <w:rsid w:val="00D02B27"/>
    <w:rsid w:val="00D034FA"/>
    <w:rsid w:val="00D03A05"/>
    <w:rsid w:val="00D044FA"/>
    <w:rsid w:val="00D048DA"/>
    <w:rsid w:val="00D053A6"/>
    <w:rsid w:val="00D11682"/>
    <w:rsid w:val="00D17B1E"/>
    <w:rsid w:val="00D17D1A"/>
    <w:rsid w:val="00D205B2"/>
    <w:rsid w:val="00D22267"/>
    <w:rsid w:val="00D238A3"/>
    <w:rsid w:val="00D23D63"/>
    <w:rsid w:val="00D2493A"/>
    <w:rsid w:val="00D24E4C"/>
    <w:rsid w:val="00D24FB8"/>
    <w:rsid w:val="00D25AC3"/>
    <w:rsid w:val="00D26E9F"/>
    <w:rsid w:val="00D27EFD"/>
    <w:rsid w:val="00D33861"/>
    <w:rsid w:val="00D3459A"/>
    <w:rsid w:val="00D34686"/>
    <w:rsid w:val="00D34BF5"/>
    <w:rsid w:val="00D34F38"/>
    <w:rsid w:val="00D352A8"/>
    <w:rsid w:val="00D35ED0"/>
    <w:rsid w:val="00D37533"/>
    <w:rsid w:val="00D378A0"/>
    <w:rsid w:val="00D37E68"/>
    <w:rsid w:val="00D4048E"/>
    <w:rsid w:val="00D41828"/>
    <w:rsid w:val="00D42DA8"/>
    <w:rsid w:val="00D43B3E"/>
    <w:rsid w:val="00D44593"/>
    <w:rsid w:val="00D449EE"/>
    <w:rsid w:val="00D45E13"/>
    <w:rsid w:val="00D47595"/>
    <w:rsid w:val="00D50AB4"/>
    <w:rsid w:val="00D50D9B"/>
    <w:rsid w:val="00D5105B"/>
    <w:rsid w:val="00D52530"/>
    <w:rsid w:val="00D52E17"/>
    <w:rsid w:val="00D53EAA"/>
    <w:rsid w:val="00D54B9D"/>
    <w:rsid w:val="00D57295"/>
    <w:rsid w:val="00D572DB"/>
    <w:rsid w:val="00D57688"/>
    <w:rsid w:val="00D579B8"/>
    <w:rsid w:val="00D57B14"/>
    <w:rsid w:val="00D60E12"/>
    <w:rsid w:val="00D61229"/>
    <w:rsid w:val="00D627B3"/>
    <w:rsid w:val="00D661BB"/>
    <w:rsid w:val="00D71214"/>
    <w:rsid w:val="00D71740"/>
    <w:rsid w:val="00D717E6"/>
    <w:rsid w:val="00D728D7"/>
    <w:rsid w:val="00D72FB5"/>
    <w:rsid w:val="00D7300E"/>
    <w:rsid w:val="00D74142"/>
    <w:rsid w:val="00D77173"/>
    <w:rsid w:val="00D779CB"/>
    <w:rsid w:val="00D80EBE"/>
    <w:rsid w:val="00D815AE"/>
    <w:rsid w:val="00D8171C"/>
    <w:rsid w:val="00D8199F"/>
    <w:rsid w:val="00D846A6"/>
    <w:rsid w:val="00D87E0E"/>
    <w:rsid w:val="00D945BF"/>
    <w:rsid w:val="00D94B3B"/>
    <w:rsid w:val="00D962EF"/>
    <w:rsid w:val="00D973D5"/>
    <w:rsid w:val="00D97B92"/>
    <w:rsid w:val="00DB2515"/>
    <w:rsid w:val="00DB3CF8"/>
    <w:rsid w:val="00DC103D"/>
    <w:rsid w:val="00DC26E9"/>
    <w:rsid w:val="00DC66D5"/>
    <w:rsid w:val="00DC70A8"/>
    <w:rsid w:val="00DC7B63"/>
    <w:rsid w:val="00DC7E65"/>
    <w:rsid w:val="00DD0229"/>
    <w:rsid w:val="00DD0397"/>
    <w:rsid w:val="00DD1627"/>
    <w:rsid w:val="00DD2961"/>
    <w:rsid w:val="00DD2DE1"/>
    <w:rsid w:val="00DD40A5"/>
    <w:rsid w:val="00DD5349"/>
    <w:rsid w:val="00DD72AE"/>
    <w:rsid w:val="00DD74A5"/>
    <w:rsid w:val="00DE03DF"/>
    <w:rsid w:val="00DE2140"/>
    <w:rsid w:val="00DE2E60"/>
    <w:rsid w:val="00DE40DD"/>
    <w:rsid w:val="00DE4B2A"/>
    <w:rsid w:val="00DE7304"/>
    <w:rsid w:val="00DF0061"/>
    <w:rsid w:val="00DF0299"/>
    <w:rsid w:val="00DF0D4D"/>
    <w:rsid w:val="00DF3A7A"/>
    <w:rsid w:val="00DF6DA3"/>
    <w:rsid w:val="00E031F5"/>
    <w:rsid w:val="00E051AD"/>
    <w:rsid w:val="00E06662"/>
    <w:rsid w:val="00E07DF8"/>
    <w:rsid w:val="00E13C24"/>
    <w:rsid w:val="00E15441"/>
    <w:rsid w:val="00E15DAD"/>
    <w:rsid w:val="00E16813"/>
    <w:rsid w:val="00E1732C"/>
    <w:rsid w:val="00E17A1E"/>
    <w:rsid w:val="00E20AB3"/>
    <w:rsid w:val="00E21BAC"/>
    <w:rsid w:val="00E24C85"/>
    <w:rsid w:val="00E25831"/>
    <w:rsid w:val="00E2612B"/>
    <w:rsid w:val="00E26BF9"/>
    <w:rsid w:val="00E26E9E"/>
    <w:rsid w:val="00E306F1"/>
    <w:rsid w:val="00E3096E"/>
    <w:rsid w:val="00E319E0"/>
    <w:rsid w:val="00E32798"/>
    <w:rsid w:val="00E343EB"/>
    <w:rsid w:val="00E345F1"/>
    <w:rsid w:val="00E349CF"/>
    <w:rsid w:val="00E3594F"/>
    <w:rsid w:val="00E35F51"/>
    <w:rsid w:val="00E4027A"/>
    <w:rsid w:val="00E41702"/>
    <w:rsid w:val="00E42BBB"/>
    <w:rsid w:val="00E47627"/>
    <w:rsid w:val="00E530F9"/>
    <w:rsid w:val="00E5373F"/>
    <w:rsid w:val="00E537A0"/>
    <w:rsid w:val="00E538BB"/>
    <w:rsid w:val="00E54C76"/>
    <w:rsid w:val="00E5599F"/>
    <w:rsid w:val="00E55FF6"/>
    <w:rsid w:val="00E56AF8"/>
    <w:rsid w:val="00E57233"/>
    <w:rsid w:val="00E6286F"/>
    <w:rsid w:val="00E63DB8"/>
    <w:rsid w:val="00E64255"/>
    <w:rsid w:val="00E64D97"/>
    <w:rsid w:val="00E6530D"/>
    <w:rsid w:val="00E653B8"/>
    <w:rsid w:val="00E66182"/>
    <w:rsid w:val="00E66A0A"/>
    <w:rsid w:val="00E675A5"/>
    <w:rsid w:val="00E70562"/>
    <w:rsid w:val="00E73372"/>
    <w:rsid w:val="00E73C77"/>
    <w:rsid w:val="00E76D2A"/>
    <w:rsid w:val="00E77162"/>
    <w:rsid w:val="00E77CEE"/>
    <w:rsid w:val="00E80574"/>
    <w:rsid w:val="00E83CC8"/>
    <w:rsid w:val="00E859E0"/>
    <w:rsid w:val="00E85BD0"/>
    <w:rsid w:val="00E861CE"/>
    <w:rsid w:val="00E862EB"/>
    <w:rsid w:val="00E86330"/>
    <w:rsid w:val="00E868CA"/>
    <w:rsid w:val="00E86C27"/>
    <w:rsid w:val="00E87435"/>
    <w:rsid w:val="00E92439"/>
    <w:rsid w:val="00E94E80"/>
    <w:rsid w:val="00E9501E"/>
    <w:rsid w:val="00E95CE9"/>
    <w:rsid w:val="00EA080F"/>
    <w:rsid w:val="00EA1265"/>
    <w:rsid w:val="00EA2BF0"/>
    <w:rsid w:val="00EA2E40"/>
    <w:rsid w:val="00EA3FFA"/>
    <w:rsid w:val="00EA4386"/>
    <w:rsid w:val="00EA71EE"/>
    <w:rsid w:val="00EB05FA"/>
    <w:rsid w:val="00EB0A7B"/>
    <w:rsid w:val="00EB114E"/>
    <w:rsid w:val="00EB2B20"/>
    <w:rsid w:val="00EB3B8D"/>
    <w:rsid w:val="00EB4DEB"/>
    <w:rsid w:val="00EB6501"/>
    <w:rsid w:val="00EC041A"/>
    <w:rsid w:val="00EC213C"/>
    <w:rsid w:val="00EC3469"/>
    <w:rsid w:val="00EC4036"/>
    <w:rsid w:val="00EC7DBC"/>
    <w:rsid w:val="00ED1EEA"/>
    <w:rsid w:val="00ED5139"/>
    <w:rsid w:val="00EE01D8"/>
    <w:rsid w:val="00EE183D"/>
    <w:rsid w:val="00EE1B40"/>
    <w:rsid w:val="00EE291A"/>
    <w:rsid w:val="00EE2C20"/>
    <w:rsid w:val="00EE413D"/>
    <w:rsid w:val="00EE4FA7"/>
    <w:rsid w:val="00EE5850"/>
    <w:rsid w:val="00EF0561"/>
    <w:rsid w:val="00EF0A80"/>
    <w:rsid w:val="00EF191F"/>
    <w:rsid w:val="00EF2033"/>
    <w:rsid w:val="00EF252B"/>
    <w:rsid w:val="00EF4657"/>
    <w:rsid w:val="00EF5353"/>
    <w:rsid w:val="00EF658B"/>
    <w:rsid w:val="00EF783C"/>
    <w:rsid w:val="00F00F44"/>
    <w:rsid w:val="00F013FA"/>
    <w:rsid w:val="00F020A3"/>
    <w:rsid w:val="00F02BB4"/>
    <w:rsid w:val="00F031A4"/>
    <w:rsid w:val="00F03CEC"/>
    <w:rsid w:val="00F041A2"/>
    <w:rsid w:val="00F107C1"/>
    <w:rsid w:val="00F11B2B"/>
    <w:rsid w:val="00F126B8"/>
    <w:rsid w:val="00F13359"/>
    <w:rsid w:val="00F13E45"/>
    <w:rsid w:val="00F16DA3"/>
    <w:rsid w:val="00F20099"/>
    <w:rsid w:val="00F2183F"/>
    <w:rsid w:val="00F241EF"/>
    <w:rsid w:val="00F262D7"/>
    <w:rsid w:val="00F27D44"/>
    <w:rsid w:val="00F30369"/>
    <w:rsid w:val="00F3039B"/>
    <w:rsid w:val="00F305BA"/>
    <w:rsid w:val="00F36703"/>
    <w:rsid w:val="00F36BA2"/>
    <w:rsid w:val="00F36F38"/>
    <w:rsid w:val="00F3700D"/>
    <w:rsid w:val="00F37770"/>
    <w:rsid w:val="00F42384"/>
    <w:rsid w:val="00F429BB"/>
    <w:rsid w:val="00F42A76"/>
    <w:rsid w:val="00F4643C"/>
    <w:rsid w:val="00F47197"/>
    <w:rsid w:val="00F517A9"/>
    <w:rsid w:val="00F53705"/>
    <w:rsid w:val="00F540FA"/>
    <w:rsid w:val="00F5643C"/>
    <w:rsid w:val="00F60C24"/>
    <w:rsid w:val="00F6274A"/>
    <w:rsid w:val="00F62CF2"/>
    <w:rsid w:val="00F6494A"/>
    <w:rsid w:val="00F65D0E"/>
    <w:rsid w:val="00F7144A"/>
    <w:rsid w:val="00F74AC6"/>
    <w:rsid w:val="00F7691E"/>
    <w:rsid w:val="00F76D18"/>
    <w:rsid w:val="00F83776"/>
    <w:rsid w:val="00F86FCC"/>
    <w:rsid w:val="00F90433"/>
    <w:rsid w:val="00F91ACD"/>
    <w:rsid w:val="00F91D27"/>
    <w:rsid w:val="00F91EBB"/>
    <w:rsid w:val="00F931EF"/>
    <w:rsid w:val="00F94B75"/>
    <w:rsid w:val="00F951EE"/>
    <w:rsid w:val="00F95EAF"/>
    <w:rsid w:val="00F970E4"/>
    <w:rsid w:val="00FA30E7"/>
    <w:rsid w:val="00FA36E9"/>
    <w:rsid w:val="00FA4277"/>
    <w:rsid w:val="00FA557A"/>
    <w:rsid w:val="00FA5DC5"/>
    <w:rsid w:val="00FA5DDA"/>
    <w:rsid w:val="00FA6A19"/>
    <w:rsid w:val="00FA731C"/>
    <w:rsid w:val="00FB1B8D"/>
    <w:rsid w:val="00FB6C63"/>
    <w:rsid w:val="00FC05C6"/>
    <w:rsid w:val="00FC24DE"/>
    <w:rsid w:val="00FC42FA"/>
    <w:rsid w:val="00FC494B"/>
    <w:rsid w:val="00FC5C92"/>
    <w:rsid w:val="00FC5EEB"/>
    <w:rsid w:val="00FC605E"/>
    <w:rsid w:val="00FC7733"/>
    <w:rsid w:val="00FD152D"/>
    <w:rsid w:val="00FD323C"/>
    <w:rsid w:val="00FD3512"/>
    <w:rsid w:val="00FD4F13"/>
    <w:rsid w:val="00FD6EFA"/>
    <w:rsid w:val="00FE06AD"/>
    <w:rsid w:val="00FE25BC"/>
    <w:rsid w:val="00FE2F18"/>
    <w:rsid w:val="00FE3874"/>
    <w:rsid w:val="00FE3B2E"/>
    <w:rsid w:val="00FE5336"/>
    <w:rsid w:val="00FE61EB"/>
    <w:rsid w:val="00FE6C9C"/>
    <w:rsid w:val="00FE6DD6"/>
    <w:rsid w:val="00FE768A"/>
    <w:rsid w:val="00FF0C5A"/>
    <w:rsid w:val="00FF0DB0"/>
    <w:rsid w:val="00FF13FC"/>
    <w:rsid w:val="00FF1ACA"/>
    <w:rsid w:val="00FF41DE"/>
    <w:rsid w:val="00FF52B2"/>
    <w:rsid w:val="00FF7304"/>
    <w:rsid w:val="01115B19"/>
    <w:rsid w:val="012A3CE6"/>
    <w:rsid w:val="01301DA6"/>
    <w:rsid w:val="0159716B"/>
    <w:rsid w:val="01745EE6"/>
    <w:rsid w:val="018F65A1"/>
    <w:rsid w:val="01BD2958"/>
    <w:rsid w:val="01FE4437"/>
    <w:rsid w:val="02056D00"/>
    <w:rsid w:val="02072A78"/>
    <w:rsid w:val="020C7AD2"/>
    <w:rsid w:val="023F0385"/>
    <w:rsid w:val="025374F9"/>
    <w:rsid w:val="02A91B01"/>
    <w:rsid w:val="02BB3C8E"/>
    <w:rsid w:val="02C10E79"/>
    <w:rsid w:val="02CA1E1B"/>
    <w:rsid w:val="02F06B77"/>
    <w:rsid w:val="02F646C8"/>
    <w:rsid w:val="03595F7F"/>
    <w:rsid w:val="036872F9"/>
    <w:rsid w:val="0372466B"/>
    <w:rsid w:val="037C3F2E"/>
    <w:rsid w:val="03B42563"/>
    <w:rsid w:val="03B50208"/>
    <w:rsid w:val="04060B04"/>
    <w:rsid w:val="0417467E"/>
    <w:rsid w:val="041B6087"/>
    <w:rsid w:val="041F4312"/>
    <w:rsid w:val="042D79C2"/>
    <w:rsid w:val="04315423"/>
    <w:rsid w:val="0444340A"/>
    <w:rsid w:val="04446D1F"/>
    <w:rsid w:val="04784101"/>
    <w:rsid w:val="047C599F"/>
    <w:rsid w:val="049802FF"/>
    <w:rsid w:val="04B8274F"/>
    <w:rsid w:val="04C77B1F"/>
    <w:rsid w:val="04E60945"/>
    <w:rsid w:val="051270D7"/>
    <w:rsid w:val="051C58E4"/>
    <w:rsid w:val="054E02B0"/>
    <w:rsid w:val="05894266"/>
    <w:rsid w:val="05924D4E"/>
    <w:rsid w:val="059C797B"/>
    <w:rsid w:val="05C5666D"/>
    <w:rsid w:val="06027D10"/>
    <w:rsid w:val="0620067D"/>
    <w:rsid w:val="062446D5"/>
    <w:rsid w:val="062B75F0"/>
    <w:rsid w:val="06400C4E"/>
    <w:rsid w:val="06456265"/>
    <w:rsid w:val="064B3BE4"/>
    <w:rsid w:val="06787F4C"/>
    <w:rsid w:val="068C4E4E"/>
    <w:rsid w:val="06A56428"/>
    <w:rsid w:val="06B258F2"/>
    <w:rsid w:val="06C32025"/>
    <w:rsid w:val="06D849E3"/>
    <w:rsid w:val="06E14F8A"/>
    <w:rsid w:val="06F10BAA"/>
    <w:rsid w:val="070F1F19"/>
    <w:rsid w:val="0716129B"/>
    <w:rsid w:val="072A1BA2"/>
    <w:rsid w:val="07301A8A"/>
    <w:rsid w:val="07893F2F"/>
    <w:rsid w:val="079006E8"/>
    <w:rsid w:val="079344AE"/>
    <w:rsid w:val="07A4303C"/>
    <w:rsid w:val="07A76995"/>
    <w:rsid w:val="07C83718"/>
    <w:rsid w:val="07CA08DA"/>
    <w:rsid w:val="08126AF8"/>
    <w:rsid w:val="082A74C0"/>
    <w:rsid w:val="0850403A"/>
    <w:rsid w:val="086106FE"/>
    <w:rsid w:val="086B023F"/>
    <w:rsid w:val="08D613F6"/>
    <w:rsid w:val="090148AB"/>
    <w:rsid w:val="09143080"/>
    <w:rsid w:val="09154BCC"/>
    <w:rsid w:val="09473CE2"/>
    <w:rsid w:val="09992208"/>
    <w:rsid w:val="09A426F2"/>
    <w:rsid w:val="09C23FE3"/>
    <w:rsid w:val="0A173A74"/>
    <w:rsid w:val="0A2347A9"/>
    <w:rsid w:val="0A242FFF"/>
    <w:rsid w:val="0A7B04A7"/>
    <w:rsid w:val="0A8C7FBE"/>
    <w:rsid w:val="0A8D7E97"/>
    <w:rsid w:val="0A9A6B7F"/>
    <w:rsid w:val="0AA3355A"/>
    <w:rsid w:val="0ABC0A3B"/>
    <w:rsid w:val="0AC47253"/>
    <w:rsid w:val="0ACF19BE"/>
    <w:rsid w:val="0AD11E75"/>
    <w:rsid w:val="0ADC1D1C"/>
    <w:rsid w:val="0ADC62F5"/>
    <w:rsid w:val="0ADF57C6"/>
    <w:rsid w:val="0AE75B3C"/>
    <w:rsid w:val="0AF14F38"/>
    <w:rsid w:val="0B1B457B"/>
    <w:rsid w:val="0B1F28BD"/>
    <w:rsid w:val="0B576A77"/>
    <w:rsid w:val="0B6D6DD0"/>
    <w:rsid w:val="0B7044A4"/>
    <w:rsid w:val="0B7A7000"/>
    <w:rsid w:val="0B811AED"/>
    <w:rsid w:val="0B8C1D04"/>
    <w:rsid w:val="0B980BE5"/>
    <w:rsid w:val="0B9C06D5"/>
    <w:rsid w:val="0BAB0918"/>
    <w:rsid w:val="0BB43C70"/>
    <w:rsid w:val="0BB80B60"/>
    <w:rsid w:val="0C0D35F1"/>
    <w:rsid w:val="0C160487"/>
    <w:rsid w:val="0C2821A0"/>
    <w:rsid w:val="0C670CE3"/>
    <w:rsid w:val="0C727688"/>
    <w:rsid w:val="0CBE1877"/>
    <w:rsid w:val="0CC50C29"/>
    <w:rsid w:val="0CC70ABC"/>
    <w:rsid w:val="0D19707A"/>
    <w:rsid w:val="0D32133F"/>
    <w:rsid w:val="0D38267F"/>
    <w:rsid w:val="0D7A75BB"/>
    <w:rsid w:val="0D847672"/>
    <w:rsid w:val="0D927F49"/>
    <w:rsid w:val="0D965E14"/>
    <w:rsid w:val="0D971FFF"/>
    <w:rsid w:val="0D985588"/>
    <w:rsid w:val="0DAC4DE7"/>
    <w:rsid w:val="0DB50520"/>
    <w:rsid w:val="0DD93C67"/>
    <w:rsid w:val="0E000E95"/>
    <w:rsid w:val="0E1C7748"/>
    <w:rsid w:val="0E2A1FC8"/>
    <w:rsid w:val="0E3436F9"/>
    <w:rsid w:val="0E434312"/>
    <w:rsid w:val="0E691717"/>
    <w:rsid w:val="0E9B5CB3"/>
    <w:rsid w:val="0EB16B69"/>
    <w:rsid w:val="0EB463A0"/>
    <w:rsid w:val="0EC8358F"/>
    <w:rsid w:val="0ED24AE4"/>
    <w:rsid w:val="0EF76513"/>
    <w:rsid w:val="0EF86207"/>
    <w:rsid w:val="0F0E7B3C"/>
    <w:rsid w:val="0F127DBC"/>
    <w:rsid w:val="0F2E3D3A"/>
    <w:rsid w:val="0F542EBC"/>
    <w:rsid w:val="0F601A19"/>
    <w:rsid w:val="0F7B4964"/>
    <w:rsid w:val="0FA933C0"/>
    <w:rsid w:val="0FB3499A"/>
    <w:rsid w:val="100E3CDE"/>
    <w:rsid w:val="102862AB"/>
    <w:rsid w:val="10582A82"/>
    <w:rsid w:val="10611EED"/>
    <w:rsid w:val="108E5D13"/>
    <w:rsid w:val="10967DE9"/>
    <w:rsid w:val="10983AC1"/>
    <w:rsid w:val="109E036B"/>
    <w:rsid w:val="10D0497D"/>
    <w:rsid w:val="110A2C24"/>
    <w:rsid w:val="110F1949"/>
    <w:rsid w:val="11285AF8"/>
    <w:rsid w:val="1144422A"/>
    <w:rsid w:val="11597442"/>
    <w:rsid w:val="119951F2"/>
    <w:rsid w:val="11BE175A"/>
    <w:rsid w:val="11CD7202"/>
    <w:rsid w:val="11F75EAE"/>
    <w:rsid w:val="11FF21E6"/>
    <w:rsid w:val="124D09DB"/>
    <w:rsid w:val="125F0169"/>
    <w:rsid w:val="126307C1"/>
    <w:rsid w:val="12BB37B6"/>
    <w:rsid w:val="130A686C"/>
    <w:rsid w:val="131854EB"/>
    <w:rsid w:val="137C4C58"/>
    <w:rsid w:val="139F6AD3"/>
    <w:rsid w:val="1402609A"/>
    <w:rsid w:val="140B63F8"/>
    <w:rsid w:val="14101BF8"/>
    <w:rsid w:val="141D6D83"/>
    <w:rsid w:val="14607765"/>
    <w:rsid w:val="14644194"/>
    <w:rsid w:val="14683AE2"/>
    <w:rsid w:val="146975C2"/>
    <w:rsid w:val="148556DC"/>
    <w:rsid w:val="149027CD"/>
    <w:rsid w:val="149D2712"/>
    <w:rsid w:val="14A24168"/>
    <w:rsid w:val="14AD06E3"/>
    <w:rsid w:val="15025589"/>
    <w:rsid w:val="151025BD"/>
    <w:rsid w:val="15950A2F"/>
    <w:rsid w:val="15D062EC"/>
    <w:rsid w:val="15D128B5"/>
    <w:rsid w:val="15D13671"/>
    <w:rsid w:val="15E45152"/>
    <w:rsid w:val="15FA6E59"/>
    <w:rsid w:val="15FE492A"/>
    <w:rsid w:val="1609105D"/>
    <w:rsid w:val="16184405"/>
    <w:rsid w:val="165516F9"/>
    <w:rsid w:val="1657518C"/>
    <w:rsid w:val="165D6CB3"/>
    <w:rsid w:val="167A6B10"/>
    <w:rsid w:val="16830AAE"/>
    <w:rsid w:val="168B1A72"/>
    <w:rsid w:val="16951F73"/>
    <w:rsid w:val="16B1043D"/>
    <w:rsid w:val="16E01DBD"/>
    <w:rsid w:val="170E6F2D"/>
    <w:rsid w:val="17271EE3"/>
    <w:rsid w:val="174F484D"/>
    <w:rsid w:val="1754248F"/>
    <w:rsid w:val="175B1D7F"/>
    <w:rsid w:val="175F5CA8"/>
    <w:rsid w:val="17637A3D"/>
    <w:rsid w:val="17967435"/>
    <w:rsid w:val="181E4E3A"/>
    <w:rsid w:val="182D352F"/>
    <w:rsid w:val="183D6D9C"/>
    <w:rsid w:val="186216FF"/>
    <w:rsid w:val="1897143A"/>
    <w:rsid w:val="189A5F9C"/>
    <w:rsid w:val="18AD593E"/>
    <w:rsid w:val="18BA2ED6"/>
    <w:rsid w:val="18C119AD"/>
    <w:rsid w:val="18DD45AA"/>
    <w:rsid w:val="1918508B"/>
    <w:rsid w:val="19265A82"/>
    <w:rsid w:val="193D1F46"/>
    <w:rsid w:val="193F29EB"/>
    <w:rsid w:val="19572472"/>
    <w:rsid w:val="19874E4D"/>
    <w:rsid w:val="198C1D89"/>
    <w:rsid w:val="19924EC5"/>
    <w:rsid w:val="19952FC2"/>
    <w:rsid w:val="19E44197"/>
    <w:rsid w:val="19EF3DBB"/>
    <w:rsid w:val="1A04497A"/>
    <w:rsid w:val="1A307DEB"/>
    <w:rsid w:val="1A497C7A"/>
    <w:rsid w:val="1A4B662C"/>
    <w:rsid w:val="1A5D3128"/>
    <w:rsid w:val="1A7A062D"/>
    <w:rsid w:val="1AC90C79"/>
    <w:rsid w:val="1B0D2108"/>
    <w:rsid w:val="1B1438B4"/>
    <w:rsid w:val="1B293C37"/>
    <w:rsid w:val="1B3A3A66"/>
    <w:rsid w:val="1B4963EA"/>
    <w:rsid w:val="1B7C0B0B"/>
    <w:rsid w:val="1B7E697A"/>
    <w:rsid w:val="1BAE3795"/>
    <w:rsid w:val="1BB2064E"/>
    <w:rsid w:val="1BB538CF"/>
    <w:rsid w:val="1BBE6445"/>
    <w:rsid w:val="1BDB0DA5"/>
    <w:rsid w:val="1BDC51B0"/>
    <w:rsid w:val="1BE42F8B"/>
    <w:rsid w:val="1C7A3233"/>
    <w:rsid w:val="1C80396E"/>
    <w:rsid w:val="1CA12D03"/>
    <w:rsid w:val="1CB3291E"/>
    <w:rsid w:val="1CBB11C7"/>
    <w:rsid w:val="1CBB2883"/>
    <w:rsid w:val="1CBC76A6"/>
    <w:rsid w:val="1CC75931"/>
    <w:rsid w:val="1CD81789"/>
    <w:rsid w:val="1CE52099"/>
    <w:rsid w:val="1D561E6A"/>
    <w:rsid w:val="1D571301"/>
    <w:rsid w:val="1D6A6A75"/>
    <w:rsid w:val="1D9A06B0"/>
    <w:rsid w:val="1DAC6673"/>
    <w:rsid w:val="1DBB7F40"/>
    <w:rsid w:val="1DD04BEC"/>
    <w:rsid w:val="1DE24C91"/>
    <w:rsid w:val="1DE60C9A"/>
    <w:rsid w:val="1DF41CED"/>
    <w:rsid w:val="1DFC5003"/>
    <w:rsid w:val="1E07129E"/>
    <w:rsid w:val="1E60231B"/>
    <w:rsid w:val="1E9D2342"/>
    <w:rsid w:val="1EA73187"/>
    <w:rsid w:val="1EA747EE"/>
    <w:rsid w:val="1EBB4EBE"/>
    <w:rsid w:val="1EDC0F97"/>
    <w:rsid w:val="1F016385"/>
    <w:rsid w:val="1F040613"/>
    <w:rsid w:val="1F26778D"/>
    <w:rsid w:val="1F431523"/>
    <w:rsid w:val="1F7363E0"/>
    <w:rsid w:val="1F9B0BF8"/>
    <w:rsid w:val="1FD90A6B"/>
    <w:rsid w:val="1FE728EB"/>
    <w:rsid w:val="1FEF5FC2"/>
    <w:rsid w:val="20181E20"/>
    <w:rsid w:val="20784E15"/>
    <w:rsid w:val="207C6C10"/>
    <w:rsid w:val="20934A1D"/>
    <w:rsid w:val="209854B7"/>
    <w:rsid w:val="20B83463"/>
    <w:rsid w:val="20C0056A"/>
    <w:rsid w:val="20E33616"/>
    <w:rsid w:val="20E76181"/>
    <w:rsid w:val="20EE5A89"/>
    <w:rsid w:val="20FA1CCE"/>
    <w:rsid w:val="2116462E"/>
    <w:rsid w:val="21176D6E"/>
    <w:rsid w:val="212A6BCC"/>
    <w:rsid w:val="212E1977"/>
    <w:rsid w:val="2132002E"/>
    <w:rsid w:val="21450638"/>
    <w:rsid w:val="215238B8"/>
    <w:rsid w:val="2172564E"/>
    <w:rsid w:val="217F39B2"/>
    <w:rsid w:val="21894E00"/>
    <w:rsid w:val="218C384B"/>
    <w:rsid w:val="218D0B38"/>
    <w:rsid w:val="21933ED0"/>
    <w:rsid w:val="219C2D85"/>
    <w:rsid w:val="21E308D4"/>
    <w:rsid w:val="22682ED4"/>
    <w:rsid w:val="226F3182"/>
    <w:rsid w:val="228A5274"/>
    <w:rsid w:val="22A6140E"/>
    <w:rsid w:val="22AB7335"/>
    <w:rsid w:val="22D57688"/>
    <w:rsid w:val="23052BAC"/>
    <w:rsid w:val="23122FE5"/>
    <w:rsid w:val="231B4D6E"/>
    <w:rsid w:val="23250B58"/>
    <w:rsid w:val="232C3785"/>
    <w:rsid w:val="23300BC5"/>
    <w:rsid w:val="233453A6"/>
    <w:rsid w:val="23390502"/>
    <w:rsid w:val="234A5292"/>
    <w:rsid w:val="235A6A54"/>
    <w:rsid w:val="235D2A71"/>
    <w:rsid w:val="23867849"/>
    <w:rsid w:val="24207C9D"/>
    <w:rsid w:val="242410B0"/>
    <w:rsid w:val="242B2707"/>
    <w:rsid w:val="24605FFA"/>
    <w:rsid w:val="24D742F1"/>
    <w:rsid w:val="2523444B"/>
    <w:rsid w:val="253D487F"/>
    <w:rsid w:val="255F1C12"/>
    <w:rsid w:val="25651070"/>
    <w:rsid w:val="25660439"/>
    <w:rsid w:val="259A6176"/>
    <w:rsid w:val="25F06233"/>
    <w:rsid w:val="25F50CB6"/>
    <w:rsid w:val="25F636D3"/>
    <w:rsid w:val="25FC0296"/>
    <w:rsid w:val="26275713"/>
    <w:rsid w:val="262F270F"/>
    <w:rsid w:val="2644477A"/>
    <w:rsid w:val="267957FB"/>
    <w:rsid w:val="26885AC8"/>
    <w:rsid w:val="2694227D"/>
    <w:rsid w:val="26B93B86"/>
    <w:rsid w:val="26BF40CA"/>
    <w:rsid w:val="26CB06DA"/>
    <w:rsid w:val="26EF052C"/>
    <w:rsid w:val="26F23880"/>
    <w:rsid w:val="27303A23"/>
    <w:rsid w:val="275D2C3D"/>
    <w:rsid w:val="2776729A"/>
    <w:rsid w:val="27802AB4"/>
    <w:rsid w:val="279D5435"/>
    <w:rsid w:val="27B06CEE"/>
    <w:rsid w:val="27B46399"/>
    <w:rsid w:val="27BF720F"/>
    <w:rsid w:val="27C052F3"/>
    <w:rsid w:val="27C71297"/>
    <w:rsid w:val="27CD1123"/>
    <w:rsid w:val="27E965F8"/>
    <w:rsid w:val="2801645C"/>
    <w:rsid w:val="2805028C"/>
    <w:rsid w:val="280E0EF6"/>
    <w:rsid w:val="282B6940"/>
    <w:rsid w:val="283148C1"/>
    <w:rsid w:val="283652F4"/>
    <w:rsid w:val="283F2588"/>
    <w:rsid w:val="284202E2"/>
    <w:rsid w:val="28422B41"/>
    <w:rsid w:val="285D5757"/>
    <w:rsid w:val="287A36F4"/>
    <w:rsid w:val="287F7A45"/>
    <w:rsid w:val="288E7FFE"/>
    <w:rsid w:val="289128C5"/>
    <w:rsid w:val="28991ACC"/>
    <w:rsid w:val="28A30E9D"/>
    <w:rsid w:val="28B46C06"/>
    <w:rsid w:val="28C36CF3"/>
    <w:rsid w:val="29075876"/>
    <w:rsid w:val="290A1794"/>
    <w:rsid w:val="291E2574"/>
    <w:rsid w:val="2962650F"/>
    <w:rsid w:val="2965244F"/>
    <w:rsid w:val="296C51FC"/>
    <w:rsid w:val="297211E0"/>
    <w:rsid w:val="29A73A5D"/>
    <w:rsid w:val="29AF0169"/>
    <w:rsid w:val="29BD29EF"/>
    <w:rsid w:val="29D532D8"/>
    <w:rsid w:val="29E225F8"/>
    <w:rsid w:val="29F3493D"/>
    <w:rsid w:val="2A097F2C"/>
    <w:rsid w:val="2A16511E"/>
    <w:rsid w:val="2A2D2BA8"/>
    <w:rsid w:val="2A6130F9"/>
    <w:rsid w:val="2A680504"/>
    <w:rsid w:val="2A8A5477"/>
    <w:rsid w:val="2A9860B3"/>
    <w:rsid w:val="2A9A1E2C"/>
    <w:rsid w:val="2AA03F74"/>
    <w:rsid w:val="2AD43590"/>
    <w:rsid w:val="2AD76BDC"/>
    <w:rsid w:val="2AF72431"/>
    <w:rsid w:val="2B7060CA"/>
    <w:rsid w:val="2B7134CD"/>
    <w:rsid w:val="2B7729A9"/>
    <w:rsid w:val="2BE873CA"/>
    <w:rsid w:val="2BED77E9"/>
    <w:rsid w:val="2BF13CCD"/>
    <w:rsid w:val="2C067079"/>
    <w:rsid w:val="2C1002FA"/>
    <w:rsid w:val="2C3B6706"/>
    <w:rsid w:val="2C5446D0"/>
    <w:rsid w:val="2C5D5807"/>
    <w:rsid w:val="2C954FA0"/>
    <w:rsid w:val="2C9A7691"/>
    <w:rsid w:val="2CE1413A"/>
    <w:rsid w:val="2D2404E1"/>
    <w:rsid w:val="2D2F0F51"/>
    <w:rsid w:val="2D3E73E6"/>
    <w:rsid w:val="2D3F3425"/>
    <w:rsid w:val="2D614E83"/>
    <w:rsid w:val="2D6906A3"/>
    <w:rsid w:val="2D8F7B63"/>
    <w:rsid w:val="2D945258"/>
    <w:rsid w:val="2DB770D2"/>
    <w:rsid w:val="2DB9106D"/>
    <w:rsid w:val="2DBD58A5"/>
    <w:rsid w:val="2DC14DED"/>
    <w:rsid w:val="2DCC67A0"/>
    <w:rsid w:val="2DD158AE"/>
    <w:rsid w:val="2DE14C0D"/>
    <w:rsid w:val="2DE55AB4"/>
    <w:rsid w:val="2DF45796"/>
    <w:rsid w:val="2DF9443E"/>
    <w:rsid w:val="2DFD5AD3"/>
    <w:rsid w:val="2DFD6B18"/>
    <w:rsid w:val="2E05430D"/>
    <w:rsid w:val="2E1859E5"/>
    <w:rsid w:val="2E2F2F41"/>
    <w:rsid w:val="2E430131"/>
    <w:rsid w:val="2E4550DC"/>
    <w:rsid w:val="2E5210EC"/>
    <w:rsid w:val="2E5B07AB"/>
    <w:rsid w:val="2E6743B8"/>
    <w:rsid w:val="2E6A2DC2"/>
    <w:rsid w:val="2E9E060D"/>
    <w:rsid w:val="2EAF5833"/>
    <w:rsid w:val="2EBD433B"/>
    <w:rsid w:val="2EC554B2"/>
    <w:rsid w:val="2EE76D59"/>
    <w:rsid w:val="2F222924"/>
    <w:rsid w:val="2F3204AF"/>
    <w:rsid w:val="2F326098"/>
    <w:rsid w:val="2F725125"/>
    <w:rsid w:val="2F8337D6"/>
    <w:rsid w:val="2F9A050E"/>
    <w:rsid w:val="30117F8B"/>
    <w:rsid w:val="30880C87"/>
    <w:rsid w:val="30B07DB8"/>
    <w:rsid w:val="30B8300C"/>
    <w:rsid w:val="31224030"/>
    <w:rsid w:val="312569BD"/>
    <w:rsid w:val="31413001"/>
    <w:rsid w:val="314E2C66"/>
    <w:rsid w:val="31870AE7"/>
    <w:rsid w:val="31AE3A53"/>
    <w:rsid w:val="31B25CAD"/>
    <w:rsid w:val="31CA6DFB"/>
    <w:rsid w:val="31EA1963"/>
    <w:rsid w:val="31FA4B6D"/>
    <w:rsid w:val="32111360"/>
    <w:rsid w:val="321E6915"/>
    <w:rsid w:val="324A7F75"/>
    <w:rsid w:val="325A64E5"/>
    <w:rsid w:val="325B2476"/>
    <w:rsid w:val="32AD7D50"/>
    <w:rsid w:val="32B6615F"/>
    <w:rsid w:val="33162FDC"/>
    <w:rsid w:val="33817573"/>
    <w:rsid w:val="33820CDD"/>
    <w:rsid w:val="338A00A4"/>
    <w:rsid w:val="33913825"/>
    <w:rsid w:val="33EE0D47"/>
    <w:rsid w:val="342575EA"/>
    <w:rsid w:val="34480488"/>
    <w:rsid w:val="34792B99"/>
    <w:rsid w:val="349D2C44"/>
    <w:rsid w:val="34D16D92"/>
    <w:rsid w:val="34F05B04"/>
    <w:rsid w:val="35131158"/>
    <w:rsid w:val="35215623"/>
    <w:rsid w:val="352B0250"/>
    <w:rsid w:val="35523C1E"/>
    <w:rsid w:val="35817E56"/>
    <w:rsid w:val="358276DA"/>
    <w:rsid w:val="35EE3AC7"/>
    <w:rsid w:val="35F94460"/>
    <w:rsid w:val="36196EE3"/>
    <w:rsid w:val="36540977"/>
    <w:rsid w:val="36555758"/>
    <w:rsid w:val="36F67C9D"/>
    <w:rsid w:val="3701395E"/>
    <w:rsid w:val="371367E9"/>
    <w:rsid w:val="37416B21"/>
    <w:rsid w:val="374455F9"/>
    <w:rsid w:val="374B7C97"/>
    <w:rsid w:val="3781684D"/>
    <w:rsid w:val="37A30634"/>
    <w:rsid w:val="37B509BF"/>
    <w:rsid w:val="37CC7A14"/>
    <w:rsid w:val="37E91312"/>
    <w:rsid w:val="37F7529C"/>
    <w:rsid w:val="38303E85"/>
    <w:rsid w:val="3832078A"/>
    <w:rsid w:val="384F4255"/>
    <w:rsid w:val="384F7AFB"/>
    <w:rsid w:val="38B37F59"/>
    <w:rsid w:val="38EF3C8A"/>
    <w:rsid w:val="390A4620"/>
    <w:rsid w:val="39113C01"/>
    <w:rsid w:val="392E439F"/>
    <w:rsid w:val="39311BAD"/>
    <w:rsid w:val="393D2C48"/>
    <w:rsid w:val="393E343F"/>
    <w:rsid w:val="395003D4"/>
    <w:rsid w:val="397A1D7B"/>
    <w:rsid w:val="397A5F75"/>
    <w:rsid w:val="398850DE"/>
    <w:rsid w:val="39A71E6F"/>
    <w:rsid w:val="39C26429"/>
    <w:rsid w:val="39ED296A"/>
    <w:rsid w:val="3A2D05C6"/>
    <w:rsid w:val="3A306295"/>
    <w:rsid w:val="3A314013"/>
    <w:rsid w:val="3A341A25"/>
    <w:rsid w:val="3A782AD9"/>
    <w:rsid w:val="3A891A84"/>
    <w:rsid w:val="3A9B2E8A"/>
    <w:rsid w:val="3AA36ADA"/>
    <w:rsid w:val="3ABC49A5"/>
    <w:rsid w:val="3B1D301A"/>
    <w:rsid w:val="3B3D5220"/>
    <w:rsid w:val="3B585B17"/>
    <w:rsid w:val="3B5B6F6B"/>
    <w:rsid w:val="3B697D24"/>
    <w:rsid w:val="3B6F60D1"/>
    <w:rsid w:val="3B7D732B"/>
    <w:rsid w:val="3B8C756F"/>
    <w:rsid w:val="3BC27362"/>
    <w:rsid w:val="3BC97B64"/>
    <w:rsid w:val="3BCE3934"/>
    <w:rsid w:val="3BD827B4"/>
    <w:rsid w:val="3BDE7D61"/>
    <w:rsid w:val="3BE70B65"/>
    <w:rsid w:val="3C0226A1"/>
    <w:rsid w:val="3C222680"/>
    <w:rsid w:val="3C265C15"/>
    <w:rsid w:val="3C553C96"/>
    <w:rsid w:val="3C575DCE"/>
    <w:rsid w:val="3C5B73D7"/>
    <w:rsid w:val="3C830040"/>
    <w:rsid w:val="3C8C6FF4"/>
    <w:rsid w:val="3CA8662A"/>
    <w:rsid w:val="3CB07B7D"/>
    <w:rsid w:val="3CD07E3A"/>
    <w:rsid w:val="3CEB36C7"/>
    <w:rsid w:val="3D1F3A14"/>
    <w:rsid w:val="3D285B99"/>
    <w:rsid w:val="3D2900C8"/>
    <w:rsid w:val="3D9214CE"/>
    <w:rsid w:val="3D9F17DB"/>
    <w:rsid w:val="3DBF1E7D"/>
    <w:rsid w:val="3DDF3E65"/>
    <w:rsid w:val="3E2972F7"/>
    <w:rsid w:val="3E2A7486"/>
    <w:rsid w:val="3E333167"/>
    <w:rsid w:val="3E3F4D6C"/>
    <w:rsid w:val="3E483C21"/>
    <w:rsid w:val="3E491747"/>
    <w:rsid w:val="3E84142B"/>
    <w:rsid w:val="3E9F5024"/>
    <w:rsid w:val="3EB23801"/>
    <w:rsid w:val="3ECD0001"/>
    <w:rsid w:val="3ED97278"/>
    <w:rsid w:val="3F04093B"/>
    <w:rsid w:val="3F5F5F83"/>
    <w:rsid w:val="3F5F7178"/>
    <w:rsid w:val="3F742888"/>
    <w:rsid w:val="3FC63BD0"/>
    <w:rsid w:val="3FCF563B"/>
    <w:rsid w:val="3FF24A28"/>
    <w:rsid w:val="40273242"/>
    <w:rsid w:val="405C7E57"/>
    <w:rsid w:val="40646D0C"/>
    <w:rsid w:val="40AA12E3"/>
    <w:rsid w:val="40C61775"/>
    <w:rsid w:val="40D21EC7"/>
    <w:rsid w:val="40EA3834"/>
    <w:rsid w:val="40EF0781"/>
    <w:rsid w:val="40EF294F"/>
    <w:rsid w:val="40F16909"/>
    <w:rsid w:val="41061B71"/>
    <w:rsid w:val="412A5860"/>
    <w:rsid w:val="41456B3D"/>
    <w:rsid w:val="416C1617"/>
    <w:rsid w:val="41C37CE9"/>
    <w:rsid w:val="41CA2B9F"/>
    <w:rsid w:val="41CD3CC6"/>
    <w:rsid w:val="41DD19CA"/>
    <w:rsid w:val="41F12259"/>
    <w:rsid w:val="42277F9A"/>
    <w:rsid w:val="422E137F"/>
    <w:rsid w:val="422F1D77"/>
    <w:rsid w:val="426923B8"/>
    <w:rsid w:val="42C228C8"/>
    <w:rsid w:val="42C615B8"/>
    <w:rsid w:val="42EF410D"/>
    <w:rsid w:val="42F36E1E"/>
    <w:rsid w:val="42F97BDF"/>
    <w:rsid w:val="43121F6B"/>
    <w:rsid w:val="431A58BB"/>
    <w:rsid w:val="432B529D"/>
    <w:rsid w:val="435117C9"/>
    <w:rsid w:val="43515E92"/>
    <w:rsid w:val="43541811"/>
    <w:rsid w:val="435823F0"/>
    <w:rsid w:val="435A7E53"/>
    <w:rsid w:val="43860D47"/>
    <w:rsid w:val="438B013A"/>
    <w:rsid w:val="439C69C6"/>
    <w:rsid w:val="43AA0EDA"/>
    <w:rsid w:val="43B6162D"/>
    <w:rsid w:val="43BD084E"/>
    <w:rsid w:val="43C13A38"/>
    <w:rsid w:val="43D67F21"/>
    <w:rsid w:val="43E22F2B"/>
    <w:rsid w:val="43EE1010"/>
    <w:rsid w:val="442A5B77"/>
    <w:rsid w:val="44AB6CB7"/>
    <w:rsid w:val="44B122FC"/>
    <w:rsid w:val="44C20CBC"/>
    <w:rsid w:val="44FC0FF9"/>
    <w:rsid w:val="452D466E"/>
    <w:rsid w:val="45410B19"/>
    <w:rsid w:val="45486BFC"/>
    <w:rsid w:val="45604422"/>
    <w:rsid w:val="456879AF"/>
    <w:rsid w:val="458B0897"/>
    <w:rsid w:val="459C0CF6"/>
    <w:rsid w:val="45BB117C"/>
    <w:rsid w:val="45BE2A1A"/>
    <w:rsid w:val="45C72596"/>
    <w:rsid w:val="46003033"/>
    <w:rsid w:val="46144A92"/>
    <w:rsid w:val="46312AD7"/>
    <w:rsid w:val="46362591"/>
    <w:rsid w:val="463A697F"/>
    <w:rsid w:val="466B6511"/>
    <w:rsid w:val="46B05FBF"/>
    <w:rsid w:val="46B5661F"/>
    <w:rsid w:val="46D4544D"/>
    <w:rsid w:val="46E576CE"/>
    <w:rsid w:val="46F10BCE"/>
    <w:rsid w:val="46FE6F07"/>
    <w:rsid w:val="4709363F"/>
    <w:rsid w:val="472869B2"/>
    <w:rsid w:val="47315250"/>
    <w:rsid w:val="473B40CD"/>
    <w:rsid w:val="476D0782"/>
    <w:rsid w:val="4780267D"/>
    <w:rsid w:val="478248DA"/>
    <w:rsid w:val="479357BC"/>
    <w:rsid w:val="479B74B7"/>
    <w:rsid w:val="47B52DEE"/>
    <w:rsid w:val="47D16C90"/>
    <w:rsid w:val="481C651B"/>
    <w:rsid w:val="48311BC9"/>
    <w:rsid w:val="48376AB4"/>
    <w:rsid w:val="483D47E8"/>
    <w:rsid w:val="487E1AE9"/>
    <w:rsid w:val="48C03616"/>
    <w:rsid w:val="48CC1E20"/>
    <w:rsid w:val="48DB065E"/>
    <w:rsid w:val="491B4CA7"/>
    <w:rsid w:val="492331F4"/>
    <w:rsid w:val="4946276D"/>
    <w:rsid w:val="494A10C6"/>
    <w:rsid w:val="495225C9"/>
    <w:rsid w:val="495C49C2"/>
    <w:rsid w:val="496E5FA9"/>
    <w:rsid w:val="499F2D26"/>
    <w:rsid w:val="49CE39BF"/>
    <w:rsid w:val="49E113CD"/>
    <w:rsid w:val="4A05330E"/>
    <w:rsid w:val="4A0F4ED8"/>
    <w:rsid w:val="4A17094B"/>
    <w:rsid w:val="4A264CF1"/>
    <w:rsid w:val="4A4F79F9"/>
    <w:rsid w:val="4A6A1B72"/>
    <w:rsid w:val="4A6E0EB3"/>
    <w:rsid w:val="4A767D68"/>
    <w:rsid w:val="4A8204BA"/>
    <w:rsid w:val="4A952924"/>
    <w:rsid w:val="4AB7670F"/>
    <w:rsid w:val="4AF40C8C"/>
    <w:rsid w:val="4AF53C7E"/>
    <w:rsid w:val="4AFD1B90"/>
    <w:rsid w:val="4B035D90"/>
    <w:rsid w:val="4B6A389F"/>
    <w:rsid w:val="4B764485"/>
    <w:rsid w:val="4B8D5369"/>
    <w:rsid w:val="4B9E7462"/>
    <w:rsid w:val="4BA33FD7"/>
    <w:rsid w:val="4BAB5F07"/>
    <w:rsid w:val="4BB77A45"/>
    <w:rsid w:val="4BB90760"/>
    <w:rsid w:val="4BC26053"/>
    <w:rsid w:val="4BC61731"/>
    <w:rsid w:val="4BCD2CFE"/>
    <w:rsid w:val="4BE66AA6"/>
    <w:rsid w:val="4C7D049A"/>
    <w:rsid w:val="4CB53DD2"/>
    <w:rsid w:val="4CC4190A"/>
    <w:rsid w:val="4D2350B2"/>
    <w:rsid w:val="4D53613E"/>
    <w:rsid w:val="4D572235"/>
    <w:rsid w:val="4D6B3488"/>
    <w:rsid w:val="4D777D7B"/>
    <w:rsid w:val="4D9A5B1B"/>
    <w:rsid w:val="4DA80BBC"/>
    <w:rsid w:val="4DBF5582"/>
    <w:rsid w:val="4DE06ADA"/>
    <w:rsid w:val="4DFC0E9E"/>
    <w:rsid w:val="4E1502F6"/>
    <w:rsid w:val="4E30022D"/>
    <w:rsid w:val="4E52662D"/>
    <w:rsid w:val="4E6D3230"/>
    <w:rsid w:val="4E994B82"/>
    <w:rsid w:val="4EBB6290"/>
    <w:rsid w:val="4EDA0A91"/>
    <w:rsid w:val="4EE75E52"/>
    <w:rsid w:val="4EF43D32"/>
    <w:rsid w:val="4EF60870"/>
    <w:rsid w:val="4F0D2BAF"/>
    <w:rsid w:val="4F3810D9"/>
    <w:rsid w:val="4F6C5013"/>
    <w:rsid w:val="4F8E5B53"/>
    <w:rsid w:val="4FCB53B3"/>
    <w:rsid w:val="4FE0501F"/>
    <w:rsid w:val="4FE43BE8"/>
    <w:rsid w:val="4FE614EB"/>
    <w:rsid w:val="4FEA4C4A"/>
    <w:rsid w:val="502533DF"/>
    <w:rsid w:val="502D2D51"/>
    <w:rsid w:val="504040DC"/>
    <w:rsid w:val="50413025"/>
    <w:rsid w:val="50DE0415"/>
    <w:rsid w:val="50E95C79"/>
    <w:rsid w:val="511E63DD"/>
    <w:rsid w:val="51205319"/>
    <w:rsid w:val="512064B6"/>
    <w:rsid w:val="51683911"/>
    <w:rsid w:val="51B272DD"/>
    <w:rsid w:val="51D11B69"/>
    <w:rsid w:val="51DC0DF8"/>
    <w:rsid w:val="51DD691E"/>
    <w:rsid w:val="51E24AD7"/>
    <w:rsid w:val="51F672FF"/>
    <w:rsid w:val="52062768"/>
    <w:rsid w:val="525748B4"/>
    <w:rsid w:val="52616DA0"/>
    <w:rsid w:val="526E379C"/>
    <w:rsid w:val="5290573F"/>
    <w:rsid w:val="52A42F98"/>
    <w:rsid w:val="52C33D66"/>
    <w:rsid w:val="52CA6EA2"/>
    <w:rsid w:val="52CD7259"/>
    <w:rsid w:val="52DF7CE2"/>
    <w:rsid w:val="52F70215"/>
    <w:rsid w:val="52FD1D9C"/>
    <w:rsid w:val="53056701"/>
    <w:rsid w:val="53080F8F"/>
    <w:rsid w:val="530E421F"/>
    <w:rsid w:val="5330650B"/>
    <w:rsid w:val="533678CD"/>
    <w:rsid w:val="53474DB8"/>
    <w:rsid w:val="53552E05"/>
    <w:rsid w:val="535C24BB"/>
    <w:rsid w:val="53AE72B4"/>
    <w:rsid w:val="53CF5D86"/>
    <w:rsid w:val="53DC05B3"/>
    <w:rsid w:val="53DF3426"/>
    <w:rsid w:val="53E94F5A"/>
    <w:rsid w:val="53F7221C"/>
    <w:rsid w:val="543640C4"/>
    <w:rsid w:val="545F361A"/>
    <w:rsid w:val="545F36D5"/>
    <w:rsid w:val="54B37426"/>
    <w:rsid w:val="54DA1D21"/>
    <w:rsid w:val="54F520D3"/>
    <w:rsid w:val="54FC5522"/>
    <w:rsid w:val="553E1482"/>
    <w:rsid w:val="55422933"/>
    <w:rsid w:val="55482300"/>
    <w:rsid w:val="55684751"/>
    <w:rsid w:val="557A5408"/>
    <w:rsid w:val="558717B9"/>
    <w:rsid w:val="558D7048"/>
    <w:rsid w:val="55971D11"/>
    <w:rsid w:val="5599259A"/>
    <w:rsid w:val="559C3737"/>
    <w:rsid w:val="55A21A11"/>
    <w:rsid w:val="55A24610"/>
    <w:rsid w:val="55A57753"/>
    <w:rsid w:val="55B20B19"/>
    <w:rsid w:val="55B45E30"/>
    <w:rsid w:val="55C53DB0"/>
    <w:rsid w:val="55D63DB0"/>
    <w:rsid w:val="55DD22CB"/>
    <w:rsid w:val="55E5241E"/>
    <w:rsid w:val="55F06C20"/>
    <w:rsid w:val="55F160F6"/>
    <w:rsid w:val="55F36D31"/>
    <w:rsid w:val="56293D8F"/>
    <w:rsid w:val="564B6B67"/>
    <w:rsid w:val="565D002E"/>
    <w:rsid w:val="56920F9A"/>
    <w:rsid w:val="56A04764"/>
    <w:rsid w:val="56CE6A63"/>
    <w:rsid w:val="56D4209E"/>
    <w:rsid w:val="56DF1ED8"/>
    <w:rsid w:val="56EB388B"/>
    <w:rsid w:val="56F100F7"/>
    <w:rsid w:val="5776776F"/>
    <w:rsid w:val="57E10EC2"/>
    <w:rsid w:val="57EB7BED"/>
    <w:rsid w:val="584D1923"/>
    <w:rsid w:val="584E40D2"/>
    <w:rsid w:val="585F7AFF"/>
    <w:rsid w:val="589D0FD8"/>
    <w:rsid w:val="58BB3E39"/>
    <w:rsid w:val="58C91677"/>
    <w:rsid w:val="59150D70"/>
    <w:rsid w:val="591F781C"/>
    <w:rsid w:val="59690389"/>
    <w:rsid w:val="59777658"/>
    <w:rsid w:val="59865E37"/>
    <w:rsid w:val="598B6C60"/>
    <w:rsid w:val="59AF0BA0"/>
    <w:rsid w:val="59C12681"/>
    <w:rsid w:val="59C83A10"/>
    <w:rsid w:val="59E57C07"/>
    <w:rsid w:val="5A09275F"/>
    <w:rsid w:val="5A0E58C7"/>
    <w:rsid w:val="5A113609"/>
    <w:rsid w:val="5A1C1BF3"/>
    <w:rsid w:val="5A2860FD"/>
    <w:rsid w:val="5A3942DE"/>
    <w:rsid w:val="5A3D7F5A"/>
    <w:rsid w:val="5A4D198C"/>
    <w:rsid w:val="5A7C4F26"/>
    <w:rsid w:val="5ACC1FD7"/>
    <w:rsid w:val="5AE10810"/>
    <w:rsid w:val="5AF820D3"/>
    <w:rsid w:val="5B5068D8"/>
    <w:rsid w:val="5B8B1199"/>
    <w:rsid w:val="5B97255D"/>
    <w:rsid w:val="5B987B49"/>
    <w:rsid w:val="5BAB6095"/>
    <w:rsid w:val="5BE5221C"/>
    <w:rsid w:val="5BE978C8"/>
    <w:rsid w:val="5BF258FE"/>
    <w:rsid w:val="5C0B7550"/>
    <w:rsid w:val="5C3C4DEB"/>
    <w:rsid w:val="5C4B6B11"/>
    <w:rsid w:val="5C6651FA"/>
    <w:rsid w:val="5C86273B"/>
    <w:rsid w:val="5C904CB9"/>
    <w:rsid w:val="5CB545BF"/>
    <w:rsid w:val="5CC901CB"/>
    <w:rsid w:val="5CC95986"/>
    <w:rsid w:val="5CE35642"/>
    <w:rsid w:val="5CEA6D6B"/>
    <w:rsid w:val="5D03647F"/>
    <w:rsid w:val="5D0A0E22"/>
    <w:rsid w:val="5D2D5EA1"/>
    <w:rsid w:val="5D55019E"/>
    <w:rsid w:val="5D55380D"/>
    <w:rsid w:val="5D801A86"/>
    <w:rsid w:val="5D945D91"/>
    <w:rsid w:val="5D964551"/>
    <w:rsid w:val="5DB70023"/>
    <w:rsid w:val="5DCA5FA9"/>
    <w:rsid w:val="5DCF023F"/>
    <w:rsid w:val="5DD706C5"/>
    <w:rsid w:val="5DED16E4"/>
    <w:rsid w:val="5E272426"/>
    <w:rsid w:val="5E53044A"/>
    <w:rsid w:val="5E53232E"/>
    <w:rsid w:val="5E8F018D"/>
    <w:rsid w:val="5E901A16"/>
    <w:rsid w:val="5E930A90"/>
    <w:rsid w:val="5ECD7B7A"/>
    <w:rsid w:val="5EFD1844"/>
    <w:rsid w:val="5F074FDA"/>
    <w:rsid w:val="5F104ED2"/>
    <w:rsid w:val="5F524E02"/>
    <w:rsid w:val="5F5B083F"/>
    <w:rsid w:val="5F5E66CD"/>
    <w:rsid w:val="5F6915A6"/>
    <w:rsid w:val="5F9B7625"/>
    <w:rsid w:val="5FAE2ADD"/>
    <w:rsid w:val="5FC5782B"/>
    <w:rsid w:val="5FD92758"/>
    <w:rsid w:val="600C0AFA"/>
    <w:rsid w:val="602306E3"/>
    <w:rsid w:val="604E2A82"/>
    <w:rsid w:val="60822E4F"/>
    <w:rsid w:val="609A17F1"/>
    <w:rsid w:val="60A469E0"/>
    <w:rsid w:val="60EB22A9"/>
    <w:rsid w:val="60ED6FEA"/>
    <w:rsid w:val="60F17CF0"/>
    <w:rsid w:val="61113EEE"/>
    <w:rsid w:val="61447F5B"/>
    <w:rsid w:val="61480B6C"/>
    <w:rsid w:val="614A02EA"/>
    <w:rsid w:val="614C0D0B"/>
    <w:rsid w:val="6161661E"/>
    <w:rsid w:val="617D69D7"/>
    <w:rsid w:val="61BA574D"/>
    <w:rsid w:val="61BF7DEE"/>
    <w:rsid w:val="61DD03B3"/>
    <w:rsid w:val="61F70D99"/>
    <w:rsid w:val="62250155"/>
    <w:rsid w:val="62335D39"/>
    <w:rsid w:val="623E7CE7"/>
    <w:rsid w:val="62400DDA"/>
    <w:rsid w:val="624F1172"/>
    <w:rsid w:val="626324F4"/>
    <w:rsid w:val="626B200B"/>
    <w:rsid w:val="62791D4B"/>
    <w:rsid w:val="627A1800"/>
    <w:rsid w:val="628250A4"/>
    <w:rsid w:val="62E945F7"/>
    <w:rsid w:val="62FA0F0F"/>
    <w:rsid w:val="62FB4C6F"/>
    <w:rsid w:val="633345F0"/>
    <w:rsid w:val="63427C35"/>
    <w:rsid w:val="63527926"/>
    <w:rsid w:val="63553D6E"/>
    <w:rsid w:val="638A05DB"/>
    <w:rsid w:val="63A45F91"/>
    <w:rsid w:val="63BD394B"/>
    <w:rsid w:val="63F2620B"/>
    <w:rsid w:val="63F7386F"/>
    <w:rsid w:val="64162608"/>
    <w:rsid w:val="641D13CD"/>
    <w:rsid w:val="64533922"/>
    <w:rsid w:val="6460175B"/>
    <w:rsid w:val="64745988"/>
    <w:rsid w:val="64872E45"/>
    <w:rsid w:val="648D5F82"/>
    <w:rsid w:val="64A439AF"/>
    <w:rsid w:val="64B60A6D"/>
    <w:rsid w:val="64CC2606"/>
    <w:rsid w:val="65346290"/>
    <w:rsid w:val="65477BB5"/>
    <w:rsid w:val="65557CA1"/>
    <w:rsid w:val="65883FCC"/>
    <w:rsid w:val="65A2082D"/>
    <w:rsid w:val="65B40423"/>
    <w:rsid w:val="65B668C9"/>
    <w:rsid w:val="65D87056"/>
    <w:rsid w:val="6646288C"/>
    <w:rsid w:val="664C0AE5"/>
    <w:rsid w:val="665905FC"/>
    <w:rsid w:val="665C2F12"/>
    <w:rsid w:val="666B22F3"/>
    <w:rsid w:val="66A04090"/>
    <w:rsid w:val="66C22666"/>
    <w:rsid w:val="66E8749F"/>
    <w:rsid w:val="67184229"/>
    <w:rsid w:val="67191D4F"/>
    <w:rsid w:val="671958AB"/>
    <w:rsid w:val="675D3FEF"/>
    <w:rsid w:val="67731CFA"/>
    <w:rsid w:val="679F300F"/>
    <w:rsid w:val="67A91325"/>
    <w:rsid w:val="680B350F"/>
    <w:rsid w:val="682C57A5"/>
    <w:rsid w:val="6832167E"/>
    <w:rsid w:val="6836496C"/>
    <w:rsid w:val="68700039"/>
    <w:rsid w:val="68A01D1C"/>
    <w:rsid w:val="68A234DF"/>
    <w:rsid w:val="68D31327"/>
    <w:rsid w:val="68E75F4D"/>
    <w:rsid w:val="68F80760"/>
    <w:rsid w:val="6901408C"/>
    <w:rsid w:val="692E2949"/>
    <w:rsid w:val="69333F28"/>
    <w:rsid w:val="69470309"/>
    <w:rsid w:val="695D5090"/>
    <w:rsid w:val="696B1607"/>
    <w:rsid w:val="69751EAA"/>
    <w:rsid w:val="69831F77"/>
    <w:rsid w:val="698372D6"/>
    <w:rsid w:val="69EF1F65"/>
    <w:rsid w:val="69F85C4B"/>
    <w:rsid w:val="6A0D63C4"/>
    <w:rsid w:val="6A1A6E5F"/>
    <w:rsid w:val="6A47013E"/>
    <w:rsid w:val="6A7F636D"/>
    <w:rsid w:val="6A806889"/>
    <w:rsid w:val="6AA42500"/>
    <w:rsid w:val="6AF4265A"/>
    <w:rsid w:val="6B054AC4"/>
    <w:rsid w:val="6B093A52"/>
    <w:rsid w:val="6B0D2DCF"/>
    <w:rsid w:val="6B27393E"/>
    <w:rsid w:val="6B525169"/>
    <w:rsid w:val="6BA047ED"/>
    <w:rsid w:val="6BA222EA"/>
    <w:rsid w:val="6BA33DCC"/>
    <w:rsid w:val="6BC96E53"/>
    <w:rsid w:val="6BE40B7D"/>
    <w:rsid w:val="6BFA25F4"/>
    <w:rsid w:val="6C280B21"/>
    <w:rsid w:val="6C4312E7"/>
    <w:rsid w:val="6C4A485C"/>
    <w:rsid w:val="6C507D50"/>
    <w:rsid w:val="6C53360D"/>
    <w:rsid w:val="6C580C23"/>
    <w:rsid w:val="6C6C46CF"/>
    <w:rsid w:val="6C8A71E2"/>
    <w:rsid w:val="6CA53DFF"/>
    <w:rsid w:val="6CAE2F39"/>
    <w:rsid w:val="6CB71DEE"/>
    <w:rsid w:val="6CEC62A5"/>
    <w:rsid w:val="6CEC7D37"/>
    <w:rsid w:val="6D74572C"/>
    <w:rsid w:val="6DAC440C"/>
    <w:rsid w:val="6DB04AFE"/>
    <w:rsid w:val="6DBF6490"/>
    <w:rsid w:val="6DC26C9C"/>
    <w:rsid w:val="6DED2E55"/>
    <w:rsid w:val="6E052163"/>
    <w:rsid w:val="6E1C005D"/>
    <w:rsid w:val="6E36197E"/>
    <w:rsid w:val="6E37281E"/>
    <w:rsid w:val="6E3C74D5"/>
    <w:rsid w:val="6E41376D"/>
    <w:rsid w:val="6E713DC9"/>
    <w:rsid w:val="6E774A93"/>
    <w:rsid w:val="6E960D5F"/>
    <w:rsid w:val="6EA0573A"/>
    <w:rsid w:val="6EE36ECA"/>
    <w:rsid w:val="6F0C62B5"/>
    <w:rsid w:val="6F2C357A"/>
    <w:rsid w:val="6F881820"/>
    <w:rsid w:val="6F8B7727"/>
    <w:rsid w:val="6FA01D37"/>
    <w:rsid w:val="6FA35752"/>
    <w:rsid w:val="6FBA5211"/>
    <w:rsid w:val="6FC14D32"/>
    <w:rsid w:val="70115A26"/>
    <w:rsid w:val="7092336C"/>
    <w:rsid w:val="70A259DE"/>
    <w:rsid w:val="70B86135"/>
    <w:rsid w:val="70CE7706"/>
    <w:rsid w:val="70D80585"/>
    <w:rsid w:val="70DE37C7"/>
    <w:rsid w:val="70F53606"/>
    <w:rsid w:val="71000C9C"/>
    <w:rsid w:val="71240691"/>
    <w:rsid w:val="71407AB8"/>
    <w:rsid w:val="71494FDF"/>
    <w:rsid w:val="716342F2"/>
    <w:rsid w:val="71C034F3"/>
    <w:rsid w:val="71C8684B"/>
    <w:rsid w:val="721F1602"/>
    <w:rsid w:val="722A3062"/>
    <w:rsid w:val="724B7771"/>
    <w:rsid w:val="725F7EAF"/>
    <w:rsid w:val="72734A09"/>
    <w:rsid w:val="72A32CBE"/>
    <w:rsid w:val="72A53361"/>
    <w:rsid w:val="72C7472E"/>
    <w:rsid w:val="72CA41B8"/>
    <w:rsid w:val="72DF7A98"/>
    <w:rsid w:val="72FA2EDF"/>
    <w:rsid w:val="73441F01"/>
    <w:rsid w:val="734B3290"/>
    <w:rsid w:val="737A7695"/>
    <w:rsid w:val="738B5D82"/>
    <w:rsid w:val="739C3610"/>
    <w:rsid w:val="73BD7038"/>
    <w:rsid w:val="73C93D4D"/>
    <w:rsid w:val="73E90234"/>
    <w:rsid w:val="73ED106B"/>
    <w:rsid w:val="740A5BE8"/>
    <w:rsid w:val="74546174"/>
    <w:rsid w:val="74854658"/>
    <w:rsid w:val="7496678D"/>
    <w:rsid w:val="74B05252"/>
    <w:rsid w:val="74F05498"/>
    <w:rsid w:val="74F14535"/>
    <w:rsid w:val="75273889"/>
    <w:rsid w:val="7530273D"/>
    <w:rsid w:val="753943C8"/>
    <w:rsid w:val="757A7E5C"/>
    <w:rsid w:val="758F1B5A"/>
    <w:rsid w:val="75940517"/>
    <w:rsid w:val="75A86BB4"/>
    <w:rsid w:val="75EB74DE"/>
    <w:rsid w:val="75F22C6F"/>
    <w:rsid w:val="75FE7091"/>
    <w:rsid w:val="763832FC"/>
    <w:rsid w:val="76BB24DB"/>
    <w:rsid w:val="76E97048"/>
    <w:rsid w:val="76ED0E9C"/>
    <w:rsid w:val="774C3C09"/>
    <w:rsid w:val="774D3A7A"/>
    <w:rsid w:val="77A8625B"/>
    <w:rsid w:val="77D953F3"/>
    <w:rsid w:val="78085BF3"/>
    <w:rsid w:val="780E2ADE"/>
    <w:rsid w:val="782567A5"/>
    <w:rsid w:val="782C0851"/>
    <w:rsid w:val="783A4F8D"/>
    <w:rsid w:val="786605DE"/>
    <w:rsid w:val="789306A9"/>
    <w:rsid w:val="78972AD3"/>
    <w:rsid w:val="78BE7535"/>
    <w:rsid w:val="78E90C5B"/>
    <w:rsid w:val="790B69FE"/>
    <w:rsid w:val="790F6B0E"/>
    <w:rsid w:val="79297266"/>
    <w:rsid w:val="793D367B"/>
    <w:rsid w:val="794E5888"/>
    <w:rsid w:val="795A5FDB"/>
    <w:rsid w:val="79686D59"/>
    <w:rsid w:val="798B6ADC"/>
    <w:rsid w:val="79A202F8"/>
    <w:rsid w:val="7A034973"/>
    <w:rsid w:val="7A1216AE"/>
    <w:rsid w:val="7A3A09C8"/>
    <w:rsid w:val="7A6B663C"/>
    <w:rsid w:val="7A6C49DC"/>
    <w:rsid w:val="7A7D6734"/>
    <w:rsid w:val="7ACB42B8"/>
    <w:rsid w:val="7AEC0EED"/>
    <w:rsid w:val="7B1222EF"/>
    <w:rsid w:val="7B1B58C8"/>
    <w:rsid w:val="7B260409"/>
    <w:rsid w:val="7B312A5B"/>
    <w:rsid w:val="7B4D15D5"/>
    <w:rsid w:val="7B50118C"/>
    <w:rsid w:val="7B942659"/>
    <w:rsid w:val="7BAD4739"/>
    <w:rsid w:val="7BE51067"/>
    <w:rsid w:val="7BF8117A"/>
    <w:rsid w:val="7C244A7D"/>
    <w:rsid w:val="7C2F6CBD"/>
    <w:rsid w:val="7C5036AD"/>
    <w:rsid w:val="7C54662F"/>
    <w:rsid w:val="7C603676"/>
    <w:rsid w:val="7C6F7FEF"/>
    <w:rsid w:val="7C7C44BA"/>
    <w:rsid w:val="7CC561F7"/>
    <w:rsid w:val="7CE47776"/>
    <w:rsid w:val="7D14029E"/>
    <w:rsid w:val="7D1B3DE1"/>
    <w:rsid w:val="7D374B5B"/>
    <w:rsid w:val="7D6734F0"/>
    <w:rsid w:val="7D7358BD"/>
    <w:rsid w:val="7D8950E1"/>
    <w:rsid w:val="7DAB45AC"/>
    <w:rsid w:val="7DB22191"/>
    <w:rsid w:val="7DC952BC"/>
    <w:rsid w:val="7DDB1943"/>
    <w:rsid w:val="7DF12C86"/>
    <w:rsid w:val="7E517A89"/>
    <w:rsid w:val="7E56793E"/>
    <w:rsid w:val="7EA87DBF"/>
    <w:rsid w:val="7EAC48C4"/>
    <w:rsid w:val="7EB6755E"/>
    <w:rsid w:val="7EC9322B"/>
    <w:rsid w:val="7EE07BB7"/>
    <w:rsid w:val="7EFA2E85"/>
    <w:rsid w:val="7EFC5AA6"/>
    <w:rsid w:val="7F085EB2"/>
    <w:rsid w:val="7F0F5AB9"/>
    <w:rsid w:val="7F2341F7"/>
    <w:rsid w:val="7F4C2384"/>
    <w:rsid w:val="7F5E476F"/>
    <w:rsid w:val="7F97608A"/>
    <w:rsid w:val="7F9C75E8"/>
    <w:rsid w:val="7FAA39F7"/>
    <w:rsid w:val="7FB47FB2"/>
    <w:rsid w:val="7FCC69B4"/>
    <w:rsid w:val="7FD60CD8"/>
    <w:rsid w:val="7FF6546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99" w:semiHidden="0" w:name="toc 2"/>
    <w:lsdException w:qFormat="1" w:unhideWhenUsed="0" w:uiPriority="99" w:semiHidden="0" w:name="toc 3"/>
    <w:lsdException w:qFormat="1" w:uiPriority="39" w:semiHidden="0"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autoRedefine/>
    <w:qFormat/>
    <w:uiPriority w:val="0"/>
    <w:pPr>
      <w:keepNext/>
      <w:jc w:val="center"/>
      <w:outlineLvl w:val="0"/>
    </w:pPr>
    <w:rPr>
      <w:rFonts w:ascii="黑体" w:eastAsia="黑体"/>
      <w:sz w:val="28"/>
    </w:rPr>
  </w:style>
  <w:style w:type="paragraph" w:styleId="3">
    <w:name w:val="heading 2"/>
    <w:basedOn w:val="1"/>
    <w:next w:val="1"/>
    <w:link w:val="51"/>
    <w:autoRedefine/>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link w:val="52"/>
    <w:autoRedefine/>
    <w:qFormat/>
    <w:uiPriority w:val="0"/>
    <w:pPr>
      <w:keepNext/>
      <w:spacing w:line="320" w:lineRule="exact"/>
      <w:outlineLvl w:val="2"/>
    </w:pPr>
    <w:rPr>
      <w:rFonts w:ascii="楷体_GB2312" w:eastAsia="楷体_GB2312"/>
      <w:sz w:val="32"/>
    </w:rPr>
  </w:style>
  <w:style w:type="paragraph" w:styleId="5">
    <w:name w:val="heading 4"/>
    <w:basedOn w:val="1"/>
    <w:next w:val="1"/>
    <w:link w:val="53"/>
    <w:autoRedefine/>
    <w:qFormat/>
    <w:uiPriority w:val="99"/>
    <w:pPr>
      <w:keepNext/>
      <w:spacing w:line="600" w:lineRule="exact"/>
      <w:jc w:val="center"/>
      <w:outlineLvl w:val="3"/>
    </w:pPr>
    <w:rPr>
      <w:rFonts w:ascii="楷体_GB2312" w:eastAsia="楷体_GB2312"/>
      <w:sz w:val="32"/>
    </w:rPr>
  </w:style>
  <w:style w:type="paragraph" w:styleId="6">
    <w:name w:val="heading 5"/>
    <w:basedOn w:val="1"/>
    <w:next w:val="1"/>
    <w:link w:val="54"/>
    <w:autoRedefine/>
    <w:qFormat/>
    <w:uiPriority w:val="99"/>
    <w:pPr>
      <w:keepNext/>
      <w:keepLines/>
      <w:spacing w:before="280" w:after="290" w:line="376" w:lineRule="auto"/>
      <w:outlineLvl w:val="4"/>
    </w:pPr>
    <w:rPr>
      <w:b/>
      <w:bCs/>
      <w:sz w:val="28"/>
      <w:szCs w:val="28"/>
    </w:rPr>
  </w:style>
  <w:style w:type="paragraph" w:styleId="7">
    <w:name w:val="heading 6"/>
    <w:basedOn w:val="1"/>
    <w:next w:val="1"/>
    <w:link w:val="55"/>
    <w:autoRedefine/>
    <w:qFormat/>
    <w:uiPriority w:val="99"/>
    <w:pPr>
      <w:keepNext/>
      <w:keepLines/>
      <w:widowControl/>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56"/>
    <w:autoRedefine/>
    <w:qFormat/>
    <w:uiPriority w:val="99"/>
    <w:pPr>
      <w:keepNext/>
      <w:keepLines/>
      <w:widowControl/>
      <w:spacing w:before="240" w:after="64" w:line="320" w:lineRule="auto"/>
      <w:jc w:val="left"/>
      <w:outlineLvl w:val="6"/>
    </w:pPr>
    <w:rPr>
      <w:b/>
      <w:bCs/>
      <w:kern w:val="0"/>
      <w:sz w:val="24"/>
      <w:szCs w:val="24"/>
    </w:rPr>
  </w:style>
  <w:style w:type="paragraph" w:styleId="9">
    <w:name w:val="heading 8"/>
    <w:basedOn w:val="1"/>
    <w:next w:val="1"/>
    <w:link w:val="57"/>
    <w:autoRedefine/>
    <w:qFormat/>
    <w:uiPriority w:val="99"/>
    <w:pPr>
      <w:keepNext/>
      <w:keepLines/>
      <w:widowControl/>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58"/>
    <w:autoRedefine/>
    <w:qFormat/>
    <w:uiPriority w:val="99"/>
    <w:pPr>
      <w:keepNext/>
      <w:keepLines/>
      <w:widowControl/>
      <w:spacing w:before="240" w:after="64" w:line="320" w:lineRule="auto"/>
      <w:jc w:val="left"/>
      <w:outlineLvl w:val="8"/>
    </w:pPr>
    <w:rPr>
      <w:rFonts w:ascii="Arial" w:hAnsi="Arial" w:eastAsia="黑体"/>
      <w:kern w:val="0"/>
      <w:szCs w:val="21"/>
    </w:rPr>
  </w:style>
  <w:style w:type="character" w:default="1" w:styleId="39">
    <w:name w:val="Default Paragraph Font"/>
    <w:autoRedefine/>
    <w:unhideWhenUsed/>
    <w:qFormat/>
    <w:uiPriority w:val="1"/>
  </w:style>
  <w:style w:type="table" w:default="1" w:styleId="37">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next w:val="1"/>
    <w:link w:val="94"/>
    <w:autoRedefine/>
    <w:qFormat/>
    <w:uiPriority w:val="0"/>
    <w:pPr>
      <w:ind w:firstLine="420"/>
    </w:pPr>
  </w:style>
  <w:style w:type="paragraph" w:styleId="12">
    <w:name w:val="Document Map"/>
    <w:basedOn w:val="1"/>
    <w:link w:val="59"/>
    <w:autoRedefine/>
    <w:qFormat/>
    <w:uiPriority w:val="99"/>
    <w:pPr>
      <w:shd w:val="clear" w:color="auto" w:fill="000080"/>
    </w:pPr>
  </w:style>
  <w:style w:type="paragraph" w:styleId="13">
    <w:name w:val="toa heading"/>
    <w:basedOn w:val="1"/>
    <w:next w:val="1"/>
    <w:autoRedefine/>
    <w:qFormat/>
    <w:locked/>
    <w:uiPriority w:val="0"/>
    <w:pPr>
      <w:spacing w:before="120"/>
    </w:pPr>
    <w:rPr>
      <w:rFonts w:ascii="Arial" w:hAnsi="Arial"/>
      <w:sz w:val="24"/>
      <w:szCs w:val="20"/>
    </w:rPr>
  </w:style>
  <w:style w:type="paragraph" w:styleId="14">
    <w:name w:val="annotation text"/>
    <w:basedOn w:val="1"/>
    <w:link w:val="60"/>
    <w:autoRedefine/>
    <w:qFormat/>
    <w:uiPriority w:val="99"/>
    <w:pPr>
      <w:jc w:val="left"/>
    </w:pPr>
  </w:style>
  <w:style w:type="paragraph" w:styleId="15">
    <w:name w:val="Body Text 3"/>
    <w:basedOn w:val="1"/>
    <w:link w:val="61"/>
    <w:autoRedefine/>
    <w:qFormat/>
    <w:uiPriority w:val="99"/>
    <w:pPr>
      <w:jc w:val="center"/>
    </w:pPr>
    <w:rPr>
      <w:b/>
      <w:spacing w:val="-20"/>
      <w:w w:val="110"/>
      <w:sz w:val="52"/>
    </w:rPr>
  </w:style>
  <w:style w:type="paragraph" w:styleId="16">
    <w:name w:val="Body Text"/>
    <w:basedOn w:val="1"/>
    <w:link w:val="62"/>
    <w:autoRedefine/>
    <w:qFormat/>
    <w:uiPriority w:val="99"/>
    <w:pPr>
      <w:jc w:val="left"/>
    </w:pPr>
    <w:rPr>
      <w:rFonts w:ascii="Copperplate Gothic Bold" w:hAnsi="Copperplate Gothic Bold"/>
      <w:sz w:val="28"/>
    </w:rPr>
  </w:style>
  <w:style w:type="paragraph" w:styleId="17">
    <w:name w:val="Body Text Indent"/>
    <w:basedOn w:val="1"/>
    <w:link w:val="63"/>
    <w:autoRedefine/>
    <w:qFormat/>
    <w:uiPriority w:val="99"/>
    <w:pPr>
      <w:spacing w:line="640" w:lineRule="exact"/>
      <w:ind w:firstLine="585"/>
    </w:pPr>
    <w:rPr>
      <w:rFonts w:ascii="楷体_GB2312" w:eastAsia="楷体_GB2312"/>
      <w:sz w:val="32"/>
    </w:rPr>
  </w:style>
  <w:style w:type="paragraph" w:styleId="18">
    <w:name w:val="Block Text"/>
    <w:basedOn w:val="1"/>
    <w:autoRedefine/>
    <w:qFormat/>
    <w:uiPriority w:val="99"/>
    <w:pPr>
      <w:adjustRightInd w:val="0"/>
      <w:ind w:left="420" w:right="33"/>
      <w:jc w:val="left"/>
      <w:textAlignment w:val="baseline"/>
    </w:pPr>
    <w:rPr>
      <w:kern w:val="0"/>
      <w:sz w:val="24"/>
    </w:rPr>
  </w:style>
  <w:style w:type="paragraph" w:styleId="19">
    <w:name w:val="toc 3"/>
    <w:basedOn w:val="1"/>
    <w:next w:val="1"/>
    <w:autoRedefine/>
    <w:qFormat/>
    <w:uiPriority w:val="99"/>
    <w:pPr>
      <w:ind w:left="840" w:leftChars="400"/>
    </w:pPr>
    <w:rPr>
      <w:szCs w:val="24"/>
    </w:rPr>
  </w:style>
  <w:style w:type="paragraph" w:styleId="20">
    <w:name w:val="Plain Text"/>
    <w:basedOn w:val="1"/>
    <w:link w:val="64"/>
    <w:autoRedefine/>
    <w:qFormat/>
    <w:uiPriority w:val="99"/>
    <w:rPr>
      <w:rFonts w:ascii="宋体" w:hAnsi="Courier New"/>
    </w:rPr>
  </w:style>
  <w:style w:type="paragraph" w:styleId="21">
    <w:name w:val="Date"/>
    <w:basedOn w:val="1"/>
    <w:next w:val="1"/>
    <w:link w:val="65"/>
    <w:autoRedefine/>
    <w:qFormat/>
    <w:uiPriority w:val="99"/>
    <w:rPr>
      <w:rFonts w:ascii="Copperplate Gothic Bold" w:hAnsi="Copperplate Gothic Bold"/>
      <w:sz w:val="32"/>
    </w:rPr>
  </w:style>
  <w:style w:type="paragraph" w:styleId="22">
    <w:name w:val="Body Text Indent 2"/>
    <w:basedOn w:val="1"/>
    <w:link w:val="66"/>
    <w:autoRedefine/>
    <w:qFormat/>
    <w:uiPriority w:val="99"/>
    <w:pPr>
      <w:spacing w:line="640" w:lineRule="exact"/>
      <w:ind w:firstLine="645"/>
    </w:pPr>
    <w:rPr>
      <w:rFonts w:ascii="楷体_GB2312" w:eastAsia="楷体_GB2312"/>
      <w:sz w:val="32"/>
    </w:rPr>
  </w:style>
  <w:style w:type="paragraph" w:styleId="23">
    <w:name w:val="Balloon Text"/>
    <w:basedOn w:val="1"/>
    <w:link w:val="67"/>
    <w:autoRedefine/>
    <w:qFormat/>
    <w:uiPriority w:val="99"/>
    <w:rPr>
      <w:sz w:val="18"/>
      <w:szCs w:val="18"/>
    </w:rPr>
  </w:style>
  <w:style w:type="paragraph" w:styleId="24">
    <w:name w:val="footer"/>
    <w:basedOn w:val="1"/>
    <w:link w:val="68"/>
    <w:autoRedefine/>
    <w:qFormat/>
    <w:uiPriority w:val="99"/>
    <w:pPr>
      <w:tabs>
        <w:tab w:val="center" w:pos="4153"/>
        <w:tab w:val="right" w:pos="8306"/>
      </w:tabs>
      <w:snapToGrid w:val="0"/>
      <w:jc w:val="left"/>
    </w:pPr>
    <w:rPr>
      <w:sz w:val="18"/>
      <w:szCs w:val="18"/>
    </w:rPr>
  </w:style>
  <w:style w:type="paragraph" w:styleId="25">
    <w:name w:val="header"/>
    <w:basedOn w:val="1"/>
    <w:link w:val="69"/>
    <w:autoRedefine/>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tabs>
        <w:tab w:val="right" w:leader="dot" w:pos="9060"/>
      </w:tabs>
      <w:spacing w:line="720" w:lineRule="auto"/>
    </w:pPr>
    <w:rPr>
      <w:szCs w:val="24"/>
    </w:rPr>
  </w:style>
  <w:style w:type="paragraph" w:styleId="27">
    <w:name w:val="toc 4"/>
    <w:basedOn w:val="1"/>
    <w:next w:val="1"/>
    <w:autoRedefine/>
    <w:unhideWhenUsed/>
    <w:qFormat/>
    <w:locked/>
    <w:uiPriority w:val="39"/>
    <w:pPr>
      <w:ind w:left="1260" w:leftChars="600"/>
    </w:pPr>
  </w:style>
  <w:style w:type="paragraph" w:styleId="28">
    <w:name w:val="Body Text Indent 3"/>
    <w:basedOn w:val="1"/>
    <w:link w:val="70"/>
    <w:autoRedefine/>
    <w:qFormat/>
    <w:uiPriority w:val="99"/>
    <w:pPr>
      <w:ind w:firstLine="645"/>
    </w:pPr>
    <w:rPr>
      <w:rFonts w:ascii="宋体" w:hAnsi="Copperplate Gothic Bold"/>
      <w:sz w:val="28"/>
    </w:rPr>
  </w:style>
  <w:style w:type="paragraph" w:styleId="29">
    <w:name w:val="toc 2"/>
    <w:basedOn w:val="1"/>
    <w:next w:val="1"/>
    <w:autoRedefine/>
    <w:qFormat/>
    <w:uiPriority w:val="99"/>
    <w:pPr>
      <w:ind w:left="420" w:leftChars="200"/>
    </w:pPr>
    <w:rPr>
      <w:szCs w:val="24"/>
    </w:rPr>
  </w:style>
  <w:style w:type="paragraph" w:styleId="30">
    <w:name w:val="Body Text 2"/>
    <w:basedOn w:val="1"/>
    <w:link w:val="71"/>
    <w:autoRedefine/>
    <w:qFormat/>
    <w:uiPriority w:val="99"/>
    <w:rPr>
      <w:rFonts w:ascii="楷体_GB2312" w:hAnsi="Copperplate Gothic Bold" w:eastAsia="楷体_GB2312"/>
      <w:sz w:val="28"/>
    </w:rPr>
  </w:style>
  <w:style w:type="paragraph" w:styleId="31">
    <w:name w:val="HTML Preformatted"/>
    <w:basedOn w:val="1"/>
    <w:autoRedefine/>
    <w:semiHidden/>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2">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3">
    <w:name w:val="index 1"/>
    <w:basedOn w:val="1"/>
    <w:next w:val="1"/>
    <w:autoRedefine/>
    <w:qFormat/>
    <w:locked/>
    <w:uiPriority w:val="0"/>
  </w:style>
  <w:style w:type="paragraph" w:styleId="34">
    <w:name w:val="Title"/>
    <w:basedOn w:val="1"/>
    <w:link w:val="72"/>
    <w:autoRedefine/>
    <w:qFormat/>
    <w:uiPriority w:val="99"/>
    <w:pPr>
      <w:adjustRightInd w:val="0"/>
      <w:spacing w:before="240" w:after="60" w:line="312" w:lineRule="atLeast"/>
      <w:jc w:val="center"/>
      <w:textAlignment w:val="baseline"/>
      <w:outlineLvl w:val="0"/>
    </w:pPr>
    <w:rPr>
      <w:rFonts w:ascii="Arial" w:hAnsi="Arial" w:eastAsia="楷体_GB2312" w:cs="Arial"/>
      <w:b/>
      <w:kern w:val="0"/>
      <w:sz w:val="32"/>
      <w:szCs w:val="32"/>
    </w:rPr>
  </w:style>
  <w:style w:type="paragraph" w:styleId="35">
    <w:name w:val="Body Text First Indent"/>
    <w:basedOn w:val="16"/>
    <w:autoRedefine/>
    <w:qFormat/>
    <w:locked/>
    <w:uiPriority w:val="0"/>
    <w:pPr>
      <w:adjustRightInd w:val="0"/>
      <w:spacing w:after="0"/>
      <w:ind w:firstLine="420"/>
      <w:jc w:val="left"/>
      <w:textAlignment w:val="baseline"/>
    </w:pPr>
    <w:rPr>
      <w:kern w:val="0"/>
    </w:rPr>
  </w:style>
  <w:style w:type="paragraph" w:styleId="36">
    <w:name w:val="Body Text First Indent 2"/>
    <w:basedOn w:val="17"/>
    <w:next w:val="35"/>
    <w:autoRedefine/>
    <w:qFormat/>
    <w:locked/>
    <w:uiPriority w:val="99"/>
  </w:style>
  <w:style w:type="table" w:styleId="38">
    <w:name w:val="Table Grid"/>
    <w:basedOn w:val="3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autoRedefine/>
    <w:qFormat/>
    <w:uiPriority w:val="99"/>
    <w:rPr>
      <w:rFonts w:cs="Times New Roman"/>
      <w:b/>
    </w:rPr>
  </w:style>
  <w:style w:type="character" w:styleId="41">
    <w:name w:val="page number"/>
    <w:basedOn w:val="39"/>
    <w:autoRedefine/>
    <w:qFormat/>
    <w:uiPriority w:val="99"/>
    <w:rPr>
      <w:rFonts w:cs="Times New Roman"/>
    </w:rPr>
  </w:style>
  <w:style w:type="character" w:styleId="42">
    <w:name w:val="FollowedHyperlink"/>
    <w:basedOn w:val="39"/>
    <w:autoRedefine/>
    <w:qFormat/>
    <w:uiPriority w:val="99"/>
    <w:rPr>
      <w:rFonts w:cs="Times New Roman"/>
      <w:color w:val="800080"/>
      <w:u w:val="single"/>
    </w:rPr>
  </w:style>
  <w:style w:type="character" w:styleId="43">
    <w:name w:val="Emphasis"/>
    <w:basedOn w:val="39"/>
    <w:autoRedefine/>
    <w:qFormat/>
    <w:uiPriority w:val="99"/>
    <w:rPr>
      <w:rFonts w:cs="Times New Roman"/>
      <w:i/>
      <w:iCs/>
    </w:rPr>
  </w:style>
  <w:style w:type="character" w:styleId="44">
    <w:name w:val="Hyperlink"/>
    <w:basedOn w:val="39"/>
    <w:autoRedefine/>
    <w:qFormat/>
    <w:uiPriority w:val="99"/>
    <w:rPr>
      <w:rFonts w:cs="Times New Roman"/>
      <w:color w:val="0000FF"/>
      <w:u w:val="single"/>
    </w:rPr>
  </w:style>
  <w:style w:type="character" w:styleId="45">
    <w:name w:val="annotation reference"/>
    <w:basedOn w:val="39"/>
    <w:autoRedefine/>
    <w:qFormat/>
    <w:uiPriority w:val="99"/>
    <w:rPr>
      <w:rFonts w:cs="Times New Roman"/>
      <w:sz w:val="21"/>
    </w:rPr>
  </w:style>
  <w:style w:type="paragraph" w:customStyle="1" w:styleId="46">
    <w:name w:val="TOC 标题1"/>
    <w:basedOn w:val="2"/>
    <w:next w:val="1"/>
    <w:autoRedefine/>
    <w:qFormat/>
    <w:uiPriority w:val="99"/>
    <w:pPr>
      <w:tabs>
        <w:tab w:val="left" w:pos="432"/>
      </w:tabs>
      <w:spacing w:before="480" w:after="0" w:line="276" w:lineRule="auto"/>
      <w:outlineLvl w:val="9"/>
    </w:pPr>
    <w:rPr>
      <w:rFonts w:ascii="仿宋" w:hAnsi="仿宋" w:eastAsia="仿宋"/>
      <w:color w:val="000000"/>
      <w:kern w:val="0"/>
      <w:szCs w:val="32"/>
    </w:rPr>
  </w:style>
  <w:style w:type="paragraph" w:customStyle="1" w:styleId="47">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8">
    <w:name w:val="No Spacing"/>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9">
    <w:name w:val="列出段落1"/>
    <w:basedOn w:val="1"/>
    <w:autoRedefine/>
    <w:qFormat/>
    <w:uiPriority w:val="99"/>
    <w:pPr>
      <w:ind w:firstLine="420" w:firstLineChars="200"/>
    </w:pPr>
  </w:style>
  <w:style w:type="character" w:customStyle="1" w:styleId="50">
    <w:name w:val="标题 1 Char"/>
    <w:basedOn w:val="39"/>
    <w:link w:val="2"/>
    <w:autoRedefine/>
    <w:qFormat/>
    <w:locked/>
    <w:uiPriority w:val="0"/>
    <w:rPr>
      <w:rFonts w:ascii="黑体" w:hAnsi="Times New Roman" w:eastAsia="黑体" w:cs="Times New Roman"/>
      <w:sz w:val="20"/>
      <w:szCs w:val="20"/>
    </w:rPr>
  </w:style>
  <w:style w:type="character" w:customStyle="1" w:styleId="51">
    <w:name w:val="标题 2 Char"/>
    <w:basedOn w:val="39"/>
    <w:link w:val="3"/>
    <w:autoRedefine/>
    <w:qFormat/>
    <w:locked/>
    <w:uiPriority w:val="0"/>
    <w:rPr>
      <w:rFonts w:ascii="黑体" w:hAnsi="Copperplate Gothic Bold" w:eastAsia="楷体_GB2312" w:cs="Times New Roman"/>
      <w:sz w:val="20"/>
      <w:szCs w:val="20"/>
    </w:rPr>
  </w:style>
  <w:style w:type="character" w:customStyle="1" w:styleId="52">
    <w:name w:val="标题 3 Char"/>
    <w:basedOn w:val="39"/>
    <w:link w:val="4"/>
    <w:autoRedefine/>
    <w:qFormat/>
    <w:locked/>
    <w:uiPriority w:val="0"/>
    <w:rPr>
      <w:rFonts w:ascii="楷体_GB2312" w:hAnsi="Times New Roman" w:eastAsia="楷体_GB2312" w:cs="Times New Roman"/>
      <w:sz w:val="20"/>
      <w:szCs w:val="20"/>
    </w:rPr>
  </w:style>
  <w:style w:type="character" w:customStyle="1" w:styleId="53">
    <w:name w:val="标题 4 Char"/>
    <w:basedOn w:val="39"/>
    <w:link w:val="5"/>
    <w:autoRedefine/>
    <w:qFormat/>
    <w:locked/>
    <w:uiPriority w:val="99"/>
    <w:rPr>
      <w:rFonts w:ascii="楷体_GB2312" w:hAnsi="Times New Roman" w:eastAsia="楷体_GB2312" w:cs="Times New Roman"/>
      <w:sz w:val="20"/>
      <w:szCs w:val="20"/>
    </w:rPr>
  </w:style>
  <w:style w:type="character" w:customStyle="1" w:styleId="54">
    <w:name w:val="标题 5 Char"/>
    <w:basedOn w:val="39"/>
    <w:link w:val="6"/>
    <w:autoRedefine/>
    <w:qFormat/>
    <w:locked/>
    <w:uiPriority w:val="99"/>
    <w:rPr>
      <w:rFonts w:cs="Times New Roman"/>
      <w:b/>
      <w:bCs/>
      <w:kern w:val="2"/>
      <w:sz w:val="28"/>
      <w:szCs w:val="28"/>
    </w:rPr>
  </w:style>
  <w:style w:type="character" w:customStyle="1" w:styleId="55">
    <w:name w:val="标题 6 Char"/>
    <w:basedOn w:val="39"/>
    <w:link w:val="7"/>
    <w:autoRedefine/>
    <w:qFormat/>
    <w:locked/>
    <w:uiPriority w:val="99"/>
    <w:rPr>
      <w:rFonts w:ascii="Arial" w:hAnsi="Arial" w:eastAsia="黑体" w:cs="Times New Roman"/>
      <w:b/>
      <w:bCs/>
      <w:sz w:val="24"/>
      <w:szCs w:val="24"/>
    </w:rPr>
  </w:style>
  <w:style w:type="character" w:customStyle="1" w:styleId="56">
    <w:name w:val="标题 7 Char"/>
    <w:basedOn w:val="39"/>
    <w:link w:val="8"/>
    <w:autoRedefine/>
    <w:qFormat/>
    <w:locked/>
    <w:uiPriority w:val="99"/>
    <w:rPr>
      <w:rFonts w:cs="Times New Roman"/>
      <w:b/>
      <w:bCs/>
      <w:sz w:val="24"/>
      <w:szCs w:val="24"/>
    </w:rPr>
  </w:style>
  <w:style w:type="character" w:customStyle="1" w:styleId="57">
    <w:name w:val="标题 8 Char"/>
    <w:basedOn w:val="39"/>
    <w:link w:val="9"/>
    <w:autoRedefine/>
    <w:qFormat/>
    <w:locked/>
    <w:uiPriority w:val="99"/>
    <w:rPr>
      <w:rFonts w:ascii="Arial" w:hAnsi="Arial" w:eastAsia="黑体" w:cs="Times New Roman"/>
      <w:sz w:val="24"/>
      <w:szCs w:val="24"/>
    </w:rPr>
  </w:style>
  <w:style w:type="character" w:customStyle="1" w:styleId="58">
    <w:name w:val="标题 9 Char"/>
    <w:basedOn w:val="39"/>
    <w:link w:val="10"/>
    <w:autoRedefine/>
    <w:qFormat/>
    <w:locked/>
    <w:uiPriority w:val="99"/>
    <w:rPr>
      <w:rFonts w:ascii="Arial" w:hAnsi="Arial" w:eastAsia="黑体" w:cs="Times New Roman"/>
      <w:sz w:val="21"/>
      <w:szCs w:val="21"/>
    </w:rPr>
  </w:style>
  <w:style w:type="character" w:customStyle="1" w:styleId="59">
    <w:name w:val="文档结构图 Char"/>
    <w:basedOn w:val="39"/>
    <w:link w:val="12"/>
    <w:autoRedefine/>
    <w:semiHidden/>
    <w:qFormat/>
    <w:locked/>
    <w:uiPriority w:val="99"/>
    <w:rPr>
      <w:rFonts w:ascii="Times New Roman" w:hAnsi="Times New Roman" w:eastAsia="宋体" w:cs="Times New Roman"/>
      <w:sz w:val="20"/>
      <w:szCs w:val="20"/>
      <w:shd w:val="clear" w:color="auto" w:fill="000080"/>
    </w:rPr>
  </w:style>
  <w:style w:type="character" w:customStyle="1" w:styleId="60">
    <w:name w:val="批注文字 Char"/>
    <w:basedOn w:val="39"/>
    <w:link w:val="14"/>
    <w:autoRedefine/>
    <w:semiHidden/>
    <w:qFormat/>
    <w:locked/>
    <w:uiPriority w:val="99"/>
    <w:rPr>
      <w:rFonts w:ascii="Times New Roman" w:hAnsi="Times New Roman" w:eastAsia="宋体" w:cs="Times New Roman"/>
      <w:sz w:val="20"/>
      <w:szCs w:val="20"/>
    </w:rPr>
  </w:style>
  <w:style w:type="character" w:customStyle="1" w:styleId="61">
    <w:name w:val="正文文本 3 Char"/>
    <w:basedOn w:val="39"/>
    <w:link w:val="15"/>
    <w:autoRedefine/>
    <w:qFormat/>
    <w:locked/>
    <w:uiPriority w:val="99"/>
    <w:rPr>
      <w:rFonts w:ascii="Times New Roman" w:hAnsi="Times New Roman" w:eastAsia="宋体" w:cs="Times New Roman"/>
      <w:b/>
      <w:spacing w:val="-20"/>
      <w:w w:val="110"/>
      <w:sz w:val="20"/>
      <w:szCs w:val="20"/>
    </w:rPr>
  </w:style>
  <w:style w:type="character" w:customStyle="1" w:styleId="62">
    <w:name w:val="正文文本 Char"/>
    <w:basedOn w:val="39"/>
    <w:link w:val="16"/>
    <w:autoRedefine/>
    <w:qFormat/>
    <w:locked/>
    <w:uiPriority w:val="99"/>
    <w:rPr>
      <w:rFonts w:ascii="Copperplate Gothic Bold" w:hAnsi="Copperplate Gothic Bold" w:eastAsia="宋体" w:cs="Times New Roman"/>
      <w:sz w:val="20"/>
      <w:szCs w:val="20"/>
    </w:rPr>
  </w:style>
  <w:style w:type="character" w:customStyle="1" w:styleId="63">
    <w:name w:val="正文文本缩进 Char"/>
    <w:basedOn w:val="39"/>
    <w:link w:val="17"/>
    <w:autoRedefine/>
    <w:qFormat/>
    <w:locked/>
    <w:uiPriority w:val="99"/>
    <w:rPr>
      <w:rFonts w:ascii="楷体_GB2312" w:hAnsi="Times New Roman" w:eastAsia="楷体_GB2312" w:cs="Times New Roman"/>
      <w:sz w:val="20"/>
      <w:szCs w:val="20"/>
    </w:rPr>
  </w:style>
  <w:style w:type="character" w:customStyle="1" w:styleId="64">
    <w:name w:val="纯文本 Char"/>
    <w:basedOn w:val="39"/>
    <w:link w:val="20"/>
    <w:autoRedefine/>
    <w:qFormat/>
    <w:locked/>
    <w:uiPriority w:val="99"/>
    <w:rPr>
      <w:rFonts w:ascii="宋体" w:hAnsi="Courier New" w:eastAsia="宋体" w:cs="Times New Roman"/>
      <w:sz w:val="20"/>
      <w:szCs w:val="20"/>
    </w:rPr>
  </w:style>
  <w:style w:type="character" w:customStyle="1" w:styleId="65">
    <w:name w:val="日期 Char"/>
    <w:basedOn w:val="39"/>
    <w:link w:val="21"/>
    <w:autoRedefine/>
    <w:qFormat/>
    <w:locked/>
    <w:uiPriority w:val="99"/>
    <w:rPr>
      <w:rFonts w:ascii="Copperplate Gothic Bold" w:hAnsi="Copperplate Gothic Bold" w:eastAsia="宋体" w:cs="Times New Roman"/>
      <w:sz w:val="20"/>
      <w:szCs w:val="20"/>
    </w:rPr>
  </w:style>
  <w:style w:type="character" w:customStyle="1" w:styleId="66">
    <w:name w:val="正文文本缩进 2 Char"/>
    <w:basedOn w:val="39"/>
    <w:link w:val="22"/>
    <w:autoRedefine/>
    <w:qFormat/>
    <w:locked/>
    <w:uiPriority w:val="99"/>
    <w:rPr>
      <w:rFonts w:ascii="楷体_GB2312" w:hAnsi="Times New Roman" w:eastAsia="楷体_GB2312" w:cs="Times New Roman"/>
      <w:sz w:val="20"/>
      <w:szCs w:val="20"/>
    </w:rPr>
  </w:style>
  <w:style w:type="character" w:customStyle="1" w:styleId="67">
    <w:name w:val="批注框文本 Char"/>
    <w:basedOn w:val="39"/>
    <w:link w:val="23"/>
    <w:autoRedefine/>
    <w:semiHidden/>
    <w:qFormat/>
    <w:locked/>
    <w:uiPriority w:val="99"/>
    <w:rPr>
      <w:rFonts w:ascii="Times New Roman" w:hAnsi="Times New Roman" w:eastAsia="宋体" w:cs="Times New Roman"/>
      <w:sz w:val="18"/>
      <w:szCs w:val="18"/>
    </w:rPr>
  </w:style>
  <w:style w:type="character" w:customStyle="1" w:styleId="68">
    <w:name w:val="页脚 Char"/>
    <w:basedOn w:val="39"/>
    <w:link w:val="24"/>
    <w:autoRedefine/>
    <w:qFormat/>
    <w:locked/>
    <w:uiPriority w:val="99"/>
    <w:rPr>
      <w:rFonts w:cs="Times New Roman"/>
      <w:sz w:val="18"/>
      <w:szCs w:val="18"/>
    </w:rPr>
  </w:style>
  <w:style w:type="character" w:customStyle="1" w:styleId="69">
    <w:name w:val="页眉 Char"/>
    <w:basedOn w:val="39"/>
    <w:link w:val="25"/>
    <w:autoRedefine/>
    <w:qFormat/>
    <w:locked/>
    <w:uiPriority w:val="99"/>
    <w:rPr>
      <w:rFonts w:cs="Times New Roman"/>
      <w:sz w:val="18"/>
      <w:szCs w:val="18"/>
    </w:rPr>
  </w:style>
  <w:style w:type="character" w:customStyle="1" w:styleId="70">
    <w:name w:val="正文文本缩进 3 Char"/>
    <w:basedOn w:val="39"/>
    <w:link w:val="28"/>
    <w:autoRedefine/>
    <w:qFormat/>
    <w:locked/>
    <w:uiPriority w:val="99"/>
    <w:rPr>
      <w:rFonts w:ascii="宋体" w:hAnsi="Copperplate Gothic Bold" w:eastAsia="宋体" w:cs="Times New Roman"/>
      <w:sz w:val="20"/>
      <w:szCs w:val="20"/>
    </w:rPr>
  </w:style>
  <w:style w:type="character" w:customStyle="1" w:styleId="71">
    <w:name w:val="正文文本 2 Char"/>
    <w:basedOn w:val="39"/>
    <w:link w:val="30"/>
    <w:autoRedefine/>
    <w:qFormat/>
    <w:locked/>
    <w:uiPriority w:val="99"/>
    <w:rPr>
      <w:rFonts w:ascii="楷体_GB2312" w:hAnsi="Copperplate Gothic Bold" w:eastAsia="楷体_GB2312" w:cs="Times New Roman"/>
      <w:sz w:val="20"/>
      <w:szCs w:val="20"/>
    </w:rPr>
  </w:style>
  <w:style w:type="character" w:customStyle="1" w:styleId="72">
    <w:name w:val="标题 Char"/>
    <w:basedOn w:val="39"/>
    <w:link w:val="34"/>
    <w:autoRedefine/>
    <w:qFormat/>
    <w:locked/>
    <w:uiPriority w:val="99"/>
    <w:rPr>
      <w:rFonts w:ascii="Arial" w:hAnsi="Arial" w:eastAsia="楷体_GB2312" w:cs="Arial"/>
      <w:b/>
      <w:sz w:val="32"/>
      <w:szCs w:val="32"/>
    </w:rPr>
  </w:style>
  <w:style w:type="paragraph" w:customStyle="1" w:styleId="73">
    <w:name w:val="缺省文本"/>
    <w:basedOn w:val="1"/>
    <w:autoRedefine/>
    <w:qFormat/>
    <w:uiPriority w:val="99"/>
    <w:pPr>
      <w:autoSpaceDE w:val="0"/>
      <w:autoSpaceDN w:val="0"/>
      <w:adjustRightInd w:val="0"/>
      <w:jc w:val="left"/>
    </w:pPr>
    <w:rPr>
      <w:kern w:val="0"/>
      <w:sz w:val="24"/>
    </w:rPr>
  </w:style>
  <w:style w:type="paragraph" w:customStyle="1" w:styleId="74">
    <w:name w:val="??¨???¨????ì?¨¨??¨?o??????ì?¨¨?"/>
    <w:basedOn w:val="1"/>
    <w:autoRedefine/>
    <w:qFormat/>
    <w:uiPriority w:val="99"/>
    <w:pPr>
      <w:autoSpaceDE w:val="0"/>
      <w:autoSpaceDN w:val="0"/>
      <w:adjustRightInd w:val="0"/>
      <w:jc w:val="left"/>
    </w:pPr>
    <w:rPr>
      <w:kern w:val="0"/>
      <w:sz w:val="24"/>
    </w:rPr>
  </w:style>
  <w:style w:type="paragraph" w:customStyle="1" w:styleId="75">
    <w:name w:val="?§?§?¨¤?§o????¨¤?"/>
    <w:basedOn w:val="1"/>
    <w:autoRedefine/>
    <w:qFormat/>
    <w:uiPriority w:val="99"/>
    <w:pPr>
      <w:autoSpaceDE w:val="0"/>
      <w:autoSpaceDN w:val="0"/>
      <w:adjustRightInd w:val="0"/>
      <w:jc w:val="left"/>
    </w:pPr>
    <w:rPr>
      <w:kern w:val="0"/>
      <w:sz w:val="24"/>
    </w:rPr>
  </w:style>
  <w:style w:type="paragraph" w:customStyle="1" w:styleId="76">
    <w:name w:val="正文段"/>
    <w:basedOn w:val="1"/>
    <w:autoRedefine/>
    <w:qFormat/>
    <w:uiPriority w:val="99"/>
    <w:pPr>
      <w:adjustRightInd w:val="0"/>
      <w:snapToGrid w:val="0"/>
      <w:spacing w:line="360" w:lineRule="auto"/>
    </w:pPr>
    <w:rPr>
      <w:rFonts w:eastAsia="仿宋_GB2312"/>
      <w:spacing w:val="-8"/>
      <w:sz w:val="24"/>
    </w:rPr>
  </w:style>
  <w:style w:type="paragraph" w:customStyle="1" w:styleId="77">
    <w:name w:val="Char"/>
    <w:basedOn w:val="12"/>
    <w:next w:val="1"/>
    <w:autoRedefine/>
    <w:qFormat/>
    <w:uiPriority w:val="99"/>
    <w:rPr>
      <w:rFonts w:ascii="Tahoma" w:hAnsi="Tahoma"/>
      <w:sz w:val="24"/>
    </w:rPr>
  </w:style>
  <w:style w:type="paragraph" w:customStyle="1" w:styleId="78">
    <w:name w:val="Char Char Char"/>
    <w:basedOn w:val="1"/>
    <w:autoRedefine/>
    <w:qFormat/>
    <w:uiPriority w:val="99"/>
  </w:style>
  <w:style w:type="paragraph" w:customStyle="1" w:styleId="79">
    <w:name w:val="Char Char Char Char"/>
    <w:basedOn w:val="1"/>
    <w:autoRedefine/>
    <w:qFormat/>
    <w:uiPriority w:val="99"/>
    <w:pPr>
      <w:widowControl/>
      <w:spacing w:after="160" w:line="240" w:lineRule="exact"/>
      <w:jc w:val="center"/>
    </w:pPr>
    <w:rPr>
      <w:rFonts w:ascii="宋体" w:hAnsi="宋体"/>
      <w:b/>
      <w:kern w:val="0"/>
      <w:sz w:val="28"/>
      <w:szCs w:val="28"/>
      <w:lang w:eastAsia="en-US"/>
    </w:rPr>
  </w:style>
  <w:style w:type="paragraph" w:customStyle="1" w:styleId="80">
    <w:name w:val="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81">
    <w:name w:val="文档正文"/>
    <w:basedOn w:val="1"/>
    <w:autoRedefine/>
    <w:qFormat/>
    <w:uiPriority w:val="99"/>
    <w:pPr>
      <w:adjustRightInd w:val="0"/>
      <w:snapToGrid w:val="0"/>
      <w:spacing w:line="440" w:lineRule="exact"/>
      <w:ind w:firstLine="567"/>
      <w:textAlignment w:val="baseline"/>
    </w:pPr>
    <w:rPr>
      <w:rFonts w:ascii="Arial Narrow" w:hAnsi="Arial Narrow"/>
      <w:kern w:val="0"/>
      <w:sz w:val="24"/>
    </w:rPr>
  </w:style>
  <w:style w:type="paragraph" w:customStyle="1" w:styleId="82">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83">
    <w:name w:val="图"/>
    <w:basedOn w:val="1"/>
    <w:next w:val="81"/>
    <w:autoRedefine/>
    <w:qFormat/>
    <w:uiPriority w:val="99"/>
    <w:pPr>
      <w:tabs>
        <w:tab w:val="left" w:pos="1755"/>
      </w:tabs>
      <w:adjustRightInd w:val="0"/>
      <w:spacing w:before="60" w:after="60" w:line="360" w:lineRule="atLeast"/>
      <w:ind w:left="1755" w:hanging="1125"/>
      <w:jc w:val="center"/>
      <w:textAlignment w:val="baseline"/>
    </w:pPr>
    <w:rPr>
      <w:rFonts w:eastAsia="黑体"/>
      <w:b/>
      <w:kern w:val="0"/>
      <w:sz w:val="24"/>
    </w:rPr>
  </w:style>
  <w:style w:type="paragraph" w:customStyle="1" w:styleId="84">
    <w:name w:val="Char1"/>
    <w:basedOn w:val="1"/>
    <w:autoRedefine/>
    <w:qFormat/>
    <w:uiPriority w:val="0"/>
    <w:pPr>
      <w:tabs>
        <w:tab w:val="left" w:pos="360"/>
      </w:tabs>
    </w:pPr>
    <w:rPr>
      <w:sz w:val="24"/>
      <w:szCs w:val="24"/>
    </w:rPr>
  </w:style>
  <w:style w:type="paragraph" w:customStyle="1" w:styleId="85">
    <w:name w:val="Char1 Char Char Char"/>
    <w:basedOn w:val="1"/>
    <w:autoRedefine/>
    <w:qFormat/>
    <w:uiPriority w:val="99"/>
    <w:rPr>
      <w:rFonts w:ascii="Tahoma" w:hAnsi="Tahoma"/>
      <w:szCs w:val="24"/>
    </w:rPr>
  </w:style>
  <w:style w:type="paragraph" w:customStyle="1" w:styleId="86">
    <w:name w:val="1册标题2"/>
    <w:basedOn w:val="1"/>
    <w:next w:val="1"/>
    <w:autoRedefine/>
    <w:qFormat/>
    <w:uiPriority w:val="99"/>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87">
    <w:name w:val="Char Char Char Char1"/>
    <w:basedOn w:val="1"/>
    <w:autoRedefine/>
    <w:qFormat/>
    <w:uiPriority w:val="99"/>
    <w:pPr>
      <w:tabs>
        <w:tab w:val="left" w:pos="360"/>
      </w:tabs>
    </w:pPr>
    <w:rPr>
      <w:sz w:val="24"/>
      <w:szCs w:val="24"/>
    </w:rPr>
  </w:style>
  <w:style w:type="paragraph" w:customStyle="1" w:styleId="88">
    <w:name w:val="pa-11"/>
    <w:basedOn w:val="1"/>
    <w:autoRedefine/>
    <w:qFormat/>
    <w:uiPriority w:val="99"/>
    <w:pPr>
      <w:widowControl/>
      <w:spacing w:line="400" w:lineRule="atLeast"/>
      <w:jc w:val="center"/>
    </w:pPr>
    <w:rPr>
      <w:rFonts w:ascii="宋体" w:hAnsi="宋体" w:cs="宋体"/>
      <w:kern w:val="0"/>
      <w:sz w:val="24"/>
      <w:szCs w:val="24"/>
    </w:rPr>
  </w:style>
  <w:style w:type="paragraph" w:customStyle="1" w:styleId="89">
    <w:name w:val="正文基本样式"/>
    <w:basedOn w:val="1"/>
    <w:autoRedefine/>
    <w:qFormat/>
    <w:uiPriority w:val="99"/>
    <w:pPr>
      <w:spacing w:line="336" w:lineRule="auto"/>
      <w:ind w:firstLine="580"/>
    </w:pPr>
    <w:rPr>
      <w:rFonts w:eastAsia="仿宋_GB2312" w:cs="宋体"/>
      <w:sz w:val="28"/>
    </w:rPr>
  </w:style>
  <w:style w:type="character" w:customStyle="1" w:styleId="90">
    <w:name w:val="base"/>
    <w:basedOn w:val="39"/>
    <w:autoRedefine/>
    <w:qFormat/>
    <w:uiPriority w:val="99"/>
    <w:rPr>
      <w:rFonts w:cs="Times New Roman"/>
    </w:rPr>
  </w:style>
  <w:style w:type="character" w:customStyle="1" w:styleId="91">
    <w:name w:val="unnamed11"/>
    <w:basedOn w:val="39"/>
    <w:autoRedefine/>
    <w:qFormat/>
    <w:uiPriority w:val="99"/>
    <w:rPr>
      <w:rFonts w:cs="Times New Roman"/>
    </w:rPr>
  </w:style>
  <w:style w:type="character" w:customStyle="1" w:styleId="92">
    <w:name w:val="style4"/>
    <w:basedOn w:val="39"/>
    <w:autoRedefine/>
    <w:qFormat/>
    <w:uiPriority w:val="99"/>
    <w:rPr>
      <w:rFonts w:ascii="Arial" w:hAnsi="Arial" w:cs="Arial"/>
      <w:sz w:val="20"/>
      <w:szCs w:val="20"/>
    </w:rPr>
  </w:style>
  <w:style w:type="character" w:customStyle="1" w:styleId="93">
    <w:name w:val="Char Char3"/>
    <w:basedOn w:val="39"/>
    <w:autoRedefine/>
    <w:qFormat/>
    <w:uiPriority w:val="99"/>
    <w:rPr>
      <w:rFonts w:eastAsia="宋体" w:cs="Times New Roman"/>
      <w:kern w:val="2"/>
      <w:sz w:val="18"/>
      <w:lang w:val="en-US" w:eastAsia="zh-CN" w:bidi="ar-SA"/>
    </w:rPr>
  </w:style>
  <w:style w:type="character" w:customStyle="1" w:styleId="94">
    <w:name w:val="正文缩进 Char"/>
    <w:basedOn w:val="39"/>
    <w:link w:val="11"/>
    <w:autoRedefine/>
    <w:qFormat/>
    <w:locked/>
    <w:uiPriority w:val="0"/>
    <w:rPr>
      <w:rFonts w:ascii="Times New Roman" w:hAnsi="Times New Roman" w:eastAsia="宋体" w:cs="Times New Roman"/>
      <w:sz w:val="20"/>
      <w:szCs w:val="20"/>
    </w:rPr>
  </w:style>
  <w:style w:type="character" w:customStyle="1" w:styleId="95">
    <w:name w:val="hui3"/>
    <w:basedOn w:val="39"/>
    <w:autoRedefine/>
    <w:qFormat/>
    <w:uiPriority w:val="99"/>
    <w:rPr>
      <w:rFonts w:cs="Times New Roman"/>
      <w:color w:val="333333"/>
    </w:rPr>
  </w:style>
  <w:style w:type="paragraph" w:customStyle="1" w:styleId="96">
    <w:name w:val="List Paragraph1"/>
    <w:basedOn w:val="1"/>
    <w:autoRedefine/>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97">
    <w:name w:val="Blockquote Char Char"/>
    <w:link w:val="98"/>
    <w:autoRedefine/>
    <w:qFormat/>
    <w:locked/>
    <w:uiPriority w:val="99"/>
    <w:rPr>
      <w:sz w:val="24"/>
    </w:rPr>
  </w:style>
  <w:style w:type="paragraph" w:customStyle="1" w:styleId="98">
    <w:name w:val="Blockquote"/>
    <w:basedOn w:val="1"/>
    <w:link w:val="97"/>
    <w:autoRedefine/>
    <w:qFormat/>
    <w:uiPriority w:val="99"/>
    <w:pPr>
      <w:autoSpaceDE w:val="0"/>
      <w:autoSpaceDN w:val="0"/>
      <w:adjustRightInd w:val="0"/>
      <w:spacing w:before="100" w:after="100"/>
      <w:ind w:left="360" w:right="360"/>
      <w:jc w:val="left"/>
    </w:pPr>
    <w:rPr>
      <w:kern w:val="0"/>
      <w:sz w:val="24"/>
    </w:rPr>
  </w:style>
  <w:style w:type="character" w:customStyle="1" w:styleId="99">
    <w:name w:val="rili11"/>
    <w:autoRedefine/>
    <w:qFormat/>
    <w:uiPriority w:val="99"/>
    <w:rPr>
      <w:sz w:val="21"/>
    </w:rPr>
  </w:style>
  <w:style w:type="character" w:customStyle="1" w:styleId="100">
    <w:name w:val="Char Char Char Char Char Char Char Char Char"/>
    <w:autoRedefine/>
    <w:qFormat/>
    <w:uiPriority w:val="99"/>
    <w:rPr>
      <w:sz w:val="18"/>
    </w:rPr>
  </w:style>
  <w:style w:type="paragraph" w:customStyle="1" w:styleId="101">
    <w:name w:val="Char2"/>
    <w:basedOn w:val="1"/>
    <w:autoRedefine/>
    <w:qFormat/>
    <w:uiPriority w:val="99"/>
    <w:pPr>
      <w:widowControl/>
      <w:spacing w:after="160" w:line="240" w:lineRule="exact"/>
      <w:jc w:val="left"/>
    </w:pPr>
    <w:rPr>
      <w:szCs w:val="24"/>
    </w:rPr>
  </w:style>
  <w:style w:type="paragraph" w:customStyle="1" w:styleId="102">
    <w:name w:val="表格文字"/>
    <w:basedOn w:val="1"/>
    <w:autoRedefine/>
    <w:qFormat/>
    <w:uiPriority w:val="99"/>
    <w:pPr>
      <w:adjustRightInd w:val="0"/>
      <w:spacing w:line="420" w:lineRule="atLeast"/>
      <w:jc w:val="left"/>
      <w:textAlignment w:val="baseline"/>
    </w:pPr>
    <w:rPr>
      <w:kern w:val="0"/>
    </w:rPr>
  </w:style>
  <w:style w:type="paragraph" w:customStyle="1" w:styleId="103">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04">
    <w:name w:val="Char Char1"/>
    <w:basedOn w:val="1"/>
    <w:autoRedefine/>
    <w:qFormat/>
    <w:uiPriority w:val="99"/>
    <w:pPr>
      <w:adjustRightInd w:val="0"/>
      <w:spacing w:line="440" w:lineRule="exact"/>
    </w:pPr>
    <w:rPr>
      <w:rFonts w:ascii="宋体"/>
      <w:kern w:val="0"/>
      <w:sz w:val="28"/>
      <w:szCs w:val="27"/>
    </w:rPr>
  </w:style>
  <w:style w:type="paragraph" w:customStyle="1" w:styleId="105">
    <w:name w:val="Char Char1 Char Char Char Char Char Char Char 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6">
    <w:name w:val="Char Char1 Char Char Char Char Char Char Char Char Char Char Char Char Char1"/>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7">
    <w:name w:val="Char Char Char1"/>
    <w:basedOn w:val="1"/>
    <w:autoRedefine/>
    <w:qFormat/>
    <w:uiPriority w:val="99"/>
    <w:pPr>
      <w:widowControl/>
      <w:spacing w:after="160" w:line="240" w:lineRule="exact"/>
      <w:jc w:val="left"/>
    </w:pPr>
    <w:rPr>
      <w:szCs w:val="24"/>
    </w:rPr>
  </w:style>
  <w:style w:type="paragraph" w:customStyle="1" w:styleId="108">
    <w:name w:val="Char Char Char Char Char Char Char"/>
    <w:basedOn w:val="1"/>
    <w:autoRedefine/>
    <w:qFormat/>
    <w:uiPriority w:val="99"/>
    <w:rPr>
      <w:rFonts w:ascii="Tahoma" w:hAnsi="Tahoma"/>
      <w:sz w:val="24"/>
    </w:rPr>
  </w:style>
  <w:style w:type="paragraph" w:customStyle="1" w:styleId="109">
    <w:name w:val="Char Char Char Char Char Char Char1"/>
    <w:basedOn w:val="1"/>
    <w:autoRedefine/>
    <w:qFormat/>
    <w:uiPriority w:val="99"/>
    <w:rPr>
      <w:rFonts w:ascii="Tahoma" w:hAnsi="Tahoma"/>
      <w:sz w:val="24"/>
      <w:szCs w:val="24"/>
    </w:rPr>
  </w:style>
  <w:style w:type="paragraph" w:customStyle="1" w:styleId="110">
    <w:name w:val="目录"/>
    <w:basedOn w:val="1"/>
    <w:autoRedefine/>
    <w:qFormat/>
    <w:uiPriority w:val="99"/>
    <w:pPr>
      <w:widowControl/>
      <w:jc w:val="center"/>
    </w:pPr>
    <w:rPr>
      <w:rFonts w:ascii="宋体"/>
      <w:b/>
      <w:kern w:val="0"/>
      <w:sz w:val="36"/>
    </w:rPr>
  </w:style>
  <w:style w:type="paragraph" w:customStyle="1" w:styleId="111">
    <w:name w:val="Revision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12">
    <w:name w:val="Char Char Char Char2"/>
    <w:basedOn w:val="1"/>
    <w:autoRedefine/>
    <w:qFormat/>
    <w:uiPriority w:val="99"/>
    <w:pPr>
      <w:widowControl/>
      <w:spacing w:after="160" w:line="240" w:lineRule="exact"/>
      <w:jc w:val="left"/>
    </w:pPr>
    <w:rPr>
      <w:szCs w:val="24"/>
    </w:rPr>
  </w:style>
  <w:style w:type="paragraph" w:customStyle="1" w:styleId="11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14">
    <w:name w:val="列出段落 Char"/>
    <w:link w:val="115"/>
    <w:autoRedefine/>
    <w:qFormat/>
    <w:uiPriority w:val="0"/>
    <w:rPr>
      <w:szCs w:val="24"/>
    </w:rPr>
  </w:style>
  <w:style w:type="paragraph" w:customStyle="1" w:styleId="115">
    <w:name w:val="List Paragraph"/>
    <w:basedOn w:val="1"/>
    <w:link w:val="114"/>
    <w:autoRedefine/>
    <w:qFormat/>
    <w:uiPriority w:val="0"/>
    <w:pPr>
      <w:ind w:firstLine="420" w:firstLineChars="200"/>
    </w:pPr>
    <w:rPr>
      <w:szCs w:val="24"/>
    </w:rPr>
  </w:style>
  <w:style w:type="paragraph" w:customStyle="1" w:styleId="116">
    <w:name w:val="表格"/>
    <w:basedOn w:val="1"/>
    <w:autoRedefine/>
    <w:qFormat/>
    <w:uiPriority w:val="0"/>
    <w:pPr>
      <w:spacing w:line="400" w:lineRule="exact"/>
    </w:pPr>
    <w:rPr>
      <w:sz w:val="24"/>
      <w:szCs w:val="24"/>
    </w:rPr>
  </w:style>
  <w:style w:type="character" w:customStyle="1" w:styleId="117">
    <w:name w:val="font51"/>
    <w:basedOn w:val="39"/>
    <w:autoRedefine/>
    <w:qFormat/>
    <w:uiPriority w:val="0"/>
    <w:rPr>
      <w:rFonts w:hint="eastAsia" w:ascii="宋体" w:hAnsi="宋体" w:eastAsia="宋体" w:cs="宋体"/>
      <w:color w:val="000000"/>
      <w:sz w:val="24"/>
      <w:szCs w:val="24"/>
    </w:rPr>
  </w:style>
  <w:style w:type="paragraph" w:customStyle="1" w:styleId="11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19">
    <w:name w:val="font11"/>
    <w:basedOn w:val="39"/>
    <w:autoRedefine/>
    <w:qFormat/>
    <w:uiPriority w:val="0"/>
    <w:rPr>
      <w:rFonts w:hint="eastAsia" w:ascii="宋体" w:hAnsi="宋体" w:eastAsia="宋体" w:cs="宋体"/>
      <w:b/>
      <w:color w:val="FF0000"/>
      <w:sz w:val="20"/>
      <w:szCs w:val="20"/>
      <w:u w:val="none"/>
    </w:rPr>
  </w:style>
  <w:style w:type="character" w:customStyle="1" w:styleId="120">
    <w:name w:val="font21"/>
    <w:basedOn w:val="39"/>
    <w:autoRedefine/>
    <w:qFormat/>
    <w:uiPriority w:val="0"/>
    <w:rPr>
      <w:rFonts w:hint="eastAsia" w:ascii="宋体" w:hAnsi="宋体" w:eastAsia="宋体" w:cs="宋体"/>
      <w:color w:val="000000"/>
      <w:sz w:val="20"/>
      <w:szCs w:val="20"/>
      <w:u w:val="none"/>
    </w:rPr>
  </w:style>
  <w:style w:type="character" w:customStyle="1" w:styleId="121">
    <w:name w:val="font01"/>
    <w:basedOn w:val="39"/>
    <w:autoRedefine/>
    <w:qFormat/>
    <w:uiPriority w:val="0"/>
    <w:rPr>
      <w:rFonts w:hint="eastAsia" w:ascii="宋体" w:hAnsi="宋体" w:eastAsia="宋体" w:cs="宋体"/>
      <w:b/>
      <w:color w:val="000000"/>
      <w:sz w:val="20"/>
      <w:szCs w:val="20"/>
      <w:u w:val="none"/>
    </w:rPr>
  </w:style>
  <w:style w:type="paragraph" w:customStyle="1" w:styleId="122">
    <w:name w:val="样式 首行缩进:  2 字符"/>
    <w:basedOn w:val="1"/>
    <w:autoRedefine/>
    <w:qFormat/>
    <w:uiPriority w:val="0"/>
    <w:pPr>
      <w:spacing w:line="400" w:lineRule="exact"/>
      <w:ind w:firstLine="200" w:firstLineChars="200"/>
    </w:pPr>
    <w:rPr>
      <w:rFonts w:cs="宋体"/>
      <w:sz w:val="24"/>
    </w:rPr>
  </w:style>
  <w:style w:type="character" w:customStyle="1" w:styleId="123">
    <w:name w:val="font41"/>
    <w:basedOn w:val="39"/>
    <w:autoRedefine/>
    <w:qFormat/>
    <w:uiPriority w:val="0"/>
    <w:rPr>
      <w:rFonts w:hint="default" w:ascii="等线" w:hAnsi="等线" w:eastAsia="等线" w:cs="等线"/>
      <w:color w:val="000000"/>
      <w:sz w:val="22"/>
      <w:szCs w:val="22"/>
      <w:u w:val="none"/>
    </w:rPr>
  </w:style>
  <w:style w:type="paragraph" w:customStyle="1" w:styleId="124">
    <w:name w:val="title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p15"/>
    <w:basedOn w:val="1"/>
    <w:autoRedefine/>
    <w:qFormat/>
    <w:uiPriority w:val="0"/>
    <w:pPr>
      <w:widowControl/>
      <w:spacing w:line="360" w:lineRule="auto"/>
      <w:jc w:val="left"/>
    </w:pPr>
    <w:rPr>
      <w:kern w:val="0"/>
      <w:sz w:val="24"/>
    </w:rPr>
  </w:style>
  <w:style w:type="character" w:customStyle="1" w:styleId="126">
    <w:name w:val="NormalCharacter"/>
    <w:link w:val="127"/>
    <w:autoRedefine/>
    <w:semiHidden/>
    <w:qFormat/>
    <w:locked/>
    <w:uiPriority w:val="99"/>
    <w:rPr>
      <w:kern w:val="0"/>
      <w:sz w:val="24"/>
      <w:szCs w:val="20"/>
    </w:rPr>
  </w:style>
  <w:style w:type="paragraph" w:customStyle="1" w:styleId="127">
    <w:name w:val="UserStyle_85"/>
    <w:basedOn w:val="1"/>
    <w:link w:val="126"/>
    <w:autoRedefine/>
    <w:qFormat/>
    <w:uiPriority w:val="99"/>
    <w:pPr>
      <w:spacing w:after="160" w:line="240" w:lineRule="exact"/>
    </w:pPr>
    <w:rPr>
      <w:kern w:val="0"/>
      <w:sz w:val="24"/>
      <w:szCs w:val="20"/>
    </w:rPr>
  </w:style>
  <w:style w:type="paragraph" w:customStyle="1" w:styleId="128">
    <w:name w:val="Normal_36_0"/>
    <w:autoRedefine/>
    <w:qFormat/>
    <w:uiPriority w:val="99"/>
    <w:pPr>
      <w:spacing w:before="120" w:after="240"/>
      <w:jc w:val="both"/>
    </w:pPr>
    <w:rPr>
      <w:rFonts w:ascii="Calibri" w:hAnsi="Calibri" w:eastAsia="宋体" w:cs="Times New Roman"/>
      <w:sz w:val="22"/>
      <w:szCs w:val="22"/>
      <w:lang w:val="en-US" w:eastAsia="en-US" w:bidi="ar-SA"/>
    </w:rPr>
  </w:style>
  <w:style w:type="paragraph" w:customStyle="1" w:styleId="129">
    <w:name w:val="Normal_37_0"/>
    <w:autoRedefine/>
    <w:qFormat/>
    <w:uiPriority w:val="99"/>
    <w:pPr>
      <w:spacing w:before="120" w:after="240"/>
      <w:jc w:val="both"/>
    </w:pPr>
    <w:rPr>
      <w:rFonts w:ascii="Calibri" w:hAnsi="Calibri" w:eastAsia="宋体" w:cs="Times New Roman"/>
      <w:sz w:val="22"/>
      <w:szCs w:val="22"/>
      <w:lang w:val="en-US" w:eastAsia="en-US" w:bidi="ar-SA"/>
    </w:rPr>
  </w:style>
  <w:style w:type="paragraph" w:customStyle="1" w:styleId="130">
    <w:name w:val="标书正文"/>
    <w:basedOn w:val="1"/>
    <w:autoRedefine/>
    <w:qFormat/>
    <w:uiPriority w:val="0"/>
    <w:pPr>
      <w:tabs>
        <w:tab w:val="left" w:pos="600"/>
      </w:tabs>
      <w:snapToGrid w:val="0"/>
      <w:spacing w:line="480" w:lineRule="atLeast"/>
      <w:jc w:val="center"/>
    </w:pPr>
    <w:rPr>
      <w:rFonts w:eastAsia="黑体"/>
      <w:b/>
      <w:sz w:val="30"/>
      <w:szCs w:val="20"/>
    </w:rPr>
  </w:style>
  <w:style w:type="paragraph" w:customStyle="1" w:styleId="131">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132">
    <w:name w:val="phone"/>
    <w:basedOn w:val="39"/>
    <w:autoRedefine/>
    <w:qFormat/>
    <w:uiPriority w:val="0"/>
    <w:rPr>
      <w:color w:val="FF8833"/>
      <w:sz w:val="18"/>
      <w:szCs w:val="18"/>
    </w:rPr>
  </w:style>
  <w:style w:type="character" w:customStyle="1" w:styleId="133">
    <w:name w:val="proollist"/>
    <w:basedOn w:val="39"/>
    <w:autoRedefine/>
    <w:qFormat/>
    <w:uiPriority w:val="0"/>
  </w:style>
  <w:style w:type="character" w:customStyle="1" w:styleId="134">
    <w:name w:val="number"/>
    <w:basedOn w:val="39"/>
    <w:autoRedefine/>
    <w:qFormat/>
    <w:uiPriority w:val="0"/>
    <w:rPr>
      <w:color w:val="FF8833"/>
      <w:sz w:val="18"/>
      <w:szCs w:val="18"/>
    </w:rPr>
  </w:style>
  <w:style w:type="character" w:customStyle="1" w:styleId="135">
    <w:name w:val="stclosebtn"/>
    <w:basedOn w:val="39"/>
    <w:autoRedefine/>
    <w:qFormat/>
    <w:uiPriority w:val="0"/>
  </w:style>
  <w:style w:type="character" w:customStyle="1" w:styleId="136">
    <w:name w:val="beforeinfotext"/>
    <w:basedOn w:val="39"/>
    <w:autoRedefine/>
    <w:qFormat/>
    <w:uiPriority w:val="0"/>
    <w:rPr>
      <w:color w:val="666666"/>
    </w:rPr>
  </w:style>
  <w:style w:type="paragraph" w:customStyle="1" w:styleId="137">
    <w:name w:val="样式 标题 3 + (中文) 黑体 小四 非加粗 段前: 7.8 磅 段后: 0 磅 行距: 固定值 20 磅"/>
    <w:basedOn w:val="4"/>
    <w:autoRedefine/>
    <w:qFormat/>
    <w:uiPriority w:val="0"/>
    <w:pPr>
      <w:spacing w:before="0" w:after="0" w:line="400" w:lineRule="exact"/>
    </w:pPr>
    <w:rPr>
      <w:rFonts w:eastAsia="黑体" w:cs="宋体"/>
      <w:sz w:val="24"/>
      <w:szCs w:val="20"/>
    </w:rPr>
  </w:style>
  <w:style w:type="paragraph" w:customStyle="1" w:styleId="138">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无间隔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40">
    <w:name w:val="a"/>
    <w:basedOn w:val="1"/>
    <w:autoRedefine/>
    <w:qFormat/>
    <w:uiPriority w:val="0"/>
    <w:pPr>
      <w:widowControl/>
      <w:spacing w:before="100" w:beforeAutospacing="1" w:after="100" w:afterAutospacing="1"/>
      <w:jc w:val="left"/>
    </w:pPr>
    <w:rPr>
      <w:rFonts w:ascii="宋体" w:cs="宋体"/>
      <w:kern w:val="0"/>
    </w:rPr>
  </w:style>
  <w:style w:type="paragraph" w:customStyle="1" w:styleId="141">
    <w:name w:val="a0"/>
    <w:basedOn w:val="1"/>
    <w:autoRedefine/>
    <w:qFormat/>
    <w:uiPriority w:val="0"/>
    <w:pPr>
      <w:widowControl/>
      <w:spacing w:before="100" w:beforeAutospacing="1" w:after="100" w:afterAutospacing="1"/>
      <w:jc w:val="left"/>
    </w:pPr>
    <w:rPr>
      <w:rFonts w:ascii="宋体" w:cs="宋体"/>
      <w:kern w:val="0"/>
    </w:rPr>
  </w:style>
  <w:style w:type="paragraph" w:customStyle="1" w:styleId="142">
    <w:name w:val="Table Text"/>
    <w:basedOn w:val="1"/>
    <w:semiHidden/>
    <w:qFormat/>
    <w:uiPriority w:val="0"/>
    <w:rPr>
      <w:rFonts w:ascii="宋体" w:hAnsi="宋体" w:eastAsia="宋体" w:cs="宋体"/>
      <w:sz w:val="19"/>
      <w:szCs w:val="19"/>
      <w:lang w:val="en-US" w:eastAsia="en-US" w:bidi="ar-SA"/>
    </w:rPr>
  </w:style>
  <w:style w:type="paragraph" w:customStyle="1" w:styleId="143">
    <w:name w:val="Body Text First Indent 21"/>
    <w:basedOn w:val="144"/>
    <w:next w:val="1"/>
    <w:qFormat/>
    <w:uiPriority w:val="0"/>
    <w:pPr>
      <w:ind w:firstLine="420" w:firstLineChars="200"/>
    </w:pPr>
  </w:style>
  <w:style w:type="paragraph" w:customStyle="1" w:styleId="144">
    <w:name w:val="Body Text Indent1"/>
    <w:basedOn w:val="1"/>
    <w:qFormat/>
    <w:uiPriority w:val="0"/>
    <w:pPr>
      <w:spacing w:line="500" w:lineRule="exact"/>
      <w:ind w:left="0" w:leftChars="0" w:firstLine="880" w:firstLineChars="200"/>
    </w:pPr>
    <w:rPr>
      <w:rFonts w:ascii="Times New Roman" w:hAnsi="Times New Roman" w:eastAsia="宋体" w:cs="Times New Roman"/>
      <w:szCs w:val="20"/>
    </w:rPr>
  </w:style>
  <w:style w:type="paragraph" w:customStyle="1" w:styleId="145">
    <w:name w:val="正文缩进1"/>
    <w:basedOn w:val="1"/>
    <w:autoRedefine/>
    <w:qFormat/>
    <w:uiPriority w:val="0"/>
    <w:pPr>
      <w:ind w:firstLine="420" w:firstLineChars="200"/>
    </w:pPr>
  </w:style>
  <w:style w:type="paragraph" w:customStyle="1" w:styleId="146">
    <w:name w:val="null3"/>
    <w:qFormat/>
    <w:uiPriority w:val="0"/>
    <w:rPr>
      <w:rFonts w:hint="eastAsia" w:ascii="Calibri" w:hAnsi="Calibri" w:eastAsia="宋体" w:cs="Times New Roman"/>
      <w:lang w:val="en-US" w:eastAsia="zh-Hans"/>
    </w:rPr>
  </w:style>
  <w:style w:type="table" w:customStyle="1" w:styleId="14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DA8C56-56B8-4650-81B4-34FD7A2E23D0}">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85</Pages>
  <Words>23751</Words>
  <Characters>25442</Characters>
  <Lines>257</Lines>
  <Paragraphs>72</Paragraphs>
  <TotalTime>1327</TotalTime>
  <ScaleCrop>false</ScaleCrop>
  <LinksUpToDate>false</LinksUpToDate>
  <CharactersWithSpaces>25712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2017-10-30T07:32:00Z</dcterms:created>
  <dc:creator>Administrator</dc:creator>
  <cp:lastModifiedBy>Lulu^</cp:lastModifiedBy>
  <cp:lastPrinted>2026-08-03T07:33:00Z</cp:lastPrinted>
  <dcterms:modified xsi:type="dcterms:W3CDTF">2026-08-05T04:02:14Z</dcterms:modified>
  <dc:title>_                                    招标编号：ZD0814-013Z</dc:title>
  <cp:revision>340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5B36F67F040941238C8B421A66B6D221_13</vt:lpwstr>
  </property>
  <property fmtid="{D5CDD505-2E9C-101B-9397-08002B2CF9AE}" pid="4" name="KSOTemplateDocerSaveRecord">
    <vt:lpwstr>eyJoZGlkIjoiN2YwNDUyN2NiYzUyYzU4NWM4YzZlNWQwMzJhMzEzYmYiLCJ1c2VySWQiOiI5MjQ1OTQ4MjcifQ==</vt:lpwstr>
  </property>
</Properties>
</file>