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版本号：KY2026-1-31420260506001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西咸院区2026-2028年度直饮水设备采购项目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KY2026-1-314</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西咸院区2026-2028年度直饮水设备采购项目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KY2026-1-314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西咸院区2026-2028年度直饮水设备采购项目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陕西中医药大学第二附属医院西咸院区2026-2028年度直饮水设备采购项目，1批，具体内容详见招标文件第三章。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西咸新区沣西新城龙台观路831号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采购包1：1,562,600.00元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代理服务费收费标准：交费金额参照国家计委颁布的《招标代理服务收费管理暂行办法》（计价格[2002]1980号）规定的招标代理服务收费标准下浮50%收取。本项目代理服务费按货物计取。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联系人：杭琨、丁嘉伟</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陕西中医药大学第二附属医院西咸院区2026-2028年度直饮水设备采购项目，1批，具体内容详见采购需求。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1,562,600.00</w:t>
      </w:r>
    </w:p>
    <w:p>
      <w:pPr>
        <w:pStyle w:val="null3"/>
      </w:pPr>
      <w:r>
        <w:rPr>
          <w:rFonts w:ascii="仿宋_GB2312" w:hAnsi="仿宋_GB2312" w:cs="仿宋_GB2312" w:eastAsia="仿宋_GB2312"/>
        </w:rPr>
        <w:t>采购包最高限价（元）: 1,562,600.00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饮水器</w:t>
            </w:r>
          </w:p>
        </w:tc>
        <w:tc>
          <w:tcPr>
            <w:tcW w:type="dxa" w:w="831"/>
          </w:tcPr>
          <w:p>
            <w:pPr>
              <w:pStyle w:val="null3"/>
              <w:jc w:val="right"/>
            </w:pPr>
            <w:r>
              <w:rPr>
                <w:rFonts w:ascii="仿宋_GB2312" w:hAnsi="仿宋_GB2312" w:cs="仿宋_GB2312" w:eastAsia="仿宋_GB2312"/>
              </w:rPr>
              <w:t>336.00</w:t>
            </w:r>
          </w:p>
        </w:tc>
        <w:tc>
          <w:tcPr>
            <w:tcW w:type="dxa" w:w="831"/>
          </w:tcPr>
          <w:p>
            <w:pPr>
              <w:pStyle w:val="null3"/>
              <w:jc w:val="right"/>
            </w:pPr>
            <w:r>
              <w:rPr>
                <w:rFonts w:ascii="仿宋_GB2312" w:hAnsi="仿宋_GB2312" w:cs="仿宋_GB2312" w:eastAsia="仿宋_GB2312"/>
              </w:rPr>
              <w:t>1,562,600.00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标的名称：饮水器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50"/>
              <w:jc w:val="both"/>
            </w:pPr>
            <w:r>
              <w:rPr>
                <w:rFonts w:ascii="仿宋_GB2312" w:hAnsi="仿宋_GB2312" w:cs="仿宋_GB2312" w:eastAsia="仿宋_GB2312"/>
                <w:b/>
              </w:rPr>
              <w:t xml:space="preserve">  </w:t>
            </w:r>
            <w:r>
              <w:rPr>
                <w:rFonts w:ascii="仿宋_GB2312" w:hAnsi="仿宋_GB2312" w:cs="仿宋_GB2312" w:eastAsia="仿宋_GB2312"/>
                <w:sz w:val="27"/>
              </w:rPr>
              <w:t>因系统原因，本项目限价详见采购清单。</w:t>
            </w:r>
          </w:p>
          <w:p>
            <w:pPr>
              <w:pStyle w:val="null3"/>
              <w:spacing w:before="315" w:after="150"/>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188"/>
              <w:gridCol w:w="504"/>
              <w:gridCol w:w="215"/>
              <w:gridCol w:w="327"/>
              <w:gridCol w:w="361"/>
              <w:gridCol w:w="654"/>
              <w:gridCol w:w="288"/>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暂定数量</w:t>
                  </w:r>
                </w:p>
                <w:p>
                  <w:pPr>
                    <w:pStyle w:val="null3"/>
                    <w:jc w:val="center"/>
                  </w:pPr>
                  <w:r>
                    <w:rPr>
                      <w:rFonts w:ascii="仿宋_GB2312" w:hAnsi="仿宋_GB2312" w:cs="仿宋_GB2312" w:eastAsia="仿宋_GB2312"/>
                      <w:sz w:val="24"/>
                      <w:b/>
                    </w:rPr>
                    <w:t>（台）</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限价</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元</w:t>
                  </w:r>
                  <w:r>
                    <w:rPr>
                      <w:rFonts w:ascii="仿宋_GB2312" w:hAnsi="仿宋_GB2312" w:cs="仿宋_GB2312" w:eastAsia="仿宋_GB2312"/>
                      <w:sz w:val="24"/>
                      <w:b/>
                    </w:rPr>
                    <w:t>/台）</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使用科室</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纯制水主机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行政、教学、特需病区</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步进式直饮机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11000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门诊公区、普通病区</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一体式直饮机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149</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5400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医护办公</w:t>
                  </w:r>
                  <w:r>
                    <w:rPr>
                      <w:rFonts w:ascii="仿宋_GB2312" w:hAnsi="仿宋_GB2312" w:cs="仿宋_GB2312" w:eastAsia="仿宋_GB2312"/>
                      <w:sz w:val="24"/>
                    </w:rPr>
                    <w:t>/休息区、小范围饮水</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w:t>
                  </w:r>
                </w:p>
                <w:p>
                  <w:pPr>
                    <w:pStyle w:val="null3"/>
                    <w:jc w:val="center"/>
                  </w:pPr>
                  <w:r>
                    <w:rPr>
                      <w:rFonts w:ascii="仿宋_GB2312" w:hAnsi="仿宋_GB2312" w:cs="仿宋_GB2312" w:eastAsia="仿宋_GB2312"/>
                      <w:sz w:val="24"/>
                      <w:b/>
                    </w:rPr>
                    <w:t>产品</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立式加热分机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壁挂加热分机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1、项目总预算包含设备采购费用、2年整机质保（包含维修所需材料）、全部管线更换费用、</w:t>
                  </w:r>
                  <w:r>
                    <w:rPr>
                      <w:rFonts w:ascii="仿宋_GB2312" w:hAnsi="仿宋_GB2312" w:cs="仿宋_GB2312" w:eastAsia="仿宋_GB2312"/>
                      <w:sz w:val="24"/>
                    </w:rPr>
                    <w:t>制水主机整套</w:t>
                  </w:r>
                  <w:r>
                    <w:rPr>
                      <w:rFonts w:ascii="仿宋_GB2312" w:hAnsi="仿宋_GB2312" w:cs="仿宋_GB2312" w:eastAsia="仿宋_GB2312"/>
                      <w:sz w:val="24"/>
                    </w:rPr>
                    <w:t>滤芯</w:t>
                  </w:r>
                  <w:r>
                    <w:rPr>
                      <w:rFonts w:ascii="仿宋_GB2312" w:hAnsi="仿宋_GB2312" w:cs="仿宋_GB2312" w:eastAsia="仿宋_GB2312"/>
                      <w:sz w:val="24"/>
                    </w:rPr>
                    <w:t>更换不少于</w:t>
                  </w:r>
                  <w:r>
                    <w:rPr>
                      <w:rFonts w:ascii="仿宋_GB2312" w:hAnsi="仿宋_GB2312" w:cs="仿宋_GB2312" w:eastAsia="仿宋_GB2312"/>
                      <w:sz w:val="24"/>
                    </w:rPr>
                    <w:t>2次</w:t>
                  </w:r>
                  <w:r>
                    <w:rPr>
                      <w:rFonts w:ascii="仿宋_GB2312" w:hAnsi="仿宋_GB2312" w:cs="仿宋_GB2312" w:eastAsia="仿宋_GB2312"/>
                      <w:sz w:val="24"/>
                    </w:rPr>
                    <w:t>、人工（包含</w:t>
                  </w:r>
                  <w:r>
                    <w:rPr>
                      <w:rFonts w:ascii="仿宋_GB2312" w:hAnsi="仿宋_GB2312" w:cs="仿宋_GB2312" w:eastAsia="仿宋_GB2312"/>
                      <w:sz w:val="24"/>
                    </w:rPr>
                    <w:t>24小时驻场人员，原有设备的拆除及新设备安装调试）、运输、培训、税费等所有费用。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2、现有立式加热分机30台、壁挂加热分机331台，无后台锁定和计时功能，全部采用利旧，增加分机或无法维修的更换安装分机据实结算</w:t>
                  </w:r>
                  <w:r>
                    <w:rPr>
                      <w:rFonts w:ascii="仿宋_GB2312" w:hAnsi="仿宋_GB2312" w:cs="仿宋_GB2312" w:eastAsia="仿宋_GB2312"/>
                      <w:sz w:val="24"/>
                    </w:rPr>
                    <w:t>，另外需对所有制水主机（纯制水主机、一体式直饮机）与</w:t>
                  </w:r>
                  <w:r>
                    <w:rPr>
                      <w:rFonts w:ascii="仿宋_GB2312" w:hAnsi="仿宋_GB2312" w:cs="仿宋_GB2312" w:eastAsia="仿宋_GB2312"/>
                      <w:sz w:val="24"/>
                    </w:rPr>
                    <w:t>361台</w:t>
                  </w:r>
                  <w:r>
                    <w:rPr>
                      <w:rFonts w:ascii="仿宋_GB2312" w:hAnsi="仿宋_GB2312" w:cs="仿宋_GB2312" w:eastAsia="仿宋_GB2312"/>
                      <w:sz w:val="24"/>
                    </w:rPr>
                    <w:t>分机之间水路管线全部进行更换</w:t>
                  </w:r>
                  <w:r>
                    <w:rPr>
                      <w:rFonts w:ascii="仿宋_GB2312" w:hAnsi="仿宋_GB2312" w:cs="仿宋_GB2312" w:eastAsia="仿宋_GB2312"/>
                      <w:sz w:val="24"/>
                    </w:rPr>
                    <w:t>。</w:t>
                  </w:r>
                </w:p>
              </w:tc>
            </w:tr>
          </w:tbl>
          <w:p>
            <w:pPr>
              <w:pStyle w:val="null3"/>
              <w:spacing w:before="315" w:after="150"/>
              <w:jc w:val="both"/>
            </w:pPr>
            <w:r>
              <w:rPr>
                <w:rFonts w:ascii="仿宋_GB2312" w:hAnsi="仿宋_GB2312" w:cs="仿宋_GB2312" w:eastAsia="仿宋_GB2312"/>
                <w:sz w:val="28"/>
                <w:b/>
              </w:rPr>
              <w:t>二、总体要求</w:t>
            </w:r>
          </w:p>
          <w:p>
            <w:pPr>
              <w:pStyle w:val="null3"/>
              <w:jc w:val="both"/>
            </w:pPr>
            <w:r>
              <w:rPr>
                <w:rFonts w:ascii="仿宋_GB2312" w:hAnsi="仿宋_GB2312" w:cs="仿宋_GB2312" w:eastAsia="仿宋_GB2312"/>
                <w:sz w:val="24"/>
              </w:rPr>
              <w:t>1.本项目所投直饮净水机必须全新、原厂原装、未拆封、符合国家及行业标准，满足医院公共饮水安全、院感防控、24小时连续供水需求。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2.所有产品必须具备国家卫生健康部门涉及饮用水卫生安全产品卫生许可批件，并提供有效证明文件。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制水主机</w:t>
            </w:r>
            <w:r>
              <w:rPr>
                <w:rFonts w:ascii="仿宋_GB2312" w:hAnsi="仿宋_GB2312" w:cs="仿宋_GB2312" w:eastAsia="仿宋_GB2312"/>
                <w:sz w:val="24"/>
              </w:rPr>
              <w:t>涉水部件均采用食品级</w:t>
            </w:r>
            <w:r>
              <w:rPr>
                <w:rFonts w:ascii="仿宋_GB2312" w:hAnsi="仿宋_GB2312" w:cs="仿宋_GB2312" w:eastAsia="仿宋_GB2312"/>
                <w:sz w:val="24"/>
              </w:rPr>
              <w:t>304/316</w:t>
            </w:r>
            <w:r>
              <w:rPr>
                <w:rFonts w:ascii="仿宋_GB2312" w:hAnsi="仿宋_GB2312" w:cs="仿宋_GB2312" w:eastAsia="仿宋_GB2312"/>
                <w:sz w:val="24"/>
              </w:rPr>
              <w:t>不锈钢或符合食品接触标准材质，热胆、加热管等必须采用不锈钢材质，制水主机与分机之间水路管线采用不低于食品级</w:t>
            </w:r>
            <w:r>
              <w:rPr>
                <w:rFonts w:ascii="仿宋_GB2312" w:hAnsi="仿宋_GB2312" w:cs="仿宋_GB2312" w:eastAsia="仿宋_GB2312"/>
                <w:sz w:val="24"/>
              </w:rPr>
              <w:t>PE</w:t>
            </w:r>
            <w:r>
              <w:rPr>
                <w:rFonts w:ascii="仿宋_GB2312" w:hAnsi="仿宋_GB2312" w:cs="仿宋_GB2312" w:eastAsia="仿宋_GB2312"/>
                <w:sz w:val="24"/>
              </w:rPr>
              <w:t>管等材质。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.整机设计符合医院环境：静音、抗菌、易清洁、防交叉感染。具备全自动运行功能，支持缺水保护、高压保护、漏水保护、水满停机、水质异常报警，支持24小时无人值守。</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本项目进水水质为市政自来水，</w:t>
            </w:r>
            <w:r>
              <w:rPr>
                <w:rFonts w:ascii="仿宋_GB2312" w:hAnsi="仿宋_GB2312" w:cs="仿宋_GB2312" w:eastAsia="仿宋_GB2312"/>
                <w:sz w:val="24"/>
              </w:rPr>
              <w:t>水质符合《生活饮用水卫生标准》</w:t>
            </w:r>
            <w:r>
              <w:rPr>
                <w:rFonts w:ascii="仿宋_GB2312" w:hAnsi="仿宋_GB2312" w:cs="仿宋_GB2312" w:eastAsia="仿宋_GB2312"/>
                <w:sz w:val="24"/>
              </w:rPr>
              <w:t>GB 5749-2022</w:t>
            </w:r>
            <w:r>
              <w:rPr>
                <w:rFonts w:ascii="仿宋_GB2312" w:hAnsi="仿宋_GB2312" w:cs="仿宋_GB2312" w:eastAsia="仿宋_GB2312"/>
                <w:sz w:val="24"/>
              </w:rPr>
              <w:t>，直饮水设备出水水质要求符合</w:t>
            </w:r>
            <w:r>
              <w:rPr>
                <w:rFonts w:ascii="仿宋_GB2312" w:hAnsi="仿宋_GB2312" w:cs="仿宋_GB2312" w:eastAsia="仿宋_GB2312"/>
                <w:sz w:val="24"/>
              </w:rPr>
              <w:t>《生活饮用水卫生标准》</w:t>
            </w:r>
            <w:r>
              <w:rPr>
                <w:rFonts w:ascii="仿宋_GB2312" w:hAnsi="仿宋_GB2312" w:cs="仿宋_GB2312" w:eastAsia="仿宋_GB2312"/>
                <w:sz w:val="24"/>
              </w:rPr>
              <w:t>GB 5749-2022</w:t>
            </w:r>
            <w:r>
              <w:rPr>
                <w:rFonts w:ascii="仿宋_GB2312" w:hAnsi="仿宋_GB2312" w:cs="仿宋_GB2312" w:eastAsia="仿宋_GB2312"/>
                <w:sz w:val="24"/>
              </w:rPr>
              <w:t>、</w:t>
            </w:r>
            <w:r>
              <w:rPr>
                <w:rFonts w:ascii="仿宋_GB2312" w:hAnsi="仿宋_GB2312" w:cs="仿宋_GB2312" w:eastAsia="仿宋_GB2312"/>
                <w:sz w:val="24"/>
              </w:rPr>
              <w:t>《饮用净水水质标准》</w:t>
            </w:r>
            <w:r>
              <w:rPr>
                <w:rFonts w:ascii="仿宋_GB2312" w:hAnsi="仿宋_GB2312" w:cs="仿宋_GB2312" w:eastAsia="仿宋_GB2312"/>
                <w:sz w:val="24"/>
              </w:rPr>
              <w:t>CJ 94</w:t>
            </w:r>
            <w:r>
              <w:rPr>
                <w:rFonts w:ascii="仿宋_GB2312" w:hAnsi="仿宋_GB2312" w:cs="仿宋_GB2312" w:eastAsia="仿宋_GB2312"/>
                <w:sz w:val="24"/>
              </w:rPr>
              <w:t>等相关国家及行业标准规定，</w:t>
            </w:r>
            <w:r>
              <w:rPr>
                <w:rFonts w:ascii="仿宋_GB2312" w:hAnsi="仿宋_GB2312" w:cs="仿宋_GB2312" w:eastAsia="仿宋_GB2312"/>
                <w:sz w:val="24"/>
              </w:rPr>
              <w:t>TDS</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.成交供应商须承诺，本项目在质保期结束后，确保采购人在后期使用中无后台锁定、时间限制、特殊零配件等任何形式的限制，且滤芯为市面可采购安装的通用滤芯规格。</w:t>
            </w:r>
          </w:p>
          <w:p>
            <w:pPr>
              <w:pStyle w:val="null3"/>
              <w:spacing w:before="315" w:after="150"/>
              <w:jc w:val="both"/>
            </w:pPr>
            <w:r>
              <w:rPr>
                <w:rFonts w:ascii="仿宋_GB2312" w:hAnsi="仿宋_GB2312" w:cs="仿宋_GB2312" w:eastAsia="仿宋_GB2312"/>
                <w:sz w:val="28"/>
                <w:b/>
              </w:rPr>
              <w:t>三、技术要求</w:t>
            </w:r>
          </w:p>
          <w:tbl>
            <w:tblPr>
              <w:tblBorders>
                <w:top w:val="none" w:color="000000" w:sz="4"/>
                <w:left w:val="none" w:color="000000" w:sz="4"/>
                <w:bottom w:val="none" w:color="000000" w:sz="4"/>
                <w:right w:val="none" w:color="000000" w:sz="4"/>
                <w:insideH w:val="none"/>
                <w:insideV w:val="none"/>
              </w:tblBorders>
            </w:tblPr>
            <w:tblGrid>
              <w:gridCol w:w="354"/>
              <w:gridCol w:w="633"/>
              <w:gridCol w:w="1560"/>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类型</w:t>
                  </w:r>
                </w:p>
              </w:tc>
              <w:tc>
                <w:tcPr>
                  <w:tcW w:type="dxa" w:w="219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技术要求</w:t>
                  </w:r>
                </w:p>
              </w:tc>
            </w:tr>
            <w:tr>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纯制水主机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水效等级</w:t>
                  </w:r>
                </w:p>
              </w:tc>
              <w:tc>
                <w:tcPr>
                  <w:tcW w:type="dxa" w:w="1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一级</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净水产水率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≥65%</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额定总净水量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≥12000L</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100-150W</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净水流量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≥120L/h</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过滤工艺</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过滤</w:t>
                  </w:r>
                  <w:r>
                    <w:rPr>
                      <w:rFonts w:ascii="仿宋_GB2312" w:hAnsi="仿宋_GB2312" w:cs="仿宋_GB2312" w:eastAsia="仿宋_GB2312"/>
                      <w:sz w:val="22"/>
                      <w:color w:val="000000"/>
                    </w:rPr>
                    <w:t>≥四级，膜通量≥800G</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压力罐</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压力罐</w:t>
                  </w:r>
                  <w:r>
                    <w:rPr>
                      <w:rFonts w:ascii="仿宋_GB2312" w:hAnsi="仿宋_GB2312" w:cs="仿宋_GB2312" w:eastAsia="仿宋_GB2312"/>
                      <w:sz w:val="22"/>
                      <w:color w:val="000000"/>
                    </w:rPr>
                    <w:t>≥10G，具有增压功能，满足高峰期至少25台分机同时出水，且保证远端分机水流量。</w:t>
                  </w:r>
                </w:p>
              </w:tc>
            </w:tr>
            <w:tr>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步进式直饮机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水效等级</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一级</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净水产水率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≥65%</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额定总净水量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≥5000L</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2800-3200W</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热水制水量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≥30L/h</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净水流量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≥60L/h</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杀菌方式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UV紫外线杀菌、高温管路杀菌</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过滤工艺</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过滤</w:t>
                  </w:r>
                  <w:r>
                    <w:rPr>
                      <w:rFonts w:ascii="仿宋_GB2312" w:hAnsi="仿宋_GB2312" w:cs="仿宋_GB2312" w:eastAsia="仿宋_GB2312"/>
                      <w:sz w:val="22"/>
                      <w:color w:val="000000"/>
                    </w:rPr>
                    <w:t>≥四级，膜通量≥400G</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水胆容量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热胆容量</w:t>
                  </w:r>
                  <w:r>
                    <w:rPr>
                      <w:rFonts w:ascii="仿宋_GB2312" w:hAnsi="仿宋_GB2312" w:cs="仿宋_GB2312" w:eastAsia="仿宋_GB2312"/>
                      <w:sz w:val="22"/>
                      <w:color w:val="000000"/>
                    </w:rPr>
                    <w:t>≥30L，不锈钢材质</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液晶屏幕</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水温、</w:t>
                  </w:r>
                  <w:r>
                    <w:rPr>
                      <w:rFonts w:ascii="仿宋_GB2312" w:hAnsi="仿宋_GB2312" w:cs="仿宋_GB2312" w:eastAsia="仿宋_GB2312"/>
                      <w:sz w:val="22"/>
                      <w:color w:val="000000"/>
                    </w:rPr>
                    <w:t>TDS、滤芯状态等</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出水形式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热水、常温水</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步进式加热，防干烧、防漏电、防溢水、童锁</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其他功能</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具备节能模式</w:t>
                  </w:r>
                </w:p>
              </w:tc>
            </w:tr>
            <w:tr>
              <w:tc>
                <w:tcPr>
                  <w:tcW w:type="dxa" w:w="35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一体式直饮机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水效等级</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一级或二级</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净水产水率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≥55%</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额定总净水量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≥2000L</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1500-2300W</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热水制水量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≥20L/h</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净水流量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≥10L/h</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杀菌方式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UV紫外线杀菌、高温管路杀菌</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过滤工艺</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过滤</w:t>
                  </w:r>
                  <w:r>
                    <w:rPr>
                      <w:rFonts w:ascii="仿宋_GB2312" w:hAnsi="仿宋_GB2312" w:cs="仿宋_GB2312" w:eastAsia="仿宋_GB2312"/>
                      <w:sz w:val="22"/>
                      <w:color w:val="000000"/>
                    </w:rPr>
                    <w:t>≥四级，膜通量≥75G</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水胆容量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热胆容量</w:t>
                  </w:r>
                  <w:r>
                    <w:rPr>
                      <w:rFonts w:ascii="仿宋_GB2312" w:hAnsi="仿宋_GB2312" w:cs="仿宋_GB2312" w:eastAsia="仿宋_GB2312"/>
                      <w:sz w:val="22"/>
                      <w:color w:val="000000"/>
                    </w:rPr>
                    <w:t>≥5L，不锈钢材质</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液晶屏幕</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水温、</w:t>
                  </w:r>
                  <w:r>
                    <w:rPr>
                      <w:rFonts w:ascii="仿宋_GB2312" w:hAnsi="仿宋_GB2312" w:cs="仿宋_GB2312" w:eastAsia="仿宋_GB2312"/>
                      <w:sz w:val="22"/>
                      <w:color w:val="000000"/>
                    </w:rPr>
                    <w:t>TDS、滤芯状态</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出水形式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热水、常温水</w:t>
                  </w:r>
                </w:p>
              </w:tc>
            </w:tr>
            <w:tr>
              <w:tc>
                <w:tcPr>
                  <w:tcW w:type="dxa" w:w="354"/>
                  <w:vMerge/>
                  <w:tcBorders>
                    <w:top w:val="none" w:color="000000" w:sz="4"/>
                    <w:left w:val="single" w:color="000000" w:sz="4"/>
                    <w:bottom w:val="non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防干烧、防漏电、防溢水、童锁</w:t>
                  </w:r>
                </w:p>
              </w:tc>
            </w:tr>
            <w:tr>
              <w:tc>
                <w:tcPr>
                  <w:tcW w:type="dxa" w:w="354"/>
                  <w:vMerge/>
                  <w:tcBorders>
                    <w:top w:val="none" w:color="000000" w:sz="4"/>
                    <w:left w:val="single" w:color="000000" w:sz="4"/>
                    <w:bottom w:val="none" w:color="000000" w:sz="4"/>
                    <w:right w:val="single" w:color="000000" w:sz="4"/>
                  </w:tcBorders>
                </w:tcPr>
                <w:p/>
              </w:tc>
              <w:tc>
                <w:tcPr>
                  <w:tcW w:type="dxa" w:w="63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其他功能</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1、具备节能模式</w:t>
                  </w:r>
                </w:p>
              </w:tc>
            </w:tr>
            <w:tr>
              <w:tc>
                <w:tcPr>
                  <w:tcW w:type="dxa" w:w="354"/>
                  <w:vMerge/>
                  <w:tcBorders>
                    <w:top w:val="none" w:color="000000" w:sz="4"/>
                    <w:left w:val="single" w:color="000000" w:sz="4"/>
                    <w:bottom w:val="none" w:color="000000" w:sz="4"/>
                    <w:right w:val="single" w:color="000000" w:sz="4"/>
                  </w:tcBorders>
                </w:tcPr>
                <w:p/>
              </w:tc>
              <w:tc>
                <w:tcPr>
                  <w:tcW w:type="dxa" w:w="633"/>
                  <w:vMerge/>
                  <w:tcBorders>
                    <w:top w:val="none" w:color="000000" w:sz="4"/>
                    <w:left w:val="none" w:color="000000" w:sz="4"/>
                    <w:bottom w:val="none" w:color="000000" w:sz="4"/>
                    <w:right w:val="single" w:color="000000" w:sz="4"/>
                  </w:tcBorders>
                </w:tcP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2、具备热水胆一键排空功能</w:t>
                  </w:r>
                </w:p>
              </w:tc>
            </w:tr>
            <w:tr>
              <w:tc>
                <w:tcPr>
                  <w:tcW w:type="dxa" w:w="354"/>
                  <w:vMerge/>
                  <w:tcBorders>
                    <w:top w:val="none" w:color="000000" w:sz="4"/>
                    <w:left w:val="single" w:color="000000" w:sz="4"/>
                    <w:bottom w:val="none" w:color="000000" w:sz="4"/>
                    <w:right w:val="single" w:color="000000" w:sz="4"/>
                  </w:tcBorders>
                </w:tcPr>
                <w:p/>
              </w:tc>
              <w:tc>
                <w:tcPr>
                  <w:tcW w:type="dxa" w:w="633"/>
                  <w:vMerge/>
                  <w:tcBorders>
                    <w:top w:val="none" w:color="000000" w:sz="4"/>
                    <w:left w:val="none" w:color="000000" w:sz="4"/>
                    <w:bottom w:val="none" w:color="000000" w:sz="4"/>
                    <w:right w:val="single" w:color="000000" w:sz="4"/>
                  </w:tcBorders>
                </w:tcP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3、双出水嘴设计，冷热分离不窜温</w:t>
                  </w:r>
                </w:p>
              </w:tc>
            </w:tr>
            <w:tr>
              <w:tc>
                <w:tcPr>
                  <w:tcW w:type="dxa" w:w="354"/>
                  <w:vMerge/>
                  <w:tcBorders>
                    <w:top w:val="none" w:color="000000" w:sz="4"/>
                    <w:left w:val="single" w:color="000000" w:sz="4"/>
                    <w:bottom w:val="none" w:color="000000" w:sz="4"/>
                    <w:right w:val="single" w:color="000000" w:sz="4"/>
                  </w:tcBorders>
                </w:tcPr>
                <w:p/>
              </w:tc>
              <w:tc>
                <w:tcPr>
                  <w:tcW w:type="dxa" w:w="633"/>
                  <w:vMerge/>
                  <w:tcBorders>
                    <w:top w:val="none" w:color="000000" w:sz="4"/>
                    <w:left w:val="none" w:color="000000" w:sz="4"/>
                    <w:bottom w:val="none" w:color="000000" w:sz="4"/>
                    <w:right w:val="single" w:color="000000" w:sz="4"/>
                  </w:tcBorders>
                </w:tcP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4、满足至少3台分机使用</w:t>
                  </w:r>
                </w:p>
              </w:tc>
            </w:tr>
            <w:tr>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立式加热分机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1500W-2200W</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出水方式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热水制水量</w:t>
                  </w:r>
                  <w:r>
                    <w:rPr>
                      <w:rFonts w:ascii="仿宋_GB2312" w:hAnsi="仿宋_GB2312" w:cs="仿宋_GB2312" w:eastAsia="仿宋_GB2312"/>
                      <w:sz w:val="22"/>
                      <w:color w:val="000000"/>
                    </w:rPr>
                    <w:t>≥20L/h</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杀菌方式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UV紫外线杀菌+高温管路杀菌</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水胆容量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热胆</w:t>
                  </w:r>
                  <w:r>
                    <w:rPr>
                      <w:rFonts w:ascii="仿宋_GB2312" w:hAnsi="仿宋_GB2312" w:cs="仿宋_GB2312" w:eastAsia="仿宋_GB2312"/>
                      <w:sz w:val="22"/>
                      <w:color w:val="000000"/>
                    </w:rPr>
                    <w:t>≥5L，不锈钢材质</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防干烧、防漏电、童锁</w:t>
                  </w:r>
                </w:p>
              </w:tc>
            </w:tr>
            <w:tr>
              <w:tc>
                <w:tcPr>
                  <w:tcW w:type="dxa" w:w="354"/>
                  <w:vMerge/>
                  <w:tcBorders>
                    <w:top w:val="none" w:color="000000" w:sz="4"/>
                    <w:left w:val="single" w:color="000000" w:sz="4"/>
                    <w:bottom w:val="single" w:color="000000" w:sz="4"/>
                    <w:right w:val="single" w:color="000000" w:sz="4"/>
                  </w:tcBorders>
                </w:tcPr>
                <w:p/>
              </w:tc>
              <w:tc>
                <w:tcPr>
                  <w:tcW w:type="dxa" w:w="6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其他功能</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1、具备节能模式；</w:t>
                  </w:r>
                </w:p>
              </w:tc>
            </w:tr>
            <w:tr>
              <w:tc>
                <w:tcPr>
                  <w:tcW w:type="dxa" w:w="354"/>
                  <w:vMerge/>
                  <w:tcBorders>
                    <w:top w:val="none" w:color="000000" w:sz="4"/>
                    <w:left w:val="single" w:color="000000" w:sz="4"/>
                    <w:bottom w:val="single" w:color="000000" w:sz="4"/>
                    <w:right w:val="single" w:color="000000" w:sz="4"/>
                  </w:tcBorders>
                </w:tcPr>
                <w:p/>
              </w:tc>
              <w:tc>
                <w:tcPr>
                  <w:tcW w:type="dxa" w:w="633"/>
                  <w:vMerge/>
                  <w:tcBorders>
                    <w:top w:val="none" w:color="000000" w:sz="4"/>
                    <w:left w:val="none" w:color="000000" w:sz="4"/>
                    <w:bottom w:val="single" w:color="000000" w:sz="4"/>
                    <w:right w:val="single" w:color="000000" w:sz="4"/>
                  </w:tcBorders>
                </w:tcP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2、双出水嘴设计，冷热分离不窜温；</w:t>
                  </w:r>
                </w:p>
              </w:tc>
            </w:tr>
            <w:tr>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壁挂加热分机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额定功率</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500W-850W</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出水方式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热水制水量</w:t>
                  </w:r>
                  <w:r>
                    <w:rPr>
                      <w:rFonts w:ascii="仿宋_GB2312" w:hAnsi="仿宋_GB2312" w:cs="仿宋_GB2312" w:eastAsia="仿宋_GB2312"/>
                      <w:sz w:val="22"/>
                      <w:color w:val="000000"/>
                    </w:rPr>
                    <w:t>≥5L/h</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水胆容量</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热胆</w:t>
                  </w:r>
                  <w:r>
                    <w:rPr>
                      <w:rFonts w:ascii="仿宋_GB2312" w:hAnsi="仿宋_GB2312" w:cs="仿宋_GB2312" w:eastAsia="仿宋_GB2312"/>
                      <w:sz w:val="22"/>
                      <w:color w:val="000000"/>
                    </w:rPr>
                    <w:t>≥2.5L，不锈钢材质</w:t>
                  </w:r>
                </w:p>
              </w:tc>
            </w:tr>
            <w:tr>
              <w:tc>
                <w:tcPr>
                  <w:tcW w:type="dxa" w:w="354"/>
                  <w:vMerge/>
                  <w:tcBorders>
                    <w:top w:val="none" w:color="000000" w:sz="4"/>
                    <w:left w:val="single" w:color="000000" w:sz="4"/>
                    <w:bottom w:val="single" w:color="000000" w:sz="4"/>
                    <w:right w:val="single" w:color="000000" w:sz="4"/>
                  </w:tcBorders>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安全</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防干烧、防漏电、童锁</w:t>
                  </w:r>
                </w:p>
              </w:tc>
            </w:tr>
          </w:tbl>
          <w:p>
            <w:pPr>
              <w:pStyle w:val="null3"/>
              <w:spacing w:before="315" w:after="150"/>
              <w:jc w:val="both"/>
            </w:pPr>
            <w:r>
              <w:rPr>
                <w:rFonts w:ascii="仿宋_GB2312" w:hAnsi="仿宋_GB2312" w:cs="仿宋_GB2312" w:eastAsia="仿宋_GB2312"/>
                <w:sz w:val="28"/>
                <w:b/>
              </w:rPr>
              <w:t>四、出水水质要求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出水水质：</w:t>
            </w:r>
            <w:r>
              <w:rPr>
                <w:rFonts w:ascii="仿宋_GB2312" w:hAnsi="仿宋_GB2312" w:cs="仿宋_GB2312" w:eastAsia="仿宋_GB2312"/>
                <w:sz w:val="24"/>
              </w:rPr>
              <w:t>符合</w:t>
            </w:r>
            <w:r>
              <w:rPr>
                <w:rFonts w:ascii="仿宋_GB2312" w:hAnsi="仿宋_GB2312" w:cs="仿宋_GB2312" w:eastAsia="仿宋_GB2312"/>
                <w:sz w:val="24"/>
              </w:rPr>
              <w:t>《生活饮用水卫生标准》</w:t>
            </w:r>
            <w:r>
              <w:rPr>
                <w:rFonts w:ascii="仿宋_GB2312" w:hAnsi="仿宋_GB2312" w:cs="仿宋_GB2312" w:eastAsia="仿宋_GB2312"/>
                <w:sz w:val="24"/>
              </w:rPr>
              <w:t>GB 5749-2022</w:t>
            </w:r>
            <w:r>
              <w:rPr>
                <w:rFonts w:ascii="仿宋_GB2312" w:hAnsi="仿宋_GB2312" w:cs="仿宋_GB2312" w:eastAsia="仿宋_GB2312"/>
                <w:sz w:val="24"/>
              </w:rPr>
              <w:t>、</w:t>
            </w:r>
            <w:r>
              <w:rPr>
                <w:rFonts w:ascii="仿宋_GB2312" w:hAnsi="仿宋_GB2312" w:cs="仿宋_GB2312" w:eastAsia="仿宋_GB2312"/>
                <w:sz w:val="24"/>
              </w:rPr>
              <w:t>《饮用净水水质标准》</w:t>
            </w:r>
            <w:r>
              <w:rPr>
                <w:rFonts w:ascii="仿宋_GB2312" w:hAnsi="仿宋_GB2312" w:cs="仿宋_GB2312" w:eastAsia="仿宋_GB2312"/>
                <w:sz w:val="24"/>
              </w:rPr>
              <w:t>CJ 94</w:t>
            </w:r>
            <w:r>
              <w:rPr>
                <w:rFonts w:ascii="仿宋_GB2312" w:hAnsi="仿宋_GB2312" w:cs="仿宋_GB2312" w:eastAsia="仿宋_GB2312"/>
                <w:sz w:val="24"/>
              </w:rPr>
              <w:t>等相关国家及行业标准规定。</w:t>
            </w:r>
            <w:r>
              <w:rPr>
                <w:rFonts w:ascii="仿宋_GB2312" w:hAnsi="仿宋_GB2312" w:cs="仿宋_GB2312" w:eastAsia="仿宋_GB2312"/>
                <w:sz w:val="24"/>
              </w:rPr>
              <w:t>在天气和水源稳定情况下，</w:t>
            </w:r>
            <w:r>
              <w:rPr>
                <w:rFonts w:ascii="仿宋_GB2312" w:hAnsi="仿宋_GB2312" w:cs="仿宋_GB2312" w:eastAsia="仿宋_GB2312"/>
                <w:sz w:val="24"/>
              </w:rPr>
              <w:t>TDS</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且</w:t>
            </w:r>
            <w:r>
              <w:rPr>
                <w:rFonts w:ascii="仿宋_GB2312" w:hAnsi="仿宋_GB2312" w:cs="仿宋_GB2312" w:eastAsia="仿宋_GB2312"/>
                <w:sz w:val="24"/>
              </w:rPr>
              <w:t>TDS数值稳定。</w:t>
            </w:r>
          </w:p>
          <w:p>
            <w:pPr>
              <w:pStyle w:val="null3"/>
              <w:ind w:firstLine="480"/>
              <w:jc w:val="left"/>
            </w:pPr>
            <w:r>
              <w:rPr>
                <w:rFonts w:ascii="仿宋_GB2312" w:hAnsi="仿宋_GB2312" w:cs="仿宋_GB2312" w:eastAsia="仿宋_GB2312"/>
                <w:sz w:val="24"/>
              </w:rPr>
              <w:t>2.出水水量水压：保证所有分机出水水量、水压稳定。</w:t>
            </w:r>
          </w:p>
          <w:p>
            <w:pPr>
              <w:pStyle w:val="null3"/>
              <w:ind w:firstLine="480"/>
              <w:jc w:val="left"/>
            </w:pPr>
            <w:r>
              <w:rPr>
                <w:rFonts w:ascii="仿宋_GB2312" w:hAnsi="仿宋_GB2312" w:cs="仿宋_GB2312" w:eastAsia="仿宋_GB2312"/>
                <w:sz w:val="24"/>
              </w:rPr>
              <w:t>3.检测要求：</w:t>
            </w:r>
            <w:r>
              <w:rPr>
                <w:rFonts w:ascii="仿宋_GB2312" w:hAnsi="仿宋_GB2312" w:cs="仿宋_GB2312" w:eastAsia="仿宋_GB2312"/>
                <w:sz w:val="24"/>
              </w:rPr>
              <w:t>每季度</w:t>
            </w:r>
            <w:r>
              <w:rPr>
                <w:rFonts w:ascii="仿宋_GB2312" w:hAnsi="仿宋_GB2312" w:cs="仿宋_GB2312" w:eastAsia="仿宋_GB2312"/>
                <w:sz w:val="24"/>
              </w:rPr>
              <w:t>进行出水水质检测，并出具备</w:t>
            </w:r>
            <w:r>
              <w:rPr>
                <w:rFonts w:ascii="仿宋_GB2312" w:hAnsi="仿宋_GB2312" w:cs="仿宋_GB2312" w:eastAsia="仿宋_GB2312"/>
                <w:sz w:val="24"/>
              </w:rPr>
              <w:t>CMA认证的检测报告，费用由成交供应商承担。</w:t>
            </w:r>
          </w:p>
          <w:tbl>
            <w:tblPr>
              <w:tblBorders>
                <w:top w:val="none" w:color="000000" w:sz="4"/>
                <w:left w:val="none" w:color="000000" w:sz="4"/>
                <w:bottom w:val="none" w:color="000000" w:sz="4"/>
                <w:right w:val="none" w:color="000000" w:sz="4"/>
                <w:insideH w:val="none"/>
                <w:insideV w:val="none"/>
              </w:tblBorders>
            </w:tblPr>
            <w:tblGrid>
              <w:gridCol w:w="1180"/>
              <w:gridCol w:w="1367"/>
            </w:tblGrid>
            <w:tr>
              <w:tc>
                <w:tcPr>
                  <w:tcW w:type="dxa" w:w="1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检测水样数量</w:t>
                  </w:r>
                </w:p>
              </w:tc>
            </w:tr>
            <w:tr>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纯制水主</w:t>
                  </w:r>
                  <w:r>
                    <w:rPr>
                      <w:rFonts w:ascii="仿宋_GB2312" w:hAnsi="仿宋_GB2312" w:cs="仿宋_GB2312" w:eastAsia="仿宋_GB2312"/>
                      <w:sz w:val="24"/>
                    </w:rPr>
                    <w:t>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1</w:t>
                  </w:r>
                  <w:r>
                    <w:rPr>
                      <w:rFonts w:ascii="仿宋_GB2312" w:hAnsi="仿宋_GB2312" w:cs="仿宋_GB2312" w:eastAsia="仿宋_GB2312"/>
                      <w:sz w:val="24"/>
                    </w:rPr>
                    <w:t>份</w:t>
                  </w:r>
                </w:p>
              </w:tc>
            </w:tr>
            <w:tr>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步进式直饮</w:t>
                  </w:r>
                  <w:r>
                    <w:rPr>
                      <w:rFonts w:ascii="仿宋_GB2312" w:hAnsi="仿宋_GB2312" w:cs="仿宋_GB2312" w:eastAsia="仿宋_GB2312"/>
                      <w:sz w:val="24"/>
                    </w:rPr>
                    <w:t>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2</w:t>
                  </w:r>
                  <w:r>
                    <w:rPr>
                      <w:rFonts w:ascii="仿宋_GB2312" w:hAnsi="仿宋_GB2312" w:cs="仿宋_GB2312" w:eastAsia="仿宋_GB2312"/>
                      <w:sz w:val="24"/>
                    </w:rPr>
                    <w:t>份</w:t>
                  </w:r>
                </w:p>
              </w:tc>
            </w:tr>
            <w:tr>
              <w:tc>
                <w:tcPr>
                  <w:tcW w:type="dxa" w:w="1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一体式直饮</w:t>
                  </w:r>
                  <w:r>
                    <w:rPr>
                      <w:rFonts w:ascii="仿宋_GB2312" w:hAnsi="仿宋_GB2312" w:cs="仿宋_GB2312" w:eastAsia="仿宋_GB2312"/>
                      <w:sz w:val="24"/>
                    </w:rPr>
                    <w:t>机</w:t>
                  </w:r>
                </w:p>
              </w:tc>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不少于</w:t>
                  </w:r>
                  <w:r>
                    <w:rPr>
                      <w:rFonts w:ascii="仿宋_GB2312" w:hAnsi="仿宋_GB2312" w:cs="仿宋_GB2312" w:eastAsia="仿宋_GB2312"/>
                      <w:sz w:val="24"/>
                    </w:rPr>
                    <w:t>3</w:t>
                  </w:r>
                  <w:r>
                    <w:rPr>
                      <w:rFonts w:ascii="仿宋_GB2312" w:hAnsi="仿宋_GB2312" w:cs="仿宋_GB2312" w:eastAsia="仿宋_GB2312"/>
                      <w:sz w:val="24"/>
                    </w:rPr>
                    <w:t>份</w:t>
                  </w:r>
                </w:p>
              </w:tc>
            </w:tr>
          </w:tbl>
          <w:p>
            <w:pPr>
              <w:pStyle w:val="null3"/>
              <w:spacing w:before="315" w:after="150"/>
              <w:ind w:firstLine="480"/>
              <w:jc w:val="both"/>
            </w:pPr>
            <w:r>
              <w:rPr>
                <w:rFonts w:ascii="仿宋_GB2312" w:hAnsi="仿宋_GB2312" w:cs="仿宋_GB2312" w:eastAsia="仿宋_GB2312"/>
                <w:sz w:val="24"/>
              </w:rPr>
              <w:t>4.采购人监管：采购人随机抽查，TDS＞50或变化幅度大，出水水质检测不达标，成交供应商应立即排查原因或更换滤芯，直至出水合格并提供检测合格水质检测报告。</w:t>
            </w:r>
          </w:p>
          <w:p>
            <w:pPr>
              <w:pStyle w:val="null3"/>
              <w:spacing w:before="315" w:after="150"/>
              <w:jc w:val="both"/>
            </w:pPr>
            <w:r>
              <w:rPr>
                <w:rFonts w:ascii="仿宋_GB2312" w:hAnsi="仿宋_GB2312" w:cs="仿宋_GB2312" w:eastAsia="仿宋_GB2312"/>
                <w:sz w:val="28"/>
                <w:b/>
              </w:rPr>
              <w:t>五、安装要求</w:t>
            </w:r>
          </w:p>
          <w:p>
            <w:pPr>
              <w:pStyle w:val="null3"/>
              <w:jc w:val="left"/>
            </w:pPr>
            <w:r>
              <w:rPr>
                <w:rFonts w:ascii="仿宋_GB2312" w:hAnsi="仿宋_GB2312" w:cs="仿宋_GB2312" w:eastAsia="仿宋_GB2312"/>
                <w:sz w:val="24"/>
              </w:rPr>
              <w:t>1.标识要求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1）铭牌：包括产品名称、型号及技术参数、制造商全称及地址、卫生许可批准文号、出水水质执行标准、认证编号（CCC）、故障维修服务电话、出厂条码二维码、警示说明</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2）电气原理图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3）水效标识</w:t>
            </w:r>
          </w:p>
          <w:p>
            <w:pPr>
              <w:pStyle w:val="null3"/>
              <w:jc w:val="left"/>
            </w:pPr>
            <w:r>
              <w:rPr>
                <w:rFonts w:ascii="仿宋_GB2312" w:hAnsi="仿宋_GB2312" w:cs="仿宋_GB2312" w:eastAsia="仿宋_GB2312"/>
                <w:sz w:val="24"/>
              </w:rPr>
              <w:t>2.安装要求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安装前须配合采购人做好现场勘探，合理优化采购人现有直饮机点位布局，最大化发挥直饮机覆盖半径和人流量，科学配置机型与数量，优化管路走向、启停控制与加热净水逻辑，最大限度节约水电能耗，降低运维成本。制定装机方案经采购人同意后进行安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分</w:t>
            </w:r>
            <w:r>
              <w:rPr>
                <w:rFonts w:ascii="仿宋_GB2312" w:hAnsi="仿宋_GB2312" w:cs="仿宋_GB2312" w:eastAsia="仿宋_GB2312"/>
                <w:sz w:val="24"/>
              </w:rPr>
              <w:t>2</w:t>
            </w:r>
            <w:r>
              <w:rPr>
                <w:rFonts w:ascii="仿宋_GB2312" w:hAnsi="仿宋_GB2312" w:cs="仿宋_GB2312" w:eastAsia="仿宋_GB2312"/>
                <w:sz w:val="24"/>
              </w:rPr>
              <w:t>批次安装交付，</w:t>
            </w:r>
            <w:r>
              <w:rPr>
                <w:rFonts w:ascii="仿宋_GB2312" w:hAnsi="仿宋_GB2312" w:cs="仿宋_GB2312" w:eastAsia="仿宋_GB2312"/>
                <w:sz w:val="24"/>
              </w:rPr>
              <w:t>批次安装工期为20</w:t>
            </w:r>
            <w:r>
              <w:rPr>
                <w:rFonts w:ascii="仿宋_GB2312" w:hAnsi="仿宋_GB2312" w:cs="仿宋_GB2312" w:eastAsia="仿宋_GB2312"/>
                <w:sz w:val="24"/>
              </w:rPr>
              <w:t>日历天</w:t>
            </w:r>
            <w:r>
              <w:rPr>
                <w:rFonts w:ascii="仿宋_GB2312" w:hAnsi="仿宋_GB2312" w:cs="仿宋_GB2312" w:eastAsia="仿宋_GB2312"/>
                <w:sz w:val="24"/>
              </w:rPr>
              <w:t>，</w:t>
            </w:r>
            <w:r>
              <w:rPr>
                <w:rFonts w:ascii="仿宋_GB2312" w:hAnsi="仿宋_GB2312" w:cs="仿宋_GB2312" w:eastAsia="仿宋_GB2312"/>
                <w:sz w:val="24"/>
              </w:rPr>
              <w:t>据实结算。</w:t>
            </w:r>
            <w:r>
              <w:rPr>
                <w:rFonts w:ascii="仿宋_GB2312" w:hAnsi="仿宋_GB2312" w:cs="仿宋_GB2312" w:eastAsia="仿宋_GB2312"/>
                <w:sz w:val="24"/>
              </w:rPr>
              <w:t>完成旧</w:t>
            </w:r>
            <w:r>
              <w:rPr>
                <w:rFonts w:ascii="仿宋_GB2312" w:hAnsi="仿宋_GB2312" w:cs="仿宋_GB2312" w:eastAsia="仿宋_GB2312"/>
                <w:sz w:val="24"/>
              </w:rPr>
              <w:t>机</w:t>
            </w:r>
            <w:r>
              <w:rPr>
                <w:rFonts w:ascii="仿宋_GB2312" w:hAnsi="仿宋_GB2312" w:cs="仿宋_GB2312" w:eastAsia="仿宋_GB2312"/>
                <w:sz w:val="24"/>
              </w:rPr>
              <w:t>拆除及新</w:t>
            </w:r>
            <w:r>
              <w:rPr>
                <w:rFonts w:ascii="仿宋_GB2312" w:hAnsi="仿宋_GB2312" w:cs="仿宋_GB2312" w:eastAsia="仿宋_GB2312"/>
                <w:sz w:val="24"/>
              </w:rPr>
              <w:t>机</w:t>
            </w:r>
            <w:r>
              <w:rPr>
                <w:rFonts w:ascii="仿宋_GB2312" w:hAnsi="仿宋_GB2312" w:cs="仿宋_GB2312" w:eastAsia="仿宋_GB2312"/>
                <w:sz w:val="24"/>
              </w:rPr>
              <w:t>的安装调试</w:t>
            </w:r>
            <w:r>
              <w:rPr>
                <w:rFonts w:ascii="仿宋_GB2312" w:hAnsi="仿宋_GB2312" w:cs="仿宋_GB2312" w:eastAsia="仿宋_GB2312"/>
                <w:sz w:val="24"/>
              </w:rPr>
              <w:t>，原</w:t>
            </w:r>
            <w:r>
              <w:rPr>
                <w:rFonts w:ascii="仿宋_GB2312" w:hAnsi="仿宋_GB2312" w:cs="仿宋_GB2312" w:eastAsia="仿宋_GB2312"/>
                <w:sz w:val="24"/>
              </w:rPr>
              <w:t>有立式</w:t>
            </w:r>
            <w:r>
              <w:rPr>
                <w:rFonts w:ascii="仿宋_GB2312" w:hAnsi="仿宋_GB2312" w:cs="仿宋_GB2312" w:eastAsia="仿宋_GB2312"/>
                <w:sz w:val="24"/>
              </w:rPr>
              <w:t>加热</w:t>
            </w:r>
            <w:r>
              <w:rPr>
                <w:rFonts w:ascii="仿宋_GB2312" w:hAnsi="仿宋_GB2312" w:cs="仿宋_GB2312" w:eastAsia="仿宋_GB2312"/>
                <w:sz w:val="24"/>
              </w:rPr>
              <w:t>分机</w:t>
            </w:r>
            <w:r>
              <w:rPr>
                <w:rFonts w:ascii="仿宋_GB2312" w:hAnsi="仿宋_GB2312" w:cs="仿宋_GB2312" w:eastAsia="仿宋_GB2312"/>
                <w:sz w:val="24"/>
              </w:rPr>
              <w:t>30台</w:t>
            </w:r>
            <w:r>
              <w:rPr>
                <w:rFonts w:ascii="仿宋_GB2312" w:hAnsi="仿宋_GB2312" w:cs="仿宋_GB2312" w:eastAsia="仿宋_GB2312"/>
                <w:sz w:val="24"/>
              </w:rPr>
              <w:t>、壁挂</w:t>
            </w:r>
            <w:r>
              <w:rPr>
                <w:rFonts w:ascii="仿宋_GB2312" w:hAnsi="仿宋_GB2312" w:cs="仿宋_GB2312" w:eastAsia="仿宋_GB2312"/>
                <w:sz w:val="24"/>
              </w:rPr>
              <w:t>加热</w:t>
            </w:r>
            <w:r>
              <w:rPr>
                <w:rFonts w:ascii="仿宋_GB2312" w:hAnsi="仿宋_GB2312" w:cs="仿宋_GB2312" w:eastAsia="仿宋_GB2312"/>
                <w:sz w:val="24"/>
              </w:rPr>
              <w:t>分机</w:t>
            </w:r>
            <w:r>
              <w:rPr>
                <w:rFonts w:ascii="仿宋_GB2312" w:hAnsi="仿宋_GB2312" w:cs="仿宋_GB2312" w:eastAsia="仿宋_GB2312"/>
                <w:sz w:val="24"/>
              </w:rPr>
              <w:t>331台，</w:t>
            </w:r>
            <w:r>
              <w:rPr>
                <w:rFonts w:ascii="仿宋_GB2312" w:hAnsi="仿宋_GB2312" w:cs="仿宋_GB2312" w:eastAsia="仿宋_GB2312"/>
                <w:sz w:val="24"/>
              </w:rPr>
              <w:t>无后台锁定</w:t>
            </w:r>
            <w:r>
              <w:rPr>
                <w:rFonts w:ascii="仿宋_GB2312" w:hAnsi="仿宋_GB2312" w:cs="仿宋_GB2312" w:eastAsia="仿宋_GB2312"/>
                <w:sz w:val="24"/>
              </w:rPr>
              <w:t>和计时</w:t>
            </w:r>
            <w:r>
              <w:rPr>
                <w:rFonts w:ascii="仿宋_GB2312" w:hAnsi="仿宋_GB2312" w:cs="仿宋_GB2312" w:eastAsia="仿宋_GB2312"/>
                <w:sz w:val="24"/>
              </w:rPr>
              <w:t>功能，</w:t>
            </w:r>
            <w:r>
              <w:rPr>
                <w:rFonts w:ascii="仿宋_GB2312" w:hAnsi="仿宋_GB2312" w:cs="仿宋_GB2312" w:eastAsia="仿宋_GB2312"/>
                <w:sz w:val="24"/>
              </w:rPr>
              <w:t>全部</w:t>
            </w:r>
            <w:r>
              <w:rPr>
                <w:rFonts w:ascii="仿宋_GB2312" w:hAnsi="仿宋_GB2312" w:cs="仿宋_GB2312" w:eastAsia="仿宋_GB2312"/>
                <w:sz w:val="24"/>
              </w:rPr>
              <w:t>采用利旧，</w:t>
            </w:r>
            <w:r>
              <w:rPr>
                <w:rFonts w:ascii="仿宋_GB2312" w:hAnsi="仿宋_GB2312" w:cs="仿宋_GB2312" w:eastAsia="仿宋_GB2312"/>
                <w:sz w:val="24"/>
              </w:rPr>
              <w:t>增加或无法维修的更换安装分机据实结算。另外需对所有制水主机（纯制水主机、一体式直饮机）与</w:t>
            </w:r>
            <w:r>
              <w:rPr>
                <w:rFonts w:ascii="仿宋_GB2312" w:hAnsi="仿宋_GB2312" w:cs="仿宋_GB2312" w:eastAsia="仿宋_GB2312"/>
                <w:sz w:val="24"/>
              </w:rPr>
              <w:t>361台</w:t>
            </w:r>
            <w:r>
              <w:rPr>
                <w:rFonts w:ascii="仿宋_GB2312" w:hAnsi="仿宋_GB2312" w:cs="仿宋_GB2312" w:eastAsia="仿宋_GB2312"/>
                <w:sz w:val="24"/>
              </w:rPr>
              <w:t>分机之间水路管线全部进行更换</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3）供应商须向采购人开放直饮机后台数据接口，实现水质、设备运行状态的远程监测。</w:t>
            </w:r>
          </w:p>
          <w:p>
            <w:pPr>
              <w:pStyle w:val="null3"/>
              <w:jc w:val="both"/>
            </w:pPr>
            <w:r>
              <w:rPr>
                <w:rFonts w:ascii="仿宋_GB2312" w:hAnsi="仿宋_GB2312" w:cs="仿宋_GB2312" w:eastAsia="仿宋_GB2312"/>
                <w:sz w:val="24"/>
              </w:rPr>
              <w:t>3.安装地点：</w:t>
            </w:r>
          </w:p>
          <w:p>
            <w:pPr>
              <w:pStyle w:val="null3"/>
              <w:ind w:firstLine="480"/>
              <w:jc w:val="both"/>
            </w:pPr>
            <w:r>
              <w:rPr>
                <w:rFonts w:ascii="仿宋_GB2312" w:hAnsi="仿宋_GB2312" w:cs="仿宋_GB2312" w:eastAsia="仿宋_GB2312"/>
                <w:sz w:val="24"/>
              </w:rPr>
              <w:t>陕西中医药大学第二附属医院西咸院区（西咸新区沣西新城龙台观路</w:t>
            </w:r>
            <w:r>
              <w:rPr>
                <w:rFonts w:ascii="仿宋_GB2312" w:hAnsi="仿宋_GB2312" w:cs="仿宋_GB2312" w:eastAsia="仿宋_GB2312"/>
                <w:sz w:val="24"/>
              </w:rPr>
              <w:t>831号）</w:t>
            </w:r>
          </w:p>
          <w:p>
            <w:pPr>
              <w:pStyle w:val="null3"/>
              <w:ind w:firstLine="482"/>
              <w:jc w:val="left"/>
            </w:pPr>
            <w:r>
              <w:rPr>
                <w:rFonts w:ascii="仿宋_GB2312" w:hAnsi="仿宋_GB2312" w:cs="仿宋_GB2312" w:eastAsia="仿宋_GB2312"/>
                <w:sz w:val="24"/>
                <w:b/>
              </w:rPr>
              <w:t>注：本项目不组织现场踏勘，供应商如需勘察现场请自行前往。</w:t>
            </w:r>
          </w:p>
          <w:p>
            <w:pPr>
              <w:pStyle w:val="null3"/>
              <w:spacing w:before="315" w:after="150"/>
              <w:jc w:val="both"/>
            </w:pPr>
            <w:r>
              <w:rPr>
                <w:rFonts w:ascii="仿宋_GB2312" w:hAnsi="仿宋_GB2312" w:cs="仿宋_GB2312" w:eastAsia="仿宋_GB2312"/>
                <w:sz w:val="28"/>
                <w:b/>
              </w:rPr>
              <w:t>六．验收要求</w:t>
            </w:r>
          </w:p>
          <w:p>
            <w:pPr>
              <w:pStyle w:val="null3"/>
              <w:jc w:val="left"/>
            </w:pPr>
            <w:r>
              <w:rPr>
                <w:rFonts w:ascii="仿宋_GB2312" w:hAnsi="仿宋_GB2312" w:cs="仿宋_GB2312" w:eastAsia="仿宋_GB2312"/>
                <w:sz w:val="24"/>
              </w:rPr>
              <w:t>1.货到验收</w:t>
            </w:r>
          </w:p>
          <w:p>
            <w:pPr>
              <w:pStyle w:val="null3"/>
              <w:ind w:firstLine="480"/>
              <w:jc w:val="left"/>
            </w:pPr>
            <w:r>
              <w:rPr>
                <w:rFonts w:ascii="仿宋_GB2312" w:hAnsi="仿宋_GB2312" w:cs="仿宋_GB2312" w:eastAsia="仿宋_GB2312"/>
                <w:sz w:val="24"/>
              </w:rPr>
              <w:t>供应商所供产品配送到指定地点后，由采购人组织需求部门相关人员对产品标识、外包、型号、数量、合格证等进行货到验收。如供应商所供产品与合同不符，采购人有权拒收并限期整改。</w:t>
            </w:r>
          </w:p>
          <w:p>
            <w:pPr>
              <w:pStyle w:val="null3"/>
              <w:jc w:val="left"/>
            </w:pPr>
            <w:r>
              <w:rPr>
                <w:rFonts w:ascii="仿宋_GB2312" w:hAnsi="仿宋_GB2312" w:cs="仿宋_GB2312" w:eastAsia="仿宋_GB2312"/>
                <w:sz w:val="24"/>
              </w:rPr>
              <w:t>2.安装验收</w:t>
            </w:r>
          </w:p>
          <w:p>
            <w:pPr>
              <w:pStyle w:val="null3"/>
              <w:ind w:firstLine="480"/>
              <w:jc w:val="left"/>
            </w:pPr>
            <w:r>
              <w:rPr>
                <w:rFonts w:ascii="仿宋_GB2312" w:hAnsi="仿宋_GB2312" w:cs="仿宋_GB2312" w:eastAsia="仿宋_GB2312"/>
                <w:sz w:val="24"/>
              </w:rPr>
              <w:t>货到验收通过后，供应商进行设备安装、调试，试运行一周且自检合格后，按照采购人季度出水检测要求，委托具备</w:t>
            </w:r>
            <w:r>
              <w:rPr>
                <w:rFonts w:ascii="仿宋_GB2312" w:hAnsi="仿宋_GB2312" w:cs="仿宋_GB2312" w:eastAsia="仿宋_GB2312"/>
                <w:sz w:val="24"/>
              </w:rPr>
              <w:t>CMA认证的第三方检测机构出具检测报告。成交供应商须将产品的使用说明书、安装手册、检验报告、装机科室签字确认表等全部技术文档汇集成册后，向采购人管理部门提出正式验收，双方共同对所投产品的设备性能、技术参数等进行验收。验收内容主要包括：</w:t>
            </w:r>
          </w:p>
          <w:p>
            <w:pPr>
              <w:pStyle w:val="null3"/>
              <w:ind w:firstLine="480"/>
              <w:jc w:val="left"/>
            </w:pPr>
            <w:r>
              <w:rPr>
                <w:rFonts w:ascii="仿宋_GB2312" w:hAnsi="仿宋_GB2312" w:cs="仿宋_GB2312" w:eastAsia="仿宋_GB2312"/>
                <w:sz w:val="24"/>
              </w:rPr>
              <w:t>(1) 产品使用说明书</w:t>
            </w:r>
          </w:p>
          <w:p>
            <w:pPr>
              <w:pStyle w:val="null3"/>
              <w:ind w:firstLine="480"/>
              <w:jc w:val="left"/>
            </w:pPr>
            <w:r>
              <w:rPr>
                <w:rFonts w:ascii="仿宋_GB2312" w:hAnsi="仿宋_GB2312" w:cs="仿宋_GB2312" w:eastAsia="仿宋_GB2312"/>
                <w:sz w:val="24"/>
              </w:rPr>
              <w:t>(2) 设备电器安全</w:t>
            </w:r>
          </w:p>
          <w:p>
            <w:pPr>
              <w:pStyle w:val="null3"/>
              <w:ind w:firstLine="480"/>
              <w:jc w:val="left"/>
            </w:pPr>
            <w:r>
              <w:rPr>
                <w:rFonts w:ascii="仿宋_GB2312" w:hAnsi="仿宋_GB2312" w:cs="仿宋_GB2312" w:eastAsia="仿宋_GB2312"/>
                <w:sz w:val="24"/>
              </w:rPr>
              <w:t>(3) 设备运行状态</w:t>
            </w:r>
          </w:p>
          <w:p>
            <w:pPr>
              <w:pStyle w:val="null3"/>
              <w:ind w:firstLine="480"/>
              <w:jc w:val="left"/>
            </w:pPr>
            <w:r>
              <w:rPr>
                <w:rFonts w:ascii="仿宋_GB2312" w:hAnsi="仿宋_GB2312" w:cs="仿宋_GB2312" w:eastAsia="仿宋_GB2312"/>
                <w:sz w:val="24"/>
              </w:rPr>
              <w:t>(4) 设备出水水质情况</w:t>
            </w:r>
          </w:p>
          <w:p>
            <w:pPr>
              <w:pStyle w:val="null3"/>
              <w:jc w:val="left"/>
            </w:pPr>
            <w:r>
              <w:rPr>
                <w:rFonts w:ascii="仿宋_GB2312" w:hAnsi="仿宋_GB2312" w:cs="仿宋_GB2312" w:eastAsia="仿宋_GB2312"/>
                <w:sz w:val="24"/>
                <w:b/>
              </w:rPr>
              <w:t>注：成交供应商须在项目验收时将产品的使用说明书、安装手册、检验报告、装机科室签字确认表等全部技术文档汇集成册交付采购人管理部门。</w:t>
            </w:r>
          </w:p>
          <w:p>
            <w:pPr>
              <w:pStyle w:val="null3"/>
              <w:spacing w:before="315" w:after="150"/>
              <w:jc w:val="both"/>
            </w:pPr>
            <w:r>
              <w:rPr>
                <w:rFonts w:ascii="仿宋_GB2312" w:hAnsi="仿宋_GB2312" w:cs="仿宋_GB2312" w:eastAsia="仿宋_GB2312"/>
                <w:sz w:val="28"/>
                <w:b/>
              </w:rPr>
              <w:t>七．质量保证</w:t>
            </w:r>
          </w:p>
          <w:p>
            <w:pPr>
              <w:pStyle w:val="null3"/>
              <w:ind w:firstLine="480"/>
              <w:jc w:val="left"/>
            </w:pPr>
            <w:r>
              <w:rPr>
                <w:rFonts w:ascii="仿宋_GB2312" w:hAnsi="仿宋_GB2312" w:cs="仿宋_GB2312" w:eastAsia="仿宋_GB2312"/>
                <w:sz w:val="24"/>
              </w:rPr>
              <w:t>供应商应承诺所供产品均为未拆封的全新合格正品，且在质保期内，因产品本身或出水质量而导致的一切安全问题、均由成交供应商全部负责，由成交供应商按照国家法律规定承担一切责任。</w:t>
            </w:r>
          </w:p>
          <w:p>
            <w:pPr>
              <w:pStyle w:val="null3"/>
              <w:spacing w:before="315" w:after="150"/>
              <w:jc w:val="both"/>
            </w:pPr>
            <w:r>
              <w:rPr>
                <w:rFonts w:ascii="仿宋_GB2312" w:hAnsi="仿宋_GB2312" w:cs="仿宋_GB2312" w:eastAsia="仿宋_GB2312"/>
                <w:sz w:val="28"/>
                <w:b/>
              </w:rPr>
              <w:t>八．售后服务</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应在投标文件中详细说明</w:t>
            </w:r>
            <w:r>
              <w:rPr>
                <w:rFonts w:ascii="仿宋_GB2312" w:hAnsi="仿宋_GB2312" w:cs="仿宋_GB2312" w:eastAsia="仿宋_GB2312"/>
                <w:sz w:val="24"/>
              </w:rPr>
              <w:t>质保</w:t>
            </w:r>
            <w:r>
              <w:rPr>
                <w:rFonts w:ascii="仿宋_GB2312" w:hAnsi="仿宋_GB2312" w:cs="仿宋_GB2312" w:eastAsia="仿宋_GB2312"/>
                <w:sz w:val="24"/>
              </w:rPr>
              <w:t>期所提供的服务项目及售后服务方案，方案至少包含售后人员配备、日常巡检、设备维护、故障响应、滤材更换、应急措施等。</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应至少配一名项目管理人员，负责项目对接及日常管理工作；至少配备</w:t>
            </w:r>
            <w:r>
              <w:rPr>
                <w:rFonts w:ascii="仿宋_GB2312" w:hAnsi="仿宋_GB2312" w:cs="仿宋_GB2312" w:eastAsia="仿宋_GB2312"/>
                <w:sz w:val="24"/>
              </w:rPr>
              <w:t>1名技术人员进行驻场，负责直饮水设备的巡检、故障处理、更换</w:t>
            </w:r>
            <w:r>
              <w:rPr>
                <w:rFonts w:ascii="仿宋_GB2312" w:hAnsi="仿宋_GB2312" w:cs="仿宋_GB2312" w:eastAsia="仿宋_GB2312"/>
                <w:sz w:val="24"/>
              </w:rPr>
              <w:t>滤芯</w:t>
            </w:r>
            <w:r>
              <w:rPr>
                <w:rFonts w:ascii="仿宋_GB2312" w:hAnsi="仿宋_GB2312" w:cs="仿宋_GB2312" w:eastAsia="仿宋_GB2312"/>
                <w:sz w:val="24"/>
              </w:rPr>
              <w:t>及拆机、移机等工作。</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接报设备故障后，应保证故障响应不超过</w:t>
            </w:r>
            <w:r>
              <w:rPr>
                <w:rFonts w:ascii="仿宋_GB2312" w:hAnsi="仿宋_GB2312" w:cs="仿宋_GB2312" w:eastAsia="仿宋_GB2312"/>
                <w:sz w:val="24"/>
              </w:rPr>
              <w:t>1小时，故障修复不超过5小时；故障维修超过5小时的，应采取提供备机等应急措施。</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应至少每季度对设备进行一次维护，每</w:t>
            </w:r>
            <w:r>
              <w:rPr>
                <w:rFonts w:ascii="仿宋_GB2312" w:hAnsi="仿宋_GB2312" w:cs="仿宋_GB2312" w:eastAsia="仿宋_GB2312"/>
                <w:sz w:val="24"/>
              </w:rPr>
              <w:t>月</w:t>
            </w:r>
            <w:r>
              <w:rPr>
                <w:rFonts w:ascii="仿宋_GB2312" w:hAnsi="仿宋_GB2312" w:cs="仿宋_GB2312" w:eastAsia="仿宋_GB2312"/>
                <w:sz w:val="24"/>
              </w:rPr>
              <w:t>对所有设备进行一次巡检，发现问题及时解决，由此产生的相关费用均含在投标总价格中。</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供应商</w:t>
            </w:r>
            <w:r>
              <w:rPr>
                <w:rFonts w:ascii="仿宋_GB2312" w:hAnsi="仿宋_GB2312" w:cs="仿宋_GB2312" w:eastAsia="仿宋_GB2312"/>
                <w:sz w:val="24"/>
              </w:rPr>
              <w:t>应根据所投产品</w:t>
            </w:r>
            <w:r>
              <w:rPr>
                <w:rFonts w:ascii="仿宋_GB2312" w:hAnsi="仿宋_GB2312" w:cs="仿宋_GB2312" w:eastAsia="仿宋_GB2312"/>
                <w:sz w:val="24"/>
              </w:rPr>
              <w:t>实际制水情况</w:t>
            </w:r>
            <w:r>
              <w:rPr>
                <w:rFonts w:ascii="仿宋_GB2312" w:hAnsi="仿宋_GB2312" w:cs="仿宋_GB2312" w:eastAsia="仿宋_GB2312"/>
                <w:sz w:val="24"/>
              </w:rPr>
              <w:t>，</w:t>
            </w:r>
            <w:r>
              <w:rPr>
                <w:rFonts w:ascii="仿宋_GB2312" w:hAnsi="仿宋_GB2312" w:cs="仿宋_GB2312" w:eastAsia="仿宋_GB2312"/>
                <w:sz w:val="24"/>
              </w:rPr>
              <w:t>按期更换滤芯（滤芯更换建立台账，必须有使用科室负责人签字），</w:t>
            </w:r>
            <w:r>
              <w:rPr>
                <w:rFonts w:ascii="仿宋_GB2312" w:hAnsi="仿宋_GB2312" w:cs="仿宋_GB2312" w:eastAsia="仿宋_GB2312"/>
                <w:sz w:val="24"/>
              </w:rPr>
              <w:t>确保设备正常运作、出水水质合格</w:t>
            </w:r>
            <w:r>
              <w:rPr>
                <w:rFonts w:ascii="仿宋_GB2312" w:hAnsi="仿宋_GB2312" w:cs="仿宋_GB2312" w:eastAsia="仿宋_GB2312"/>
                <w:sz w:val="24"/>
              </w:rPr>
              <w:t>。质保期内</w:t>
            </w:r>
            <w:r>
              <w:rPr>
                <w:rFonts w:ascii="仿宋_GB2312" w:hAnsi="仿宋_GB2312" w:cs="仿宋_GB2312" w:eastAsia="仿宋_GB2312"/>
                <w:sz w:val="24"/>
              </w:rPr>
              <w:t>设备正常使用过程中维修所产生的费用、耗材及人工等全部由</w:t>
            </w:r>
            <w:r>
              <w:rPr>
                <w:rFonts w:ascii="仿宋_GB2312" w:hAnsi="仿宋_GB2312" w:cs="仿宋_GB2312" w:eastAsia="仿宋_GB2312"/>
                <w:sz w:val="24"/>
              </w:rPr>
              <w:t>成交供应商</w:t>
            </w:r>
            <w:r>
              <w:rPr>
                <w:rFonts w:ascii="仿宋_GB2312" w:hAnsi="仿宋_GB2312" w:cs="仿宋_GB2312" w:eastAsia="仿宋_GB2312"/>
                <w:sz w:val="24"/>
              </w:rPr>
              <w:t>承担。</w:t>
            </w:r>
          </w:p>
          <w:p>
            <w:pPr>
              <w:pStyle w:val="null3"/>
              <w:ind w:firstLine="480"/>
              <w:jc w:val="left"/>
            </w:pPr>
            <w:r>
              <w:rPr>
                <w:rFonts w:ascii="仿宋_GB2312" w:hAnsi="仿宋_GB2312" w:cs="仿宋_GB2312" w:eastAsia="仿宋_GB2312"/>
                <w:sz w:val="24"/>
              </w:rPr>
              <w:t>6.本项目整机质保不少于2年，质保期内制水主机整套滤芯</w:t>
            </w:r>
            <w:r>
              <w:rPr>
                <w:rFonts w:ascii="仿宋_GB2312" w:hAnsi="仿宋_GB2312" w:cs="仿宋_GB2312" w:eastAsia="仿宋_GB2312"/>
                <w:sz w:val="24"/>
              </w:rPr>
              <w:t>更换不少于</w:t>
            </w:r>
            <w:r>
              <w:rPr>
                <w:rFonts w:ascii="仿宋_GB2312" w:hAnsi="仿宋_GB2312" w:cs="仿宋_GB2312" w:eastAsia="仿宋_GB2312"/>
                <w:sz w:val="24"/>
              </w:rPr>
              <w:t>2次，质保期从批次验收合格之日起计算（以验收表时间为准），终身提供技术支持与优惠耗材、零配件供应价格。</w:t>
            </w:r>
          </w:p>
          <w:p>
            <w:pPr>
              <w:pStyle w:val="null3"/>
              <w:spacing w:before="315" w:after="150"/>
              <w:jc w:val="both"/>
            </w:pPr>
            <w:r>
              <w:rPr>
                <w:rFonts w:ascii="仿宋_GB2312" w:hAnsi="仿宋_GB2312" w:cs="仿宋_GB2312" w:eastAsia="仿宋_GB2312"/>
                <w:sz w:val="28"/>
                <w:b/>
              </w:rPr>
              <w:t>九</w:t>
            </w:r>
            <w:r>
              <w:rPr>
                <w:rFonts w:ascii="仿宋_GB2312" w:hAnsi="仿宋_GB2312" w:cs="仿宋_GB2312" w:eastAsia="仿宋_GB2312"/>
                <w:sz w:val="28"/>
                <w:b/>
              </w:rPr>
              <w:t>.费用支付</w:t>
            </w:r>
          </w:p>
          <w:p>
            <w:pPr>
              <w:pStyle w:val="null3"/>
              <w:jc w:val="left"/>
            </w:pPr>
            <w:r>
              <w:rPr>
                <w:rFonts w:ascii="仿宋_GB2312" w:hAnsi="仿宋_GB2312" w:cs="仿宋_GB2312" w:eastAsia="仿宋_GB2312"/>
                <w:sz w:val="24"/>
              </w:rPr>
              <w:t>1.付款方式：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1）每批次设备验收合格后，成交供应商持全额正式税务发票向采购人提出支付该批次货款总额的30%的申请，采购人在30日支付该笔款项。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2）设备正常运行6个月后，乙方提供的产品故障发生频率较低且乙方能及时解决使用过程中存在的问题，达到付款条件起30天内，甲方向乙方支付该批次货款总额的30%。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）设备正常运行</w:t>
            </w:r>
            <w:r>
              <w:rPr>
                <w:rFonts w:ascii="仿宋_GB2312" w:hAnsi="仿宋_GB2312" w:cs="仿宋_GB2312" w:eastAsia="仿宋_GB2312"/>
                <w:sz w:val="24"/>
              </w:rPr>
              <w:t>12</w:t>
            </w:r>
            <w:r>
              <w:rPr>
                <w:rFonts w:ascii="仿宋_GB2312" w:hAnsi="仿宋_GB2312" w:cs="仿宋_GB2312" w:eastAsia="仿宋_GB2312"/>
                <w:sz w:val="24"/>
              </w:rPr>
              <w:t>个月后，乙方提供的产品故障发生频率较低且乙方能及时解决使用过程中存在的问题，达到付款条件起</w:t>
            </w:r>
            <w:r>
              <w:rPr>
                <w:rFonts w:ascii="仿宋_GB2312" w:hAnsi="仿宋_GB2312" w:cs="仿宋_GB2312" w:eastAsia="仿宋_GB2312"/>
                <w:sz w:val="24"/>
              </w:rPr>
              <w:t>30天内，甲方向乙方支付该批次货款总额的</w:t>
            </w:r>
            <w:r>
              <w:rPr>
                <w:rFonts w:ascii="仿宋_GB2312" w:hAnsi="仿宋_GB2312" w:cs="仿宋_GB2312" w:eastAsia="仿宋_GB2312"/>
                <w:sz w:val="24"/>
              </w:rPr>
              <w:t>3</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4）剩余该批次货款总额的10%，于质保期满后，乙方就合同约定义务全部履行完毕后，且达到付款条件起30天内，甲方向乙方一次性付清。</w:t>
            </w:r>
          </w:p>
          <w:p>
            <w:pPr>
              <w:pStyle w:val="null3"/>
              <w:jc w:val="left"/>
            </w:pPr>
            <w:r>
              <w:rPr>
                <w:rFonts w:ascii="仿宋_GB2312" w:hAnsi="仿宋_GB2312" w:cs="仿宋_GB2312" w:eastAsia="仿宋_GB2312"/>
                <w:sz w:val="24"/>
              </w:rPr>
              <w:t>2.考核条款</w:t>
            </w:r>
          </w:p>
          <w:p>
            <w:pPr>
              <w:pStyle w:val="null3"/>
              <w:ind w:firstLine="480"/>
              <w:jc w:val="left"/>
            </w:pPr>
            <w:r>
              <w:rPr>
                <w:rFonts w:ascii="仿宋_GB2312" w:hAnsi="仿宋_GB2312" w:cs="仿宋_GB2312" w:eastAsia="仿宋_GB2312"/>
                <w:sz w:val="24"/>
              </w:rPr>
              <w:t>供应商如未按合同约定条款，及时开展故障处理、滤芯更换等服务工作，依据以下条款落实考核，并在设备费用中予以扣除，具体条款如下：</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1）未按照合同约定条款配备服务人员或离职人员未及时补充，扣款1000元/次。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2）在合同约定的时间内，未及时响应故障、修复故障或采取其他措施，扣款500元/件/次。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3）采购人随机抽查设备出水水质TDS＞20mg/L，扣款200元/件/次。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4）滤芯</w:t>
            </w:r>
            <w:r>
              <w:rPr>
                <w:rFonts w:ascii="仿宋_GB2312" w:hAnsi="仿宋_GB2312" w:cs="仿宋_GB2312" w:eastAsia="仿宋_GB2312"/>
                <w:sz w:val="24"/>
              </w:rPr>
              <w:t>到期或故障等预警</w:t>
            </w:r>
            <w:r>
              <w:rPr>
                <w:rFonts w:ascii="仿宋_GB2312" w:hAnsi="仿宋_GB2312" w:cs="仿宋_GB2312" w:eastAsia="仿宋_GB2312"/>
                <w:sz w:val="24"/>
              </w:rPr>
              <w:t>3日内未更换维修，或者出水水质检测不合格，</w:t>
            </w:r>
            <w:r>
              <w:rPr>
                <w:rFonts w:ascii="仿宋_GB2312" w:hAnsi="仿宋_GB2312" w:cs="仿宋_GB2312" w:eastAsia="仿宋_GB2312"/>
                <w:sz w:val="24"/>
              </w:rPr>
              <w:t>扣款</w:t>
            </w:r>
            <w:r>
              <w:rPr>
                <w:rFonts w:ascii="仿宋_GB2312" w:hAnsi="仿宋_GB2312" w:cs="仿宋_GB2312" w:eastAsia="仿宋_GB2312"/>
                <w:sz w:val="24"/>
              </w:rPr>
              <w:t>2000元/件/次。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5）设备保养工作未按时开展，或保养质量不佳（如内部卫生清理不彻底、</w:t>
            </w:r>
            <w:r>
              <w:rPr>
                <w:rFonts w:ascii="仿宋_GB2312" w:hAnsi="仿宋_GB2312" w:cs="仿宋_GB2312" w:eastAsia="仿宋_GB2312"/>
                <w:sz w:val="24"/>
              </w:rPr>
              <w:t>水嘴明显产生水垢等），未造成较大负面影响的，扣款</w:t>
            </w:r>
            <w:r>
              <w:rPr>
                <w:rFonts w:ascii="仿宋_GB2312" w:hAnsi="仿宋_GB2312" w:cs="仿宋_GB2312" w:eastAsia="仿宋_GB2312"/>
                <w:sz w:val="24"/>
              </w:rPr>
              <w:t>500元/件/次；造成较大负面影响的扣款3000元/件/次。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项目完工期：分2批次安装交付，批次安装工期为20日历天。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每批次设备验收合格后，成交供应商持全额正式税务发票向采购人提出支付该批次货款总额的30%的申请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设备正常运行6个月后，乙方提供的产品故障发生频率较低且乙方能及时解决使用过程中存在的问题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设备正常运行12个月后，乙方提供的产品故障发生频率较低且乙方能及时解决使用过程中存在的问题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剩余该批次货款总额的10%，于质保期满后，乙方就合同约定义务全部履行完毕后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2年机器质保、维修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1、采购文件要求签字或盖章之处，非法人单位均参照执行。 2、投标人需要在线提交所有通过电子化交易平台实施的政府采购项目的投标文件，同时，线下提交投标文件正本壹份、副本贰份、电子版壹份（U盘一套标明投标人名称，单独密封），纸质投标文件双面打印。 3、线下纸质投标文件递交截止时间：同在线递交电子投标文件截止时间一致；线下纸质投标文件递交地点：西安市雁展路1111号莱安中心T6-15层。如需邮寄投标文件，仅接受顺丰速运（联系人：杭琨、联系电话：029-81206622-825）。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7、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 2分项报价表.docx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9关于符合本国产品标准的声明函.docx 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9关于符合本国产品标准的声明函.docx 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6投标方案说明.docx 3技术指标偏差表.docx 7投标人承诺书.docx 9关于符合本国产品标准的声明函.docx 投标函 附件-节能产品政府采购品目清单.docx 中小企业声明函 1开标一览表（报价表）.docx 标的清单 2分项报价表.docx 4商务条款响应说明.docx 5投标人资格证明文件.docx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根据投标人对所投产品技术参数的响应情况进行评审：完全符合、响应招标文件要求，没有负偏离计30分；每负偏离一项扣1分，扣完为止。 备注：对应技术参数进行应答，并按要求提供充足的佐证材料（包括但不限于检验报告、产品彩页、产品说明书、官网功能截图等），予以证明参数的技术响应性。</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投标人提供针对本项目的实施方案，内容包含：①供货方案；②质量保障方案；③进度保障方案；④人员配置方案；⑤安装方案；⑥验收方案等。 方案各项内容全面详细、阐述条理清晰、技术先进、功能配置合理，能有效保障本项目实施计18分，每有一项缺项扣3分，每项内容中存在一处缺陷，扣1分,扣完为止。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投标人提供针对本项目的售后服务方案，内容包含：①售后服务内容及保障措施；②响应时间及方式；③故障处理及补救措施。 售后服务有具体、详细、可行的方案及措施，对响应及上门时间有明确表述，能够完全满足本项目采购需求，计9分；每有一项缺项扣3分，每项内容中存在一处缺陷扣1分，扣完为止。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投标人提供2023年1月1日至今（以合同签订日期为准）类似项目的业绩合同，每份计2分，满分6分。 备注：须提供项目合同或协议的关键页（包括但不限于合同首尾页、项目内容页，签字盖章页，签订日期页）及任意一张发票的扫描件并加盖投标人公章，未提供或提供不全不得分。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详见附件：9关于符合本国产品标准的声明函.docx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