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版本号：JZZB2026-102520260506001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HIS系统年度运维服务及接口打包服务项目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JZZB2026-1025</w:t>
      </w:r>
      <w:r>
        <w:br/>
      </w:r>
      <w:r>
        <w:br/>
      </w:r>
      <w:r>
        <w:br/>
      </w:r>
    </w:p>
    <w:p>
      <w:pPr>
        <w:pStyle w:val="null3"/>
        <w:jc w:val="center"/>
        <w:outlineLvl w:val="5"/>
      </w:pPr>
      <w:r>
        <w:rPr>
          <w:rFonts w:ascii="仿宋_GB2312" w:hAnsi="仿宋_GB2312" w:cs="仿宋_GB2312" w:eastAsia="仿宋_GB2312"/>
          <w:sz w:val="15"/>
          <w:b/>
        </w:rPr>
        <w:t>合阳县中医医院</w:t>
      </w:r>
    </w:p>
    <w:p>
      <w:pPr>
        <w:pStyle w:val="null3"/>
        <w:jc w:val="center"/>
        <w:outlineLvl w:val="5"/>
      </w:pPr>
      <w:r>
        <w:rPr>
          <w:rFonts w:ascii="仿宋_GB2312" w:hAnsi="仿宋_GB2312" w:cs="仿宋_GB2312" w:eastAsia="仿宋_GB2312"/>
          <w:sz w:val="15"/>
          <w:b/>
        </w:rPr>
        <w:t>陕西金字招标有限责任公司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陕西金字招标有限责任公司</w:t>
      </w:r>
      <w:r>
        <w:rPr>
          <w:rFonts w:ascii="仿宋_GB2312" w:hAnsi="仿宋_GB2312" w:cs="仿宋_GB2312" w:eastAsia="仿宋_GB2312"/>
        </w:rPr>
        <w:t>（以下简称“代理机构”）受</w:t>
      </w:r>
      <w:r>
        <w:rPr>
          <w:rFonts w:ascii="仿宋_GB2312" w:hAnsi="仿宋_GB2312" w:cs="仿宋_GB2312" w:eastAsia="仿宋_GB2312"/>
        </w:rPr>
        <w:t>合阳县中医医院</w:t>
      </w:r>
      <w:r>
        <w:rPr>
          <w:rFonts w:ascii="仿宋_GB2312" w:hAnsi="仿宋_GB2312" w:cs="仿宋_GB2312" w:eastAsia="仿宋_GB2312"/>
        </w:rPr>
        <w:t>委托，拟对</w:t>
      </w:r>
      <w:r>
        <w:rPr>
          <w:rFonts w:ascii="仿宋_GB2312" w:hAnsi="仿宋_GB2312" w:cs="仿宋_GB2312" w:eastAsia="仿宋_GB2312"/>
        </w:rPr>
        <w:t>HIS系统年度运维服务及接口打包服务项目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JZZB2026-1025</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HIS系统年度运维服务及接口打包服务项目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HIS系统年度运维服务及接口打包服务</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直接参加谈判的，须出具法人身份证明及身份证复印件；法定代表人授权代表参加谈判的，须出具法定代表人授权书及授权代表身份证复印件；：法定代表人直接参加谈判的，须出具法人身份证明及身份证复印件；法定代表人授权代表参加谈判的，须出具法定代表人授权书及授权代表身份证复印件。</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合阳县中医医院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合阳县东新街69号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党民</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15336137262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陕西金字招标有限责任公司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陕西省西安市碑林区陕西省西安市碑林区更新街13号铭爵大厦7楼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卢荣丹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15829663649</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合阳县政府采购管理股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 xml:space="preserve"> 秦维纲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 xml:space="preserve"> 0913-8343423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开户名称：陕西金字招标有限责任公司</w:t>
            </w:r>
          </w:p>
          <w:p>
            <w:pPr>
              <w:pStyle w:val="null3"/>
            </w:pPr>
            <w:r>
              <w:rPr>
                <w:rFonts w:ascii="仿宋_GB2312" w:hAnsi="仿宋_GB2312" w:cs="仿宋_GB2312" w:eastAsia="仿宋_GB2312"/>
              </w:rPr>
              <w:t>开户银行：浙江网商银行股份有限公司</w:t>
            </w:r>
          </w:p>
          <w:p>
            <w:pPr>
              <w:pStyle w:val="null3"/>
            </w:pPr>
            <w:r>
              <w:rPr>
                <w:rFonts w:ascii="仿宋_GB2312" w:hAnsi="仿宋_GB2312" w:cs="仿宋_GB2312" w:eastAsia="仿宋_GB2312"/>
              </w:rPr>
              <w:t>银行账号： 8888888167310240</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 [2002]1980号）和《关于招标代理服务收费有关问题的通知》（发改办价格[2003]857号）的有关规定执行。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合阳县中医医院</w:t>
      </w:r>
      <w:r>
        <w:rPr>
          <w:rFonts w:ascii="仿宋_GB2312" w:hAnsi="仿宋_GB2312" w:cs="仿宋_GB2312" w:eastAsia="仿宋_GB2312"/>
        </w:rPr>
        <w:t>和</w:t>
      </w:r>
      <w:r>
        <w:rPr>
          <w:rFonts w:ascii="仿宋_GB2312" w:hAnsi="仿宋_GB2312" w:cs="仿宋_GB2312" w:eastAsia="仿宋_GB2312"/>
        </w:rPr>
        <w:t>陕西金字招标有限责任公司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陕西金字招标有限责任公司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合阳县中医医院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陕西金字招标有限责任公司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陕西金字招标有限责任公司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HIS系统年度运维服务及接口打包服务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HIS系统年度运维服务及接口打包服务项目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标的名称：HIS系统年度运维服务及接口打包服务项目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pPr>
            <w:r>
              <w:rPr>
                <w:rFonts w:ascii="仿宋_GB2312" w:hAnsi="仿宋_GB2312" w:cs="仿宋_GB2312" w:eastAsia="仿宋_GB2312"/>
              </w:rPr>
              <w:t>1.1</w:t>
            </w:r>
            <w:r>
              <w:rPr>
                <w:rFonts w:ascii="仿宋_GB2312" w:hAnsi="仿宋_GB2312" w:cs="仿宋_GB2312" w:eastAsia="仿宋_GB2312"/>
                <w:sz w:val="24"/>
                <w:b/>
              </w:rPr>
              <w:t>服务范围</w:t>
            </w:r>
          </w:p>
          <w:tbl>
            <w:tblPr>
              <w:tblBorders>
                <w:top w:val="none" w:color="000000" w:sz="4"/>
                <w:left w:val="none" w:color="000000" w:sz="4"/>
                <w:bottom w:val="none" w:color="000000" w:sz="4"/>
                <w:right w:val="none" w:color="000000" w:sz="4"/>
                <w:insideH w:val="none"/>
                <w:insideV w:val="none"/>
              </w:tblBorders>
            </w:tblPr>
            <w:tblGrid>
              <w:gridCol w:w="210"/>
              <w:gridCol w:w="820"/>
              <w:gridCol w:w="1081"/>
              <w:gridCol w:w="430"/>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产品分类</w:t>
                  </w:r>
                </w:p>
              </w:tc>
              <w:tc>
                <w:tcPr>
                  <w:tcW w:type="dxa" w:w="1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子系统名称</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数量</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基础业务系统</w:t>
                  </w:r>
                  <w:r>
                    <w:br/>
                  </w:r>
                  <w:r>
                    <w:rPr>
                      <w:rFonts w:ascii="仿宋_GB2312" w:hAnsi="仿宋_GB2312" w:cs="仿宋_GB2312" w:eastAsia="仿宋_GB2312"/>
                      <w:sz w:val="21"/>
                      <w:color w:val="000000"/>
                    </w:rPr>
                    <w:t>（基础</w:t>
                  </w:r>
                  <w:r>
                    <w:rPr>
                      <w:rFonts w:ascii="仿宋_GB2312" w:hAnsi="仿宋_GB2312" w:cs="仿宋_GB2312" w:eastAsia="仿宋_GB2312"/>
                      <w:sz w:val="21"/>
                      <w:color w:val="000000"/>
                    </w:rPr>
                    <w:t>HIS）</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门急诊挂号系统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门急诊收费系统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住院费用管理系统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门诊中西医药房管理系统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住院药房管理系统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住院病人入出转管理系统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财务管理系统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临床信息系统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CIS）</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门急诊医生工作站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住院医生工作站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病区护士工作站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抗菌药物分级管理系统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合理用药监测系统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处方点评系统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院内感染管理系统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手术麻醉系统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临床路径管理系统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临床用血管理系统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心电管理系统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电子病历系统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EMR）</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智能门急诊电子病历系统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智能住院电子病历系统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智能电子病历质控系统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病案首页质控系统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检验信息系统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LIS）</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检验信息系统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检验试剂管理系统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检验主任查询</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危急值管理</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医学影像系统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PACS）</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新版放射影像信息系统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临床影像浏览工作站</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超声信息系统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内镜信息系统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病理管理系统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医技管理系统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门诊输液管理系统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医技执行管理系统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手术安排与费用管理系统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健康体检管理系统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运营管理系统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药库管理与药品会计系统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后勤物资管理系统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卫生材料管理系统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综合查询与分析系统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医疗管理系统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病案管理系统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患者服务系统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院内一卡通管理系统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微服务平台</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接口系统</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医保接口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电子票据接口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食源性疾病上报接口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廉洁风险防控系统接口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QMS接口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传染性疾病上报接口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流感上报接口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渭南市健康大数据平台接口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渭南市健康电子码接口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国家病案首页上报工具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药品追溯码接口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中医管理平台接口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防统方接口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区域卫生信息平台接口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院内检验检查设备接口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其他设备接口</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LIS设备接口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冗余</w:t>
                  </w:r>
                  <w:r>
                    <w:rPr>
                      <w:rFonts w:ascii="仿宋_GB2312" w:hAnsi="仿宋_GB2312" w:cs="仿宋_GB2312" w:eastAsia="仿宋_GB2312"/>
                      <w:sz w:val="21"/>
                      <w:color w:val="000000"/>
                    </w:rPr>
                    <w:t>3台</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tcBorders>
                    <w:top w:val="none" w:color="000000" w:sz="4"/>
                    <w:left w:val="none" w:color="000000" w:sz="4"/>
                    <w:bottom w:val="non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PACS设备接口</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冗余</w:t>
                  </w:r>
                  <w:r>
                    <w:rPr>
                      <w:rFonts w:ascii="仿宋_GB2312" w:hAnsi="仿宋_GB2312" w:cs="仿宋_GB2312" w:eastAsia="仿宋_GB2312"/>
                      <w:sz w:val="21"/>
                      <w:color w:val="000000"/>
                    </w:rPr>
                    <w:t>3台</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82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其他</w:t>
                  </w: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系统管理工具</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820"/>
                  <w:vMerge/>
                  <w:tcBorders>
                    <w:top w:val="none" w:color="000000" w:sz="4"/>
                    <w:left w:val="none" w:color="000000" w:sz="4"/>
                    <w:bottom w:val="single" w:color="000000" w:sz="4"/>
                    <w:right w:val="single" w:color="000000" w:sz="4"/>
                  </w:tcBorders>
                </w:tcPr>
                <w:p/>
              </w:tc>
              <w:tc>
                <w:tcPr>
                  <w:tcW w:type="dxa" w:w="1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自定义报表系统</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r>
          </w:tbl>
          <w:p>
            <w:pPr>
              <w:pStyle w:val="null3"/>
              <w:jc w:val="both"/>
              <w:outlineLvl w:val="1"/>
            </w:pPr>
            <w:r>
              <w:rPr>
                <w:rFonts w:ascii="仿宋_GB2312" w:hAnsi="仿宋_GB2312" w:cs="仿宋_GB2312" w:eastAsia="仿宋_GB2312"/>
                <w:sz w:val="24"/>
                <w:b/>
              </w:rPr>
              <w:t>1.2</w:t>
            </w:r>
            <w:r>
              <w:rPr>
                <w:rFonts w:ascii="仿宋_GB2312" w:hAnsi="仿宋_GB2312" w:cs="仿宋_GB2312" w:eastAsia="仿宋_GB2312"/>
                <w:sz w:val="24"/>
                <w:b/>
              </w:rPr>
              <w:t>服务内容</w:t>
            </w:r>
          </w:p>
          <w:p>
            <w:pPr>
              <w:pStyle w:val="null3"/>
              <w:ind w:firstLine="480"/>
            </w:pPr>
            <w:r>
              <w:rPr>
                <w:rFonts w:ascii="仿宋_GB2312" w:hAnsi="仿宋_GB2312" w:cs="仿宋_GB2312" w:eastAsia="仿宋_GB2312"/>
                <w:sz w:val="24"/>
              </w:rPr>
              <w:t>1、系统日常运行监控与故障排除（7x24小时应急响应）</w:t>
            </w:r>
          </w:p>
          <w:p>
            <w:pPr>
              <w:pStyle w:val="null3"/>
              <w:ind w:firstLine="480"/>
            </w:pPr>
            <w:r>
              <w:rPr>
                <w:rFonts w:ascii="仿宋_GB2312" w:hAnsi="仿宋_GB2312" w:cs="仿宋_GB2312" w:eastAsia="仿宋_GB2312"/>
                <w:sz w:val="24"/>
              </w:rPr>
              <w:t>针对系统的日常运行有监管功能，记录日常操作日志，发现故障后可回溯追踪，并及时排除故障点。</w:t>
            </w:r>
          </w:p>
          <w:p>
            <w:pPr>
              <w:pStyle w:val="null3"/>
              <w:ind w:firstLine="480"/>
            </w:pPr>
            <w:r>
              <w:rPr>
                <w:rFonts w:ascii="仿宋_GB2312" w:hAnsi="仿宋_GB2312" w:cs="仿宋_GB2312" w:eastAsia="仿宋_GB2312"/>
                <w:sz w:val="24"/>
              </w:rPr>
              <w:t>2、政策性接口响应</w:t>
            </w:r>
          </w:p>
          <w:p>
            <w:pPr>
              <w:pStyle w:val="null3"/>
              <w:ind w:firstLine="480"/>
            </w:pPr>
            <w:r>
              <w:rPr>
                <w:rFonts w:ascii="仿宋_GB2312" w:hAnsi="仿宋_GB2312" w:cs="仿宋_GB2312" w:eastAsia="仿宋_GB2312"/>
                <w:sz w:val="24"/>
              </w:rPr>
              <w:t>配合医院完成卫生，医保政策性业务</w:t>
            </w:r>
            <w:r>
              <w:rPr>
                <w:rFonts w:ascii="仿宋_GB2312" w:hAnsi="仿宋_GB2312" w:cs="仿宋_GB2312" w:eastAsia="仿宋_GB2312"/>
                <w:sz w:val="24"/>
              </w:rPr>
              <w:t>/数据上报处理工作。</w:t>
            </w:r>
          </w:p>
          <w:p>
            <w:pPr>
              <w:pStyle w:val="null3"/>
              <w:ind w:firstLine="480"/>
            </w:pPr>
            <w:r>
              <w:rPr>
                <w:rFonts w:ascii="仿宋_GB2312" w:hAnsi="仿宋_GB2312" w:cs="仿宋_GB2312" w:eastAsia="仿宋_GB2312"/>
                <w:sz w:val="24"/>
              </w:rPr>
              <w:t>3、系统补丁更新与漏洞修复。</w:t>
            </w:r>
          </w:p>
          <w:p>
            <w:pPr>
              <w:pStyle w:val="null3"/>
              <w:ind w:firstLine="480"/>
            </w:pPr>
            <w:r>
              <w:rPr>
                <w:rFonts w:ascii="仿宋_GB2312" w:hAnsi="仿宋_GB2312" w:cs="仿宋_GB2312" w:eastAsia="仿宋_GB2312"/>
                <w:sz w:val="24"/>
              </w:rPr>
              <w:t>日常运行以及每次升级后及时更新补丁，对发现的系统漏洞积极处理，保障系统平稳运行。</w:t>
            </w:r>
          </w:p>
          <w:p>
            <w:pPr>
              <w:pStyle w:val="null3"/>
              <w:ind w:firstLine="480"/>
            </w:pPr>
            <w:r>
              <w:rPr>
                <w:rFonts w:ascii="仿宋_GB2312" w:hAnsi="仿宋_GB2312" w:cs="仿宋_GB2312" w:eastAsia="仿宋_GB2312"/>
                <w:sz w:val="24"/>
              </w:rPr>
              <w:t>4、数据库维护与优化。</w:t>
            </w:r>
          </w:p>
          <w:p>
            <w:pPr>
              <w:pStyle w:val="null3"/>
              <w:ind w:firstLine="480"/>
            </w:pPr>
            <w:r>
              <w:rPr>
                <w:rFonts w:ascii="仿宋_GB2312" w:hAnsi="仿宋_GB2312" w:cs="仿宋_GB2312" w:eastAsia="仿宋_GB2312"/>
                <w:sz w:val="24"/>
              </w:rPr>
              <w:t>定期对系统数据库进行维护检查，根据产品更新及时维护。</w:t>
            </w:r>
          </w:p>
          <w:p>
            <w:pPr>
              <w:pStyle w:val="null3"/>
              <w:ind w:firstLine="480"/>
            </w:pPr>
            <w:r>
              <w:rPr>
                <w:rFonts w:ascii="仿宋_GB2312" w:hAnsi="仿宋_GB2312" w:cs="仿宋_GB2312" w:eastAsia="仿宋_GB2312"/>
                <w:sz w:val="24"/>
              </w:rPr>
              <w:t>5、基础环境（操作系统、中间件等）与系统相关的协调支持。</w:t>
            </w:r>
          </w:p>
          <w:p>
            <w:pPr>
              <w:pStyle w:val="null3"/>
              <w:ind w:firstLine="480"/>
            </w:pPr>
            <w:r>
              <w:rPr>
                <w:rFonts w:ascii="仿宋_GB2312" w:hAnsi="仿宋_GB2312" w:cs="仿宋_GB2312" w:eastAsia="仿宋_GB2312"/>
                <w:sz w:val="24"/>
              </w:rPr>
              <w:t>提供稳定的操作环境，使用的信息系统间产生的各类对接问题，信息科发现上报后及时解决。</w:t>
            </w:r>
          </w:p>
          <w:p>
            <w:pPr>
              <w:pStyle w:val="null3"/>
              <w:ind w:firstLine="480"/>
            </w:pPr>
            <w:r>
              <w:rPr>
                <w:rFonts w:ascii="仿宋_GB2312" w:hAnsi="仿宋_GB2312" w:cs="仿宋_GB2312" w:eastAsia="仿宋_GB2312"/>
                <w:sz w:val="24"/>
              </w:rPr>
              <w:t>6、操作指导与技术支持。</w:t>
            </w:r>
          </w:p>
          <w:p>
            <w:pPr>
              <w:pStyle w:val="null3"/>
              <w:ind w:firstLine="480"/>
            </w:pPr>
            <w:r>
              <w:rPr>
                <w:rFonts w:ascii="仿宋_GB2312" w:hAnsi="仿宋_GB2312" w:cs="仿宋_GB2312" w:eastAsia="仿宋_GB2312"/>
                <w:sz w:val="24"/>
              </w:rPr>
              <w:t>针对系统使用日常所产生的问题，提供专业的技术支持，及时解决问题。当发现业务流程错误、操作不当等行为时，及时予以指导订正。提供日常问题的对接处理平台。</w:t>
            </w:r>
          </w:p>
          <w:p>
            <w:pPr>
              <w:pStyle w:val="null3"/>
              <w:ind w:firstLine="480"/>
            </w:pPr>
            <w:r>
              <w:rPr>
                <w:rFonts w:ascii="仿宋_GB2312" w:hAnsi="仿宋_GB2312" w:cs="仿宋_GB2312" w:eastAsia="仿宋_GB2312"/>
                <w:sz w:val="24"/>
              </w:rPr>
              <w:t>7、重大节假日或活动期间的技术保障。</w:t>
            </w:r>
          </w:p>
          <w:p>
            <w:pPr>
              <w:pStyle w:val="null3"/>
              <w:ind w:firstLine="480"/>
            </w:pPr>
            <w:r>
              <w:rPr>
                <w:rFonts w:ascii="仿宋_GB2312" w:hAnsi="仿宋_GB2312" w:cs="仿宋_GB2312" w:eastAsia="仿宋_GB2312"/>
                <w:sz w:val="24"/>
              </w:rPr>
              <w:t>周内双休和大小法定节假日期间，提供可联系的技术支撑，以应对突发情况，且国庆、春节等长假前需派人对核心业务进行询价，排除隐患。</w:t>
            </w:r>
          </w:p>
          <w:p>
            <w:pPr>
              <w:pStyle w:val="null3"/>
              <w:ind w:firstLine="480"/>
            </w:pPr>
            <w:r>
              <w:rPr>
                <w:rFonts w:ascii="仿宋_GB2312" w:hAnsi="仿宋_GB2312" w:cs="仿宋_GB2312" w:eastAsia="仿宋_GB2312"/>
                <w:sz w:val="24"/>
              </w:rPr>
              <w:t>8、预留检验检查设备接口</w:t>
            </w:r>
          </w:p>
          <w:p>
            <w:pPr>
              <w:pStyle w:val="null3"/>
              <w:ind w:firstLine="480"/>
            </w:pPr>
            <w:r>
              <w:rPr>
                <w:rFonts w:ascii="仿宋_GB2312" w:hAnsi="仿宋_GB2312" w:cs="仿宋_GB2312" w:eastAsia="仿宋_GB2312"/>
                <w:sz w:val="24"/>
              </w:rPr>
              <w:t>针对医院后期变更或新购设备，预留</w:t>
            </w:r>
            <w:r>
              <w:rPr>
                <w:rFonts w:ascii="仿宋_GB2312" w:hAnsi="仿宋_GB2312" w:cs="仿宋_GB2312" w:eastAsia="仿宋_GB2312"/>
                <w:sz w:val="24"/>
              </w:rPr>
              <w:t>LIS/PACS设备接口，各冗余3台。</w:t>
            </w:r>
          </w:p>
          <w:p>
            <w:pPr>
              <w:pStyle w:val="null3"/>
              <w:jc w:val="both"/>
              <w:outlineLvl w:val="1"/>
            </w:pPr>
            <w:r>
              <w:rPr>
                <w:rFonts w:ascii="仿宋_GB2312" w:hAnsi="仿宋_GB2312" w:cs="仿宋_GB2312" w:eastAsia="仿宋_GB2312"/>
                <w:sz w:val="24"/>
                <w:b/>
              </w:rPr>
              <w:t>1.3</w:t>
            </w:r>
            <w:r>
              <w:rPr>
                <w:rFonts w:ascii="仿宋_GB2312" w:hAnsi="仿宋_GB2312" w:cs="仿宋_GB2312" w:eastAsia="仿宋_GB2312"/>
                <w:sz w:val="24"/>
                <w:b/>
              </w:rPr>
              <w:t>服务总体要求</w:t>
            </w:r>
          </w:p>
          <w:p>
            <w:pPr>
              <w:pStyle w:val="null3"/>
              <w:ind w:firstLine="480"/>
              <w:jc w:val="both"/>
            </w:pPr>
            <w:r>
              <w:rPr>
                <w:rFonts w:ascii="仿宋_GB2312" w:hAnsi="仿宋_GB2312" w:cs="仿宋_GB2312" w:eastAsia="仿宋_GB2312"/>
                <w:sz w:val="24"/>
              </w:rPr>
              <w:t>1、负责提供合同中约定的服务项目；</w:t>
            </w:r>
          </w:p>
          <w:p>
            <w:pPr>
              <w:pStyle w:val="null3"/>
              <w:ind w:firstLine="480"/>
              <w:jc w:val="both"/>
            </w:pPr>
            <w:r>
              <w:rPr>
                <w:rFonts w:ascii="仿宋_GB2312" w:hAnsi="仿宋_GB2312" w:cs="仿宋_GB2312" w:eastAsia="仿宋_GB2312"/>
                <w:sz w:val="24"/>
              </w:rPr>
              <w:t>2、对</w:t>
            </w:r>
            <w:r>
              <w:rPr>
                <w:rFonts w:ascii="仿宋_GB2312" w:hAnsi="仿宋_GB2312" w:cs="仿宋_GB2312" w:eastAsia="仿宋_GB2312"/>
                <w:sz w:val="24"/>
              </w:rPr>
              <w:t>医院</w:t>
            </w:r>
            <w:r>
              <w:rPr>
                <w:rFonts w:ascii="仿宋_GB2312" w:hAnsi="仿宋_GB2312" w:cs="仿宋_GB2312" w:eastAsia="仿宋_GB2312"/>
                <w:sz w:val="24"/>
              </w:rPr>
              <w:t>提出的请求按时响应；</w:t>
            </w:r>
          </w:p>
          <w:p>
            <w:pPr>
              <w:pStyle w:val="null3"/>
              <w:ind w:firstLine="480"/>
              <w:jc w:val="both"/>
            </w:pPr>
            <w:r>
              <w:rPr>
                <w:rFonts w:ascii="仿宋_GB2312" w:hAnsi="仿宋_GB2312" w:cs="仿宋_GB2312" w:eastAsia="仿宋_GB2312"/>
                <w:sz w:val="24"/>
              </w:rPr>
              <w:t>3、保证服务范围内的产品的稳定运行，在维保期内，对服务范围内的产品免费升级；</w:t>
            </w:r>
          </w:p>
          <w:p>
            <w:pPr>
              <w:pStyle w:val="null3"/>
              <w:ind w:firstLine="480"/>
              <w:jc w:val="both"/>
            </w:pPr>
            <w:r>
              <w:rPr>
                <w:rFonts w:ascii="仿宋_GB2312" w:hAnsi="仿宋_GB2312" w:cs="仿宋_GB2312" w:eastAsia="仿宋_GB2312"/>
                <w:sz w:val="24"/>
              </w:rPr>
              <w:t>4、需配备专业的服务人员，提供7×24小时服务，对于紧急问题立即响应，远程无法处理的在24小时内现场响应；</w:t>
            </w:r>
          </w:p>
          <w:p>
            <w:pPr>
              <w:pStyle w:val="null3"/>
              <w:ind w:firstLine="480"/>
              <w:jc w:val="both"/>
            </w:pPr>
            <w:r>
              <w:rPr>
                <w:rFonts w:ascii="仿宋_GB2312" w:hAnsi="仿宋_GB2312" w:cs="仿宋_GB2312" w:eastAsia="仿宋_GB2312"/>
                <w:sz w:val="24"/>
              </w:rPr>
              <w:t>5、服务方式包括电话、邮件、远程及现场服务等；</w:t>
            </w:r>
          </w:p>
          <w:p>
            <w:pPr>
              <w:pStyle w:val="null3"/>
              <w:ind w:firstLine="480"/>
              <w:jc w:val="both"/>
            </w:pPr>
            <w:r>
              <w:rPr>
                <w:rFonts w:ascii="仿宋_GB2312" w:hAnsi="仿宋_GB2312" w:cs="仿宋_GB2312" w:eastAsia="仿宋_GB2312"/>
                <w:sz w:val="24"/>
              </w:rPr>
              <w:t>6、每季度进行一次数据完整性及安全性验证；</w:t>
            </w:r>
          </w:p>
          <w:p>
            <w:pPr>
              <w:pStyle w:val="null3"/>
              <w:ind w:firstLine="480"/>
              <w:jc w:val="both"/>
            </w:pPr>
            <w:r>
              <w:rPr>
                <w:rFonts w:ascii="仿宋_GB2312" w:hAnsi="仿宋_GB2312" w:cs="仿宋_GB2312" w:eastAsia="仿宋_GB2312"/>
                <w:sz w:val="24"/>
              </w:rPr>
              <w:t>7、每季度进行一次进行数据库调整优化，提高访问数据速度；</w:t>
            </w:r>
          </w:p>
          <w:p>
            <w:pPr>
              <w:pStyle w:val="null3"/>
              <w:ind w:firstLine="480"/>
              <w:jc w:val="both"/>
            </w:pPr>
            <w:r>
              <w:rPr>
                <w:rFonts w:ascii="仿宋_GB2312" w:hAnsi="仿宋_GB2312" w:cs="仿宋_GB2312" w:eastAsia="仿宋_GB2312"/>
                <w:sz w:val="24"/>
              </w:rPr>
              <w:t>8、协助医院进行医疗设备调试，保证系统完整安全应用；</w:t>
            </w:r>
          </w:p>
          <w:p>
            <w:pPr>
              <w:pStyle w:val="null3"/>
              <w:ind w:firstLine="480"/>
              <w:jc w:val="both"/>
            </w:pPr>
            <w:r>
              <w:rPr>
                <w:rFonts w:ascii="仿宋_GB2312" w:hAnsi="仿宋_GB2312" w:cs="仿宋_GB2312" w:eastAsia="仿宋_GB2312"/>
                <w:sz w:val="24"/>
              </w:rPr>
              <w:t>9、响应开始后，提出解决方案，积极解决问题；</w:t>
            </w:r>
          </w:p>
          <w:p>
            <w:pPr>
              <w:pStyle w:val="null3"/>
              <w:ind w:firstLine="480"/>
              <w:jc w:val="both"/>
            </w:pPr>
            <w:r>
              <w:rPr>
                <w:rFonts w:ascii="仿宋_GB2312" w:hAnsi="仿宋_GB2312" w:cs="仿宋_GB2312" w:eastAsia="仿宋_GB2312"/>
                <w:sz w:val="24"/>
              </w:rPr>
              <w:t>10、提供服务期间的文档；</w:t>
            </w:r>
          </w:p>
          <w:p>
            <w:pPr>
              <w:pStyle w:val="null3"/>
              <w:ind w:firstLine="480"/>
              <w:jc w:val="both"/>
            </w:pPr>
            <w:r>
              <w:rPr>
                <w:rFonts w:ascii="仿宋_GB2312" w:hAnsi="仿宋_GB2312" w:cs="仿宋_GB2312" w:eastAsia="仿宋_GB2312"/>
                <w:sz w:val="24"/>
              </w:rPr>
              <w:t>11、对医院进行解决技术问题的业务培训；</w:t>
            </w:r>
          </w:p>
          <w:p>
            <w:pPr>
              <w:pStyle w:val="null3"/>
              <w:ind w:firstLine="480"/>
              <w:jc w:val="both"/>
            </w:pPr>
            <w:r>
              <w:rPr>
                <w:rFonts w:ascii="仿宋_GB2312" w:hAnsi="仿宋_GB2312" w:cs="仿宋_GB2312" w:eastAsia="仿宋_GB2312"/>
                <w:sz w:val="24"/>
              </w:rPr>
              <w:t>12、发现医院提供的技术资料、数据及工作条件不符合约定的，应及时通知医院补充、修改或更换；</w:t>
            </w:r>
          </w:p>
          <w:p>
            <w:pPr>
              <w:pStyle w:val="null3"/>
              <w:ind w:firstLine="480"/>
              <w:jc w:val="both"/>
            </w:pPr>
            <w:r>
              <w:rPr>
                <w:rFonts w:ascii="仿宋_GB2312" w:hAnsi="仿宋_GB2312" w:cs="仿宋_GB2312" w:eastAsia="仿宋_GB2312"/>
                <w:sz w:val="24"/>
              </w:rPr>
              <w:t>13、在工作期间，发现继续工作对设备有损害危险时，应及时</w:t>
            </w:r>
            <w:r>
              <w:rPr>
                <w:rFonts w:ascii="仿宋_GB2312" w:hAnsi="仿宋_GB2312" w:cs="仿宋_GB2312" w:eastAsia="仿宋_GB2312"/>
                <w:sz w:val="24"/>
              </w:rPr>
              <w:t>对</w:t>
            </w:r>
            <w:r>
              <w:rPr>
                <w:rFonts w:ascii="仿宋_GB2312" w:hAnsi="仿宋_GB2312" w:cs="仿宋_GB2312" w:eastAsia="仿宋_GB2312"/>
                <w:sz w:val="24"/>
              </w:rPr>
              <w:t>医院提出建议；</w:t>
            </w:r>
          </w:p>
          <w:p>
            <w:pPr>
              <w:pStyle w:val="null3"/>
              <w:ind w:firstLine="480"/>
              <w:jc w:val="both"/>
            </w:pPr>
            <w:r>
              <w:rPr>
                <w:rFonts w:ascii="仿宋_GB2312" w:hAnsi="仿宋_GB2312" w:cs="仿宋_GB2312" w:eastAsia="仿宋_GB2312"/>
                <w:sz w:val="24"/>
              </w:rPr>
              <w:t>14、约束其员工遵守保密规定；</w:t>
            </w:r>
          </w:p>
          <w:p>
            <w:pPr>
              <w:pStyle w:val="null3"/>
              <w:ind w:firstLine="480"/>
              <w:jc w:val="both"/>
            </w:pPr>
            <w:r>
              <w:rPr>
                <w:rFonts w:ascii="仿宋_GB2312" w:hAnsi="仿宋_GB2312" w:cs="仿宋_GB2312" w:eastAsia="仿宋_GB2312"/>
                <w:sz w:val="24"/>
              </w:rPr>
              <w:t>15、在医院发生不可抗拒的系统故障（如地震、火灾、雷击等），帮助</w:t>
            </w:r>
            <w:r>
              <w:rPr>
                <w:rFonts w:ascii="仿宋_GB2312" w:hAnsi="仿宋_GB2312" w:cs="仿宋_GB2312" w:eastAsia="仿宋_GB2312"/>
                <w:sz w:val="24"/>
              </w:rPr>
              <w:t>医院</w:t>
            </w:r>
            <w:r>
              <w:rPr>
                <w:rFonts w:ascii="仿宋_GB2312" w:hAnsi="仿宋_GB2312" w:cs="仿宋_GB2312" w:eastAsia="仿宋_GB2312"/>
                <w:sz w:val="24"/>
              </w:rPr>
              <w:t>尽快恢复正常运行</w:t>
            </w:r>
            <w:r>
              <w:rPr>
                <w:rFonts w:ascii="仿宋_GB2312" w:hAnsi="仿宋_GB2312" w:cs="仿宋_GB2312" w:eastAsia="仿宋_GB2312"/>
                <w:sz w:val="24"/>
              </w:rPr>
              <w:t>。</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提供满足本项目服务需求的人员配置</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提供满足本项目服务需求的设施设备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首次服务期限为1年，首次服务期届满前，双方可协商续签合同，经甲方考核合格后续签合同至第2年（成交金额不变）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合阳县中医医院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合同签订半年后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验收达到合格标准。保证服务范围内的产品的稳定运行。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按《中华人民共和国政府采购法》、《中华人民共和国民法典》中的相关条款执行未按合同或采购文件要求提供的服务，质量不能满足采购人技术要求，采购单位有权终止合同，甚至对供应商违约行为进行追究。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（2）、供应商应具备良好的商业信誉，提供参加政府采购活动前3年内在经营活动中没有重大违法记录的书面声明； （3）、财务状况报告：供应商提供2024或2025的财务审计报告（至少包括资产负债表和利润表，成立时间至提交响应文件截止时间不足一年的可提供成立后任意时段的资产负债表），或其开标前六个月内银行开具的资信证明； （4）、社会保障资金缴纳证明：供应商提供已缴存的2025年度4月至今任意一个月的社会保障资金缴存单据或社保机构开具的社会保险参保缴费情况证明，单据或证明上应有社保机构或代收机构的公章。依法不需要缴纳社会保障资金的供应商应提供相关文件证明； （5）、税收缴纳证明：供应商提供已缴纳的2025年度4月至今任意一个月的纳税证明或完税证明，纳税证明或完税证明上应有代收机构或税务机关的公章。依法免税的供应商应提供相关文件证明； （6）、供应商不得为“信用中国(www.creditchina.gov.cn)”中列入失信被执行人和重大税收违法案件当事人名单的供应商，不得为“中国政府采购网(www.ccgp.gov.cn)” 政府采购严重违法失信行为记录名单中被财政部门禁止参加政府采购活动的供应商； （7）、具备履行合同所必需的设备和专业技术能力的证明材料（书面声明）；供应商需在项目电子化交易系统中按要求填写《响应函》完成承诺并进行电子签章。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资格证明文件 服务内容及服务邀请应答表 中小企业声明函 残疾人福利性单位声明函 商务应答表 服务方案 标的清单 保证金缴纳凭证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法定代表人直接参加谈判的，须出具法人身份证明及身份证复印件；法定代表人授权代表参加谈判的，须出具法定代表人授权书及授权代表身份证复印件；</w:t>
            </w:r>
          </w:p>
        </w:tc>
        <w:tc>
          <w:tcPr>
            <w:tcW w:type="dxa" w:w="3322"/>
          </w:tcPr>
          <w:p>
            <w:pPr>
              <w:pStyle w:val="null3"/>
            </w:pPr>
            <w:r>
              <w:rPr>
                <w:rFonts w:ascii="仿宋_GB2312" w:hAnsi="仿宋_GB2312" w:cs="仿宋_GB2312" w:eastAsia="仿宋_GB2312"/>
              </w:rPr>
              <w:t>法定代表人直接参加谈判的，须出具法人身份证明及身份证复印件；法定代表人授权代表参加谈判的，须出具法定代表人授权书及授权代表身份证复印件。</w:t>
            </w:r>
          </w:p>
        </w:tc>
        <w:tc>
          <w:tcPr>
            <w:tcW w:type="dxa" w:w="1661"/>
          </w:tcPr>
          <w:p>
            <w:pPr>
              <w:pStyle w:val="null3"/>
            </w:pPr>
            <w:r>
              <w:rPr>
                <w:rFonts w:ascii="仿宋_GB2312" w:hAnsi="仿宋_GB2312" w:cs="仿宋_GB2312" w:eastAsia="仿宋_GB2312"/>
              </w:rPr>
              <w:t>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投标人提交的相关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按采购文件要求进行签章</w:t>
            </w:r>
          </w:p>
        </w:tc>
        <w:tc>
          <w:tcPr>
            <w:tcW w:type="dxa" w:w="1661"/>
          </w:tcPr>
          <w:p>
            <w:pPr>
              <w:pStyle w:val="null3"/>
            </w:pPr>
            <w:r>
              <w:rPr>
                <w:rFonts w:ascii="仿宋_GB2312" w:hAnsi="仿宋_GB2312" w:cs="仿宋_GB2312" w:eastAsia="仿宋_GB2312"/>
              </w:rPr>
              <w:t>响应文件封面 资格证明文件 服务内容及服务邀请应答表 中小企业声明函 残疾人福利性单位声明函 商务应答表 服务方案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报价没有超出最高限价</w:t>
            </w:r>
          </w:p>
        </w:tc>
        <w:tc>
          <w:tcPr>
            <w:tcW w:type="dxa" w:w="1661"/>
          </w:tcPr>
          <w:p>
            <w:pPr>
              <w:pStyle w:val="null3"/>
            </w:pPr>
            <w:r>
              <w:rPr>
                <w:rFonts w:ascii="仿宋_GB2312" w:hAnsi="仿宋_GB2312" w:cs="仿宋_GB2312" w:eastAsia="仿宋_GB2312"/>
              </w:rPr>
              <w:t>报价表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详见附件：保证金缴纳凭证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