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版本号：ZZT-ZFCG-2026-080920260809001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富平县曹村镇柿乡名苑安置区基础设施建设项目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ZZT-ZFCG-2026-0809</w:t>
      </w:r>
      <w:r>
        <w:br/>
      </w:r>
      <w:r>
        <w:br/>
      </w:r>
      <w:r>
        <w:br/>
      </w:r>
    </w:p>
    <w:p>
      <w:pPr>
        <w:pStyle w:val="null3"/>
        <w:jc w:val="center"/>
        <w:outlineLvl w:val="2"/>
      </w:pPr>
      <w:r>
        <w:rPr>
          <w:rFonts w:ascii="仿宋_GB2312" w:hAnsi="仿宋_GB2312" w:cs="仿宋_GB2312" w:eastAsia="仿宋_GB2312"/>
          <w:sz w:val="28"/>
          <w:b/>
        </w:rPr>
        <w:t>富平县曹村镇人民政府（本级）</w:t>
      </w:r>
    </w:p>
    <w:p>
      <w:pPr>
        <w:pStyle w:val="null3"/>
        <w:jc w:val="center"/>
        <w:outlineLvl w:val="2"/>
      </w:pPr>
      <w:r>
        <w:rPr>
          <w:rFonts w:ascii="仿宋_GB2312" w:hAnsi="仿宋_GB2312" w:cs="仿宋_GB2312" w:eastAsia="仿宋_GB2312"/>
          <w:sz w:val="28"/>
          <w:b/>
        </w:rPr>
        <w:t>中智投工程管理有限公司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中智投工程管理有限公司</w:t>
      </w:r>
      <w:r>
        <w:rPr>
          <w:rFonts w:ascii="仿宋_GB2312" w:hAnsi="仿宋_GB2312" w:cs="仿宋_GB2312" w:eastAsia="仿宋_GB2312"/>
        </w:rPr>
        <w:t>（以下简称“代理机构”）受</w:t>
      </w:r>
      <w:r>
        <w:rPr>
          <w:rFonts w:ascii="仿宋_GB2312" w:hAnsi="仿宋_GB2312" w:cs="仿宋_GB2312" w:eastAsia="仿宋_GB2312"/>
        </w:rPr>
        <w:t>富平县曹村镇人民政府（本级）</w:t>
      </w:r>
      <w:r>
        <w:rPr>
          <w:rFonts w:ascii="仿宋_GB2312" w:hAnsi="仿宋_GB2312" w:cs="仿宋_GB2312" w:eastAsia="仿宋_GB2312"/>
        </w:rPr>
        <w:t>委托，拟对</w:t>
      </w:r>
      <w:r>
        <w:rPr>
          <w:rFonts w:ascii="仿宋_GB2312" w:hAnsi="仿宋_GB2312" w:cs="仿宋_GB2312" w:eastAsia="仿宋_GB2312"/>
        </w:rPr>
        <w:t>富平县曹村镇柿乡名苑安置区基础设施建设项目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ZZT-ZFCG-2026-0809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富平县曹村镇柿乡名苑安置区基础设施建设项目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拆除并硬化C25混凝土地面4800㎡，厚度18厘米;铺设DN300排水管网200米，新建雨水篦子4个，检查井2个。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采购包1（富平县曹村镇柿乡名苑安置区基础设施建设项目）：属于专门面向中小企业采购。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2、授权委托要求：提供法定代表人授权委托书（法定代表人参会提供法定代表人身份证明书）；</w:t>
      </w:r>
    </w:p>
    <w:p>
      <w:pPr>
        <w:pStyle w:val="null3"/>
      </w:pPr>
      <w:r>
        <w:rPr>
          <w:rFonts w:ascii="仿宋_GB2312" w:hAnsi="仿宋_GB2312" w:cs="仿宋_GB2312" w:eastAsia="仿宋_GB2312"/>
        </w:rPr>
        <w:t>3、资质、专业要求：具备建筑工程施工总承包三级及以上资质；</w:t>
      </w:r>
    </w:p>
    <w:p>
      <w:pPr>
        <w:pStyle w:val="null3"/>
      </w:pPr>
      <w:r>
        <w:rPr>
          <w:rFonts w:ascii="仿宋_GB2312" w:hAnsi="仿宋_GB2312" w:cs="仿宋_GB2312" w:eastAsia="仿宋_GB2312"/>
        </w:rPr>
        <w:t>4、安全生产许可证要求：具有建设行政主管部门核发有效的安全生产许可证；</w:t>
      </w:r>
    </w:p>
    <w:p>
      <w:pPr>
        <w:pStyle w:val="null3"/>
      </w:pPr>
      <w:r>
        <w:rPr>
          <w:rFonts w:ascii="仿宋_GB2312" w:hAnsi="仿宋_GB2312" w:cs="仿宋_GB2312" w:eastAsia="仿宋_GB2312"/>
        </w:rPr>
        <w:t>5、拟派项目经理资质和专业要求：拟派项目经理须具备建筑工程注册建造师二级及以上资格和有效的安全生产考核证书，须提供项目经理无在建工程的相关证明材料或承诺书；</w:t>
      </w:r>
    </w:p>
    <w:p>
      <w:pPr>
        <w:pStyle w:val="null3"/>
      </w:pPr>
      <w:r>
        <w:rPr>
          <w:rFonts w:ascii="仿宋_GB2312" w:hAnsi="仿宋_GB2312" w:cs="仿宋_GB2312" w:eastAsia="仿宋_GB2312"/>
        </w:rPr>
        <w:t>6、财务状况要求：提供开标前近三个月内基本开户银行开具的资信证明或2025年经审计的财务报告（财务报告须符合《财政部关于注册会计师行业统一监管平台上线运行的通知》财办[2022]32号文件要求，成立时间至提交响应文件截止时间不足一年的可提供成立后任意时段的财务报表）；</w:t>
      </w:r>
    </w:p>
    <w:p>
      <w:pPr>
        <w:pStyle w:val="null3"/>
      </w:pPr>
      <w:r>
        <w:rPr>
          <w:rFonts w:ascii="仿宋_GB2312" w:hAnsi="仿宋_GB2312" w:cs="仿宋_GB2312" w:eastAsia="仿宋_GB2312"/>
        </w:rPr>
        <w:t>7、缴纳税收的要求：须提供依法缴纳税收的良好记录（提供响应文件递交截止时间前六个月内任意一个月份的缴纳凭据复印件并加盖单位公章，依法免税或磋商公告发布前一年内零申报的供应商应提供相关证明文件）；</w:t>
      </w:r>
    </w:p>
    <w:p>
      <w:pPr>
        <w:pStyle w:val="null3"/>
      </w:pPr>
      <w:r>
        <w:rPr>
          <w:rFonts w:ascii="仿宋_GB2312" w:hAnsi="仿宋_GB2312" w:cs="仿宋_GB2312" w:eastAsia="仿宋_GB2312"/>
        </w:rPr>
        <w:t>8、缴纳社会保障资金的要求：须提供依法缴纳社会保障资金的良好记录（提供响应文件递交截止时间前六个月内任意一个月份的缴纳凭据复印件并加盖单位公章）；</w:t>
      </w:r>
    </w:p>
    <w:p>
      <w:pPr>
        <w:pStyle w:val="null3"/>
      </w:pPr>
      <w:r>
        <w:rPr>
          <w:rFonts w:ascii="仿宋_GB2312" w:hAnsi="仿宋_GB2312" w:cs="仿宋_GB2312" w:eastAsia="仿宋_GB2312"/>
        </w:rPr>
        <w:t>9、网站截图：响应文件递交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p>
      <w:pPr>
        <w:pStyle w:val="null3"/>
      </w:pPr>
      <w:r>
        <w:rPr>
          <w:rFonts w:ascii="仿宋_GB2312" w:hAnsi="仿宋_GB2312" w:cs="仿宋_GB2312" w:eastAsia="仿宋_GB2312"/>
        </w:rPr>
        <w:t>10、书面声明：提供近三年内在经营活动中无重大违法记录的书面声明；</w:t>
      </w:r>
    </w:p>
    <w:p>
      <w:pPr>
        <w:pStyle w:val="null3"/>
      </w:pPr>
      <w:r>
        <w:rPr>
          <w:rFonts w:ascii="仿宋_GB2312" w:hAnsi="仿宋_GB2312" w:cs="仿宋_GB2312" w:eastAsia="仿宋_GB2312"/>
        </w:rPr>
        <w:t>11、保证金转账凭证或保函复印件：提供磋商保证金银行转账凭证及基本账户信息证明资料复印件或金融机构、担保机构出具的保函复印件，复印件均须加盖公章；</w:t>
      </w:r>
    </w:p>
    <w:p>
      <w:pPr>
        <w:pStyle w:val="null3"/>
      </w:pPr>
      <w:r>
        <w:rPr>
          <w:rFonts w:ascii="仿宋_GB2312" w:hAnsi="仿宋_GB2312" w:cs="仿宋_GB2312" w:eastAsia="仿宋_GB2312"/>
        </w:rPr>
        <w:t>12、书面声明：提供单位负责人为同一人或者存在直接控股、管理关系的不同供应商，不得参加同一合同项下的政府采购活动的书面声明；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13、承诺书：提供具有履行本合同所必需的设备和专业技术能力的说明及承诺；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富平县曹村镇人民政府（本级）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富平县曹村镇街道中段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13554600369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中智投工程管理有限公司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陕西省西安市未央区陕西省西安市未央区渭滨路70号水晶卡芭拉11号楼1单元11301室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18392944018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开户名称：中智投工程管理有限公司富平县分公司</w:t>
            </w:r>
          </w:p>
          <w:p>
            <w:pPr>
              <w:pStyle w:val="null3"/>
            </w:pPr>
            <w:r>
              <w:rPr>
                <w:rFonts w:ascii="仿宋_GB2312" w:hAnsi="仿宋_GB2312" w:cs="仿宋_GB2312" w:eastAsia="仿宋_GB2312"/>
              </w:rPr>
              <w:t>开户银行：中国建设银行股份有限公司富平县支行</w:t>
            </w:r>
          </w:p>
          <w:p>
            <w:pPr>
              <w:pStyle w:val="null3"/>
            </w:pPr>
            <w:r>
              <w:rPr>
                <w:rFonts w:ascii="仿宋_GB2312" w:hAnsi="仿宋_GB2312" w:cs="仿宋_GB2312" w:eastAsia="仿宋_GB2312"/>
              </w:rPr>
              <w:t>银行账号：61050164830800003047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参照国家计委关于印发《《招标代理服务收费管理暂行办法》的通知（计价格〔2002〕1980号）、《国家发展和改革委员会办公厅关于招标代理服务收费有关问题的通知》（发改办价格〔2003〕857号）文件规定，招标代理费、编制标底费不计入工程造价。由中标单位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富平县曹村镇人民政府（本级）</w:t>
      </w:r>
      <w:r>
        <w:rPr>
          <w:rFonts w:ascii="仿宋_GB2312" w:hAnsi="仿宋_GB2312" w:cs="仿宋_GB2312" w:eastAsia="仿宋_GB2312"/>
        </w:rPr>
        <w:t>和</w:t>
      </w:r>
      <w:r>
        <w:rPr>
          <w:rFonts w:ascii="仿宋_GB2312" w:hAnsi="仿宋_GB2312" w:cs="仿宋_GB2312" w:eastAsia="仿宋_GB2312"/>
        </w:rPr>
        <w:t>中智投工程管理有限公司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富平县曹村镇人民政府（本级）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中智投工程管理有限公司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富平县曹村镇人民政府（本级）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中智投工程管理有限公司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详见响应文件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中智投工程管理有限公司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中智投工程管理有限公司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中智投工程管理有限公司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联系人：卢苗</w:t>
      </w:r>
    </w:p>
    <w:p>
      <w:pPr>
        <w:pStyle w:val="null3"/>
      </w:pPr>
      <w:r>
        <w:rPr>
          <w:rFonts w:ascii="仿宋_GB2312" w:hAnsi="仿宋_GB2312" w:cs="仿宋_GB2312" w:eastAsia="仿宋_GB2312"/>
        </w:rPr>
        <w:t>联系电话：18392944018</w:t>
      </w:r>
    </w:p>
    <w:p>
      <w:pPr>
        <w:pStyle w:val="null3"/>
      </w:pPr>
      <w:r>
        <w:rPr>
          <w:rFonts w:ascii="仿宋_GB2312" w:hAnsi="仿宋_GB2312" w:cs="仿宋_GB2312" w:eastAsia="仿宋_GB2312"/>
        </w:rPr>
        <w:t>地址：陕西省西安市未央区渭滨路 70 号水晶卡芭拉 11 号楼 1 单元 11301 室</w:t>
      </w:r>
    </w:p>
    <w:p>
      <w:pPr>
        <w:pStyle w:val="null3"/>
      </w:pPr>
      <w:r>
        <w:rPr>
          <w:rFonts w:ascii="仿宋_GB2312" w:hAnsi="仿宋_GB2312" w:cs="仿宋_GB2312" w:eastAsia="仿宋_GB2312"/>
        </w:rPr>
        <w:t>邮编：710200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1,295,897.95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富平县曹村镇柿乡名苑安置区基础设施建设项目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标的名称：富平县曹村镇柿乡名苑安置区基础设施建设项目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1、工程概况：</w:t>
            </w:r>
            <w:r>
              <w:rPr>
                <w:rFonts w:ascii="仿宋_GB2312" w:hAnsi="仿宋_GB2312" w:cs="仿宋_GB2312" w:eastAsia="仿宋_GB2312"/>
                <w:sz w:val="18"/>
                <w:color w:val="000000"/>
              </w:rPr>
              <w:t>拆除并硬化</w:t>
            </w:r>
            <w:r>
              <w:rPr>
                <w:rFonts w:ascii="仿宋_GB2312" w:hAnsi="仿宋_GB2312" w:cs="仿宋_GB2312" w:eastAsia="仿宋_GB2312"/>
                <w:sz w:val="18"/>
                <w:color w:val="000000"/>
              </w:rPr>
              <w:t>C25混凝土地面4800</w:t>
            </w:r>
            <w:r>
              <w:rPr>
                <w:rFonts w:ascii="仿宋_GB2312" w:hAnsi="仿宋_GB2312" w:cs="仿宋_GB2312" w:eastAsia="仿宋_GB2312"/>
                <w:sz w:val="18"/>
                <w:color w:val="000000"/>
              </w:rPr>
              <w:t>㎡</w:t>
            </w:r>
            <w:r>
              <w:rPr>
                <w:rFonts w:ascii="仿宋_GB2312" w:hAnsi="仿宋_GB2312" w:cs="仿宋_GB2312" w:eastAsia="仿宋_GB2312"/>
                <w:sz w:val="18"/>
                <w:color w:val="000000"/>
              </w:rPr>
              <w:t>，厚度</w:t>
            </w:r>
            <w:r>
              <w:rPr>
                <w:rFonts w:ascii="仿宋_GB2312" w:hAnsi="仿宋_GB2312" w:cs="仿宋_GB2312" w:eastAsia="仿宋_GB2312"/>
                <w:sz w:val="18"/>
                <w:color w:val="000000"/>
              </w:rPr>
              <w:t>18厘米;铺设DN300排水管网200米，新建雨水篦子4个，检查井2个；</w:t>
            </w:r>
          </w:p>
          <w:p>
            <w:pPr>
              <w:pStyle w:val="null3"/>
            </w:pPr>
            <w:r>
              <w:rPr>
                <w:rFonts w:ascii="仿宋_GB2312" w:hAnsi="仿宋_GB2312" w:cs="仿宋_GB2312" w:eastAsia="仿宋_GB2312"/>
                <w:sz w:val="18"/>
              </w:rPr>
              <w:t>2、质量标准：合格；</w:t>
            </w:r>
          </w:p>
          <w:p>
            <w:pPr>
              <w:pStyle w:val="null3"/>
            </w:pPr>
            <w:r>
              <w:rPr>
                <w:rFonts w:ascii="仿宋_GB2312" w:hAnsi="仿宋_GB2312" w:cs="仿宋_GB2312" w:eastAsia="仿宋_GB2312"/>
                <w:sz w:val="18"/>
              </w:rPr>
              <w:t>3、工期：45日历天（具体起止日期以合同签订时间为准）；</w:t>
            </w:r>
          </w:p>
          <w:p>
            <w:pPr>
              <w:pStyle w:val="null3"/>
            </w:pPr>
            <w:r>
              <w:rPr>
                <w:rFonts w:ascii="仿宋_GB2312" w:hAnsi="仿宋_GB2312" w:cs="仿宋_GB2312" w:eastAsia="仿宋_GB2312"/>
                <w:sz w:val="18"/>
              </w:rPr>
              <w:t>4、付款方式：合同签订后，支付合同总价30%作为预付款；工程竣工验收合格后，付至合同总价款的70%；待工程决算审计报告经双方签字盖章确认后，付至审定金额的97%；剩余3%作为质量保证金，于缺陷责任期满后一次性付清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符合国家、行业相关标准及要求，质量达到合格。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响应文件截止时间不足一年的可提供成立后任意时段的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提供法定代表人授权委托书（法定代表人参会提供法定代表人身份证明书）；</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资质、专业要求</w:t>
            </w:r>
          </w:p>
        </w:tc>
        <w:tc>
          <w:tcPr>
            <w:tcW w:type="dxa" w:w="3322"/>
          </w:tcPr>
          <w:p>
            <w:pPr>
              <w:pStyle w:val="null3"/>
            </w:pPr>
            <w:r>
              <w:rPr>
                <w:rFonts w:ascii="仿宋_GB2312" w:hAnsi="仿宋_GB2312" w:cs="仿宋_GB2312" w:eastAsia="仿宋_GB2312"/>
              </w:rPr>
              <w:t>具备建筑工程施工总承包三级及以上资质；</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安全生产许可证要求</w:t>
            </w:r>
          </w:p>
        </w:tc>
        <w:tc>
          <w:tcPr>
            <w:tcW w:type="dxa" w:w="3322"/>
          </w:tcPr>
          <w:p>
            <w:pPr>
              <w:pStyle w:val="null3"/>
            </w:pPr>
            <w:r>
              <w:rPr>
                <w:rFonts w:ascii="仿宋_GB2312" w:hAnsi="仿宋_GB2312" w:cs="仿宋_GB2312" w:eastAsia="仿宋_GB2312"/>
              </w:rPr>
              <w:t>具有建设行政主管部门核发有效的安全生产许可证；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拟派项目经理须具备建筑工程注册建造师二级及以上资格和有效的安全生产考核证书，须提供项目经理无在建工程的相关证明材料或承诺书；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响应文件截止时间不足一年的可提供成立后任意时段的财务报表）；</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须提供依法缴纳税收的良好记录（提供响应文件递交截止时间前六个月内任意一个月份的缴纳凭据复印件并加盖单位公章，依法免税或磋商公告发布前一年内零申报的供应商应提供相关证明文件）；</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须提供依法缴纳社会保障资金的良好记录（提供响应文件递交截止时间前六个月内任意一个月份的缴纳凭据复印件并加盖单位公章）；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响应文件递交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保证金转账凭证或保函复印件</w:t>
            </w:r>
          </w:p>
        </w:tc>
        <w:tc>
          <w:tcPr>
            <w:tcW w:type="dxa" w:w="3322"/>
          </w:tcPr>
          <w:p>
            <w:pPr>
              <w:pStyle w:val="null3"/>
            </w:pPr>
            <w:r>
              <w:rPr>
                <w:rFonts w:ascii="仿宋_GB2312" w:hAnsi="仿宋_GB2312" w:cs="仿宋_GB2312" w:eastAsia="仿宋_GB2312"/>
              </w:rPr>
              <w:t>提供磋商保证金银行转账凭证及基本账户信息证明资料复印件或金融机构、担保机构出具的保函复印件，复印件均须加盖公章；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资格证明文件.docx 强制优先采购产品承诺函 响应文件封面 项目管理机构组成表 残疾人福利性单位声明函 报价函 标的清单 供应商类似项目业绩一览表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供应商名称</w:t>
            </w:r>
          </w:p>
        </w:tc>
        <w:tc>
          <w:tcPr>
            <w:tcW w:type="dxa" w:w="3322"/>
          </w:tcPr>
          <w:p>
            <w:pPr>
              <w:pStyle w:val="null3"/>
            </w:pPr>
            <w:r>
              <w:rPr>
                <w:rFonts w:ascii="仿宋_GB2312" w:hAnsi="仿宋_GB2312" w:cs="仿宋_GB2312" w:eastAsia="仿宋_GB2312"/>
              </w:rPr>
              <w:t>与提供的证明材料一致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资格证明文件.docx 强制优先采购产品承诺函 响应文件封面 项目管理机构组成表 残疾人福利性单位声明函 供应商类似项目业绩一览表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磋商响应文件签字、盖章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资格证明文件.docx 强制优先采购产品承诺函 响应文件封面 项目管理机构组成表 残疾人福利性单位声明函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资格证明文件.docx 强制优先采购产品承诺函 响应文件封面 项目管理机构组成表 残疾人福利性单位声明函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 xml:space="preserve"> 投标保证金</w:t>
            </w:r>
          </w:p>
        </w:tc>
        <w:tc>
          <w:tcPr>
            <w:tcW w:type="dxa" w:w="3322"/>
          </w:tcPr>
          <w:p>
            <w:pPr>
              <w:pStyle w:val="null3"/>
            </w:pPr>
            <w:r>
              <w:rPr>
                <w:rFonts w:ascii="仿宋_GB2312" w:hAnsi="仿宋_GB2312" w:cs="仿宋_GB2312" w:eastAsia="仿宋_GB2312"/>
              </w:rPr>
              <w:t xml:space="preserve"> 符合磋商文件要求</w:t>
            </w:r>
          </w:p>
        </w:tc>
        <w:tc>
          <w:tcPr>
            <w:tcW w:type="dxa" w:w="1661"/>
          </w:tcPr>
          <w:p>
            <w:pPr>
              <w:pStyle w:val="null3"/>
            </w:pPr>
            <w:r>
              <w:rPr>
                <w:rFonts w:ascii="仿宋_GB2312" w:hAnsi="仿宋_GB2312" w:cs="仿宋_GB2312" w:eastAsia="仿宋_GB2312"/>
              </w:rPr>
              <w:t>响应文件封面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其他磋商文件或法律法规明确规定响应无效的事项</w:t>
            </w:r>
          </w:p>
        </w:tc>
        <w:tc>
          <w:tcPr>
            <w:tcW w:type="dxa" w:w="3322"/>
          </w:tcPr>
          <w:p>
            <w:pPr>
              <w:pStyle w:val="null3"/>
            </w:pPr>
            <w:r>
              <w:rPr>
                <w:rFonts w:ascii="仿宋_GB2312" w:hAnsi="仿宋_GB2312" w:cs="仿宋_GB2312" w:eastAsia="仿宋_GB2312"/>
              </w:rPr>
              <w:t>无其他磋商文件或法律法规明确规定响应无效的事项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资格证明文件.docx 强制优先采购产品承诺函 响应文件封面 项目管理机构组成表 残疾人福利性单位声明函 供应商类似项目业绩一览表 响应函 主要人员简历表 陕西省政府采购供应商拒绝政府采购领域商业贿赂承诺书.docx 监狱企业的证明文件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①质量管理目标②管理机构职责分工③质量管理制度④质量保证措施。方案全面 、有效的计8 分 ，方案不完善或有缺陷（不完善或有缺陷是指：方案粗略 、逻辑混乱 、描述过于简单 、与项目特点不匹配 、凭空编造、逻辑漏洞、出现常识性错误 、套用其他项目方案、存在不可能实现的夸大情形 、存在不适用项目实际情况的情形）每项扣1分 ，方案缺漏项或只有标题没有实质性内容的每项扣2分，扣完为止。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①安全管理目标②安全管理机构职责分工③安全管理制度④安全保证措施 。方案全面 、有效的计8 分 ，方案不完善或有缺陷（不完善或有缺陷是指：方案粗略 、逻辑混乱 、描述过于简单 、 与项目特点不匹配 、 凭空编造 、逻辑漏洞 、 出现常识性错误 、 套用其他项目方案 、存在不可能实现的夸大情形 、 存在不适用项 目实际情况的情形）每项扣1 分 ，方案缺漏项或只有标题没有实质性内容的每项扣 2分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①环境保护管理目标②环境保护管理机构 职责分工③环境保护管理制度④环境保护保证措 施 。方案合理完整的计 8 分 ，方案不完善或有缺陷 （不完善或有缺陷是指： 方案粗略 、逻辑混乱 、描述过于简单 、与项 目特点不匹配 、 凭空编造 、逻辑 漏洞 、 出现常识性错误 、套用其他项目方案 、存在不可能实现的夸大情形 、存在不适用项目实际情况 的情形）每项扣1 分 ，方案缺漏项或只有标题没有实质性内容的每项扣 2 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①总工期及节点工期安排②施工进度计划安排③进度保证措施 ④资源保障与优化配置。方案合理完整的计 8分 ，方案不完善或有缺陷（不完善或有缺陷是指：方案粗略、逻辑混乱、描述过于简单 、与项目特点不匹配、 凭空编造 、逻辑漏洞 、 出现常识性错误 、套用其他项目方案 、存在不可能实现的夸大情形 、存在不适 用项目实际情况的情形） 每项扣 1 分 ，方案缺漏项或只有标题没有实质性内容的每项扣 2 分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①对项目总体概况表述②施工部署及措施③对项 目主要及关键方案的表述④施工平面布置 。方案合理完善的计12分 ，方案不完善或有缺陷（不完善 或有缺陷是指： 方案粗略 、逻辑混乱 、描述过于简单 、与项目特点不匹配 、凭空编造 、逻辑漏洞 、出现常识性错误 、套用其他项目方案 、存在不可能实现的夸大情形 、存在不适用项目实际情况的情形） 每项扣1 分 ，方案缺漏项或只有标题没有实质性内容的每项扣3分 ， 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 目制定资源配备计划包含： ①劳动力计划②主要材料供应计划③施工机械设备配备计划。方案合理完整的计 6 分 ， 方案不完善或有缺陷 （不完善或有缺陷是指：方案粗略 、逻辑混乱 、描 述过于简单 、与项目特点不匹配 、 凭空编造 、逻辑 漏洞 、 出现常识性错误 、套用其他项目方案 、存在不可能实现的夸大情形 、存在不适用项目实际情况 的情形） 每项扣 1 分 ，方案缺漏项或只有标题没有实质性内容的每项扣 2 分 ， 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①施工过程中的相关承诺②投入材料质量承诺③质量保修期服务承诺④服务响应时间 。服务承诺合理 、可行的计 4 分 ，方案不完善或有缺陷（不完善或有缺陷是 指 ：方案粗略 、逻辑混乱 、描述过于简单 、与项 目 特点不匹配 、 凭空编造 、逻辑漏洞 、 出现常识性错误 、套用其他项目方案 、存在不可能实现的夸大情 形 、存在不适用项目实际情况的情形） 每项扣 0.5 分 ，方案缺漏项或只有标题没有实质性内容的每项扣 1 分 ， 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2023年06月01日至今完成的类似业绩，一项得2分，最多得6分。 注：须附类似项目业绩的中标（成交）通知书或合同或竣工验收证明材料复印件或扫描件），以提供证明资料的落款时间为准。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具有五大员（质量员、安全员、施工员、材料员、资料员）上岗证书（安全员须含安全生产考核合格证）的每证得1分；有相应职称证（初级及以上均可）的每证加1分，共计10分。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①评标基准价的确定：经对各供应商资格审查合格后，将有效投标（响应）价格最低的作为评标基准价，此项得满分；投标（响应）报价大于最高限价的，为无效报价，应作为无效标处理； ②根据下列公式计算出各供应商的投标（响应）报价与评标基准价的差异率。 其他供应商报价得分=(评标基准价／投标（响应）报价)×30%×100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