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版本号：慧科ZX-CG01099BF20260715001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西安市2026年度“四类用地”更新维护与“规土评让”技术支撑项目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慧科ZX-CG01099BF</w:t>
      </w:r>
      <w:r>
        <w:br/>
      </w:r>
      <w:r>
        <w:br/>
      </w:r>
      <w:r>
        <w:br/>
      </w:r>
    </w:p>
    <w:p>
      <w:pPr>
        <w:pStyle w:val="null3"/>
        <w:jc w:val="center"/>
        <w:outlineLvl w:val="2"/>
      </w:pPr>
      <w:r>
        <w:rPr>
          <w:rFonts w:ascii="仿宋_GB2312" w:hAnsi="仿宋_GB2312" w:cs="仿宋_GB2312" w:eastAsia="仿宋_GB2312"/>
          <w:sz w:val="28"/>
          <w:b/>
        </w:rPr>
        <w:t>西安市自然资源和规划局（本级）</w:t>
      </w:r>
    </w:p>
    <w:p>
      <w:pPr>
        <w:pStyle w:val="null3"/>
        <w:jc w:val="center"/>
        <w:outlineLvl w:val="2"/>
      </w:pPr>
      <w:r>
        <w:rPr>
          <w:rFonts w:ascii="仿宋_GB2312" w:hAnsi="仿宋_GB2312" w:cs="仿宋_GB2312" w:eastAsia="仿宋_GB2312"/>
          <w:sz w:val="28"/>
          <w:b/>
        </w:rPr>
        <w:t>陕西慧科工程管理咨询有限公司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陕西慧科工程管理咨询有限公司</w:t>
      </w:r>
      <w:r>
        <w:rPr>
          <w:rFonts w:ascii="仿宋_GB2312" w:hAnsi="仿宋_GB2312" w:cs="仿宋_GB2312" w:eastAsia="仿宋_GB2312"/>
        </w:rPr>
        <w:t>（以下简称“代理机构”）受</w:t>
      </w:r>
      <w:r>
        <w:rPr>
          <w:rFonts w:ascii="仿宋_GB2312" w:hAnsi="仿宋_GB2312" w:cs="仿宋_GB2312" w:eastAsia="仿宋_GB2312"/>
        </w:rPr>
        <w:t>西安市自然资源和规划局（本级）</w:t>
      </w:r>
      <w:r>
        <w:rPr>
          <w:rFonts w:ascii="仿宋_GB2312" w:hAnsi="仿宋_GB2312" w:cs="仿宋_GB2312" w:eastAsia="仿宋_GB2312"/>
        </w:rPr>
        <w:t>委托，拟对</w:t>
      </w:r>
      <w:r>
        <w:rPr>
          <w:rFonts w:ascii="仿宋_GB2312" w:hAnsi="仿宋_GB2312" w:cs="仿宋_GB2312" w:eastAsia="仿宋_GB2312"/>
        </w:rPr>
        <w:t>西安市2026年度“四类用地”更新维护与“规土评让”技术支撑项目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慧科ZX-CG01099BF</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西安市2026年度“四类用地”更新维护与“规土评让”技术支撑项目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整体为西安市2026年度“四类用地”更新维护与“规土评让”技术支撑项目，整体拆分为两个服务包：《2026年度“四类用地”更新维护项目》、《2026年度“规土评让”技术支撑项目》。两个服务包业务高度协同、数据互通，存量用地基础成果为土地出让全流程技术服务提供底层数据支撑。具体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参加的，须提供法定代表人身份证明及本人身份证复印件；法定代表人授权他人参加的，须提供法定代表人委托授权书、被授权代表的身份证复印件，被授权人参加的还需要提供在本单位缴纳的社保证明（近3个月内任意一个月）；</w:t>
      </w:r>
    </w:p>
    <w:p>
      <w:pPr>
        <w:pStyle w:val="null3"/>
      </w:pPr>
      <w:r>
        <w:rPr>
          <w:rFonts w:ascii="仿宋_GB2312" w:hAnsi="仿宋_GB2312" w:cs="仿宋_GB2312" w:eastAsia="仿宋_GB2312"/>
        </w:rPr>
        <w:t>2、企业资质：具备有效的城乡规划编制乙级及以上资质证书；</w:t>
      </w:r>
    </w:p>
    <w:p>
      <w:pPr>
        <w:pStyle w:val="null3"/>
      </w:pPr>
      <w:r>
        <w:rPr>
          <w:rFonts w:ascii="仿宋_GB2312" w:hAnsi="仿宋_GB2312" w:cs="仿宋_GB2312" w:eastAsia="仿宋_GB2312"/>
        </w:rPr>
        <w:t>3、信用查询：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并加盖供应商公章（以开标当天代理机构核查为准）；</w:t>
      </w:r>
    </w:p>
    <w:p>
      <w:pPr>
        <w:pStyle w:val="null3"/>
      </w:pPr>
      <w:r>
        <w:rPr>
          <w:rFonts w:ascii="仿宋_GB2312" w:hAnsi="仿宋_GB2312" w:cs="仿宋_GB2312" w:eastAsia="仿宋_GB2312"/>
        </w:rPr>
        <w:t>4、联合体投标：本项目不接受联合体投标；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西安市自然资源和规划局（本级）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西安市经济技术开发区凤城九路139号1号楼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029-61329211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陕西慧科工程管理咨询有限公司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西安市高新区锦业一路56号研祥城市广场C座3楼C-306室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宋霜晨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15008435119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采购包1：4,847,000.00元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中标人在领取《中标通知书》之前，向采购代理机构一次付清招标代理服务费。代理服务费参照发改办价格〔2015〕299号、国家计委关于印发《招标代理服务收费管理暂行办法》的通知（计价格〔2002〕1980 号）、《国家发展和改革委员会办公厅关招标代理服务收费有关问题的通知》（发改办价格〔2003〕857号）规定向中标（成交）供应商收取银行名称：陕西慧科工程管理咨询有限公司；税号：91610131MA6X2CEF3K；单位地址：陕西省西安市高新区锦业一路西安研祥城市广场C座3楼C－306号；开户银行：交通银行股份有限公司西安光华路支行；银行账户：611301135013001841428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西安市自然资源和规划局（本级）</w:t>
      </w:r>
      <w:r>
        <w:rPr>
          <w:rFonts w:ascii="仿宋_GB2312" w:hAnsi="仿宋_GB2312" w:cs="仿宋_GB2312" w:eastAsia="仿宋_GB2312"/>
        </w:rPr>
        <w:t>和</w:t>
      </w:r>
      <w:r>
        <w:rPr>
          <w:rFonts w:ascii="仿宋_GB2312" w:hAnsi="仿宋_GB2312" w:cs="仿宋_GB2312" w:eastAsia="仿宋_GB2312"/>
        </w:rPr>
        <w:t>陕西慧科工程管理咨询有限公司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西安市自然资源和规划局（本级）</w:t>
      </w:r>
      <w:r>
        <w:rPr>
          <w:rFonts w:ascii="仿宋_GB2312" w:hAnsi="仿宋_GB2312" w:cs="仿宋_GB2312" w:eastAsia="仿宋_GB2312"/>
        </w:rPr>
        <w:t>负责解释。除上述招标文件内容，其他内容由</w:t>
      </w:r>
      <w:r>
        <w:rPr>
          <w:rFonts w:ascii="仿宋_GB2312" w:hAnsi="仿宋_GB2312" w:cs="仿宋_GB2312" w:eastAsia="仿宋_GB2312"/>
        </w:rPr>
        <w:t>陕西慧科工程管理咨询有限公司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西安市自然资源和规划局（本级）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陕西慧科工程管理咨询有限公司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编制工作中所使用的国土空间底图、现状调研数据、规划技术工具、行业资料、地理信息数据等全部技术、产品及服务（含部分环节使用场景），不会引发第三方专利权、著作权、商标权、地理数据版权等知识产权侵权类法律、经济纠纷；若因知识产权侵权产生投诉、诉讼、行政处罚、赔偿支出等全部责任与费用，均由供应商全额承担。本项目实施全过程形成的计划报告、台账清单、规划图件、数据库、汇报材料、各类附件等全部编制成果、衍生知识成果、地理空间数据的所有权、著作权、知识产权全部归采购人所有；供应商仅可用于本项目履约工作，不得私自留存、对外转让、商用、转借、公开传播项目任何涉密及非涉密成果资料。</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验收依据为合同文本、合同附件、招标文件、投标文件；2. 全部成果符合自然资源部、陕西省、西安市存量用地盘活、土地出让、国土空间数据库建设相关法律法规、行业技术规范、专项政策文件；3.项目编制成果经采购人出具的审查通过意见，即为项目履约验收合格。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联系人：宋霜晨</w:t>
      </w:r>
    </w:p>
    <w:p>
      <w:pPr>
        <w:pStyle w:val="null3"/>
      </w:pPr>
      <w:r>
        <w:rPr>
          <w:rFonts w:ascii="仿宋_GB2312" w:hAnsi="仿宋_GB2312" w:cs="仿宋_GB2312" w:eastAsia="仿宋_GB2312"/>
        </w:rPr>
        <w:t>联系电话：15008435119</w:t>
      </w:r>
    </w:p>
    <w:p>
      <w:pPr>
        <w:pStyle w:val="null3"/>
      </w:pPr>
      <w:r>
        <w:rPr>
          <w:rFonts w:ascii="仿宋_GB2312" w:hAnsi="仿宋_GB2312" w:cs="仿宋_GB2312" w:eastAsia="仿宋_GB2312"/>
        </w:rPr>
        <w:t>地址：西安市高新区锦业一路56号研祥城市广场C座3楼C-306室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采购包1：本项目整体为西安市2026年度“四类用地”更新维护与“规 土评让”技术支撑项目，整体拆分为两个服务包：《2026年度“四类用地”更新维护项目》、《2026年度“规土评让”技术支撑项目》。两个服务包业务高度协同、数据互通，存量用地基础成果为土地出让全流程技术服务提供底层数据支撑。具体详见招标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4,847,000.00</w:t>
      </w:r>
    </w:p>
    <w:p>
      <w:pPr>
        <w:pStyle w:val="null3"/>
      </w:pPr>
      <w:r>
        <w:rPr>
          <w:rFonts w:ascii="仿宋_GB2312" w:hAnsi="仿宋_GB2312" w:cs="仿宋_GB2312" w:eastAsia="仿宋_GB2312"/>
        </w:rPr>
        <w:t>采购包最高限价（元）: 4,847,000.00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西安市2026年度“四类用地”更新维护与“规土评让”技术支撑项目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4,847,000.00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标的名称：西安市2026年度“四类用地”更新维护与“规土评让”技术支撑项目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ind w:firstLine="412"/>
              <w:jc w:val="both"/>
            </w:pPr>
            <w:r>
              <w:rPr>
                <w:rFonts w:ascii="仿宋_GB2312" w:hAnsi="仿宋_GB2312" w:cs="仿宋_GB2312" w:eastAsia="仿宋_GB2312"/>
                <w:sz w:val="21"/>
              </w:rPr>
              <w:t>一、项目概况</w:t>
            </w:r>
          </w:p>
          <w:p>
            <w:pPr>
              <w:pStyle w:val="null3"/>
              <w:ind w:firstLine="420"/>
              <w:jc w:val="both"/>
            </w:pPr>
            <w:r>
              <w:rPr>
                <w:rFonts w:ascii="仿宋_GB2312" w:hAnsi="仿宋_GB2312" w:cs="仿宋_GB2312" w:eastAsia="仿宋_GB2312"/>
                <w:sz w:val="21"/>
              </w:rPr>
              <w:t>本项目整体为西安市</w:t>
            </w:r>
            <w:r>
              <w:rPr>
                <w:rFonts w:ascii="仿宋_GB2312" w:hAnsi="仿宋_GB2312" w:cs="仿宋_GB2312" w:eastAsia="仿宋_GB2312"/>
                <w:sz w:val="21"/>
              </w:rPr>
              <w:t>2026年度“四类用地”更新维护与“规土评让”技术支撑项目，整体拆分为两个服务包：《2026年度“四类用地”更新维护项目》《2026年度“规土评让”技术支撑项目》。两个服务包业务高度协同、数据互通，存量用地基础成果为土地出让全流程技术服务提供底层数据支撑。</w:t>
            </w:r>
          </w:p>
          <w:p>
            <w:pPr>
              <w:pStyle w:val="null3"/>
              <w:ind w:firstLine="420"/>
              <w:jc w:val="both"/>
            </w:pPr>
            <w:r>
              <w:rPr>
                <w:rFonts w:ascii="仿宋_GB2312" w:hAnsi="仿宋_GB2312" w:cs="仿宋_GB2312" w:eastAsia="仿宋_GB2312"/>
                <w:sz w:val="21"/>
              </w:rPr>
              <w:t>（一）《</w:t>
            </w:r>
            <w:r>
              <w:rPr>
                <w:rFonts w:ascii="仿宋_GB2312" w:hAnsi="仿宋_GB2312" w:cs="仿宋_GB2312" w:eastAsia="仿宋_GB2312"/>
                <w:sz w:val="21"/>
              </w:rPr>
              <w:t>2026年度“四类用地”更新维护项目》：当前西安市已进入存量土地深度开发阶段，城镇开发边界内70%以上空间为存量范畴，土地利用模式已从规模扩张转向效率提升。为严格落实《自然资源部国家林业和草原局关于进一步做好自然资源要素保障的通知》（自然资发〔2026〕38号）“新增与存量盘活挂钩”刚性要求、省厅《关于进一步消化批而未供和闲置土地促进土地节约集约利用的通知》拉网式排查要求，以及《西安市积极盘活存量用地推动土地高效利用实施方案》（市政办发〔2024〕66号）工作部署，依托2024年全市四类用地摸底成果实施本服务包工作，建立“一地块一档案”动态管理台账，按照“一地一策”形成分类处置建议，摸清全市存量土地底数、现状、成因与盘活路径，形成全市统一的四类用地空间数据库与台账成果。</w:t>
            </w:r>
          </w:p>
          <w:p>
            <w:pPr>
              <w:pStyle w:val="null3"/>
              <w:ind w:firstLine="420"/>
              <w:jc w:val="both"/>
            </w:pPr>
            <w:r>
              <w:rPr>
                <w:rFonts w:ascii="仿宋_GB2312" w:hAnsi="仿宋_GB2312" w:cs="仿宋_GB2312" w:eastAsia="仿宋_GB2312"/>
                <w:sz w:val="21"/>
              </w:rPr>
              <w:t>（二）《</w:t>
            </w:r>
            <w:r>
              <w:rPr>
                <w:rFonts w:ascii="仿宋_GB2312" w:hAnsi="仿宋_GB2312" w:cs="仿宋_GB2312" w:eastAsia="仿宋_GB2312"/>
                <w:sz w:val="21"/>
              </w:rPr>
              <w:t>2026年度“规土评让”技术支撑项目》：为进一步规范规划许可、土地储备、地价评估及组织出让等关键环节，提升政务服务效能，西安市全面推行“规土评让”全流程管理模式，落地本服务包技术支撑工作。本包聚焦经营性用地出让全链条业务，破解部门信息不对称、审批周期长、土地供应滞后等痛点，严格落实“一批次一清单、一地块一方案、全流程可追溯”管理要求，依托服务包一输出的存量用地数据，融合规划条件与市场需求，强化净地出让管控标准，搭建土地供应核心数据库，实现土地要素市场化精准配置。</w:t>
            </w:r>
          </w:p>
          <w:p>
            <w:pPr>
              <w:pStyle w:val="null3"/>
              <w:ind w:firstLine="420"/>
              <w:jc w:val="both"/>
            </w:pPr>
            <w:r>
              <w:rPr>
                <w:rFonts w:ascii="仿宋_GB2312" w:hAnsi="仿宋_GB2312" w:cs="仿宋_GB2312" w:eastAsia="仿宋_GB2312"/>
                <w:sz w:val="21"/>
              </w:rPr>
              <w:t>综上，两个服务包统筹实施形成从存量资源识别、地块分类优化到土地高效出让配置的完整工作闭环，是完善全市自然资源</w:t>
            </w:r>
            <w:r>
              <w:rPr>
                <w:rFonts w:ascii="仿宋_GB2312" w:hAnsi="仿宋_GB2312" w:cs="仿宋_GB2312" w:eastAsia="仿宋_GB2312"/>
                <w:sz w:val="21"/>
              </w:rPr>
              <w:t>“一张图”全生命周期监管、稳定土地市场、支撑城市高质量发展的刚性技术支撑工作。</w:t>
            </w:r>
          </w:p>
          <w:p>
            <w:pPr>
              <w:pStyle w:val="null3"/>
              <w:ind w:firstLine="420"/>
              <w:jc w:val="both"/>
            </w:pPr>
            <w:r>
              <w:rPr>
                <w:rFonts w:ascii="仿宋_GB2312" w:hAnsi="仿宋_GB2312" w:cs="仿宋_GB2312" w:eastAsia="仿宋_GB2312"/>
                <w:sz w:val="21"/>
              </w:rPr>
              <w:t>二、采购内容</w:t>
            </w:r>
          </w:p>
          <w:p>
            <w:pPr>
              <w:pStyle w:val="null3"/>
              <w:ind w:firstLine="420"/>
              <w:jc w:val="both"/>
            </w:pPr>
            <w:r>
              <w:rPr>
                <w:rFonts w:ascii="仿宋_GB2312" w:hAnsi="仿宋_GB2312" w:cs="仿宋_GB2312" w:eastAsia="仿宋_GB2312"/>
                <w:sz w:val="21"/>
              </w:rPr>
              <w:t>（一）工作范围</w:t>
            </w:r>
          </w:p>
          <w:p>
            <w:pPr>
              <w:pStyle w:val="null3"/>
              <w:ind w:firstLine="420"/>
              <w:jc w:val="both"/>
            </w:pPr>
            <w:r>
              <w:rPr>
                <w:rFonts w:ascii="仿宋_GB2312" w:hAnsi="仿宋_GB2312" w:cs="仿宋_GB2312" w:eastAsia="仿宋_GB2312"/>
                <w:sz w:val="21"/>
              </w:rPr>
              <w:t>西安市全域所有区县、开发区</w:t>
            </w:r>
          </w:p>
          <w:p>
            <w:pPr>
              <w:pStyle w:val="null3"/>
              <w:ind w:firstLine="420"/>
              <w:jc w:val="both"/>
            </w:pPr>
            <w:r>
              <w:rPr>
                <w:rFonts w:ascii="仿宋_GB2312" w:hAnsi="仿宋_GB2312" w:cs="仿宋_GB2312" w:eastAsia="仿宋_GB2312"/>
                <w:sz w:val="21"/>
              </w:rPr>
              <w:t>（二）工作内容</w:t>
            </w:r>
          </w:p>
          <w:p>
            <w:pPr>
              <w:pStyle w:val="null3"/>
              <w:ind w:firstLine="420"/>
              <w:jc w:val="both"/>
            </w:pPr>
            <w:r>
              <w:rPr>
                <w:rFonts w:ascii="仿宋_GB2312" w:hAnsi="仿宋_GB2312" w:cs="仿宋_GB2312" w:eastAsia="仿宋_GB2312"/>
                <w:sz w:val="21"/>
              </w:rPr>
              <w:t>1.《2026年度“四类用地”更新维护项目工作内容》</w:t>
            </w:r>
          </w:p>
          <w:p>
            <w:pPr>
              <w:pStyle w:val="null3"/>
              <w:ind w:firstLine="420"/>
              <w:jc w:val="both"/>
            </w:pPr>
            <w:r>
              <w:rPr>
                <w:rFonts w:ascii="仿宋_GB2312" w:hAnsi="仿宋_GB2312" w:cs="仿宋_GB2312" w:eastAsia="仿宋_GB2312"/>
                <w:sz w:val="21"/>
              </w:rPr>
              <w:t>服务商以</w:t>
            </w:r>
            <w:r>
              <w:rPr>
                <w:rFonts w:ascii="仿宋_GB2312" w:hAnsi="仿宋_GB2312" w:cs="仿宋_GB2312" w:eastAsia="仿宋_GB2312"/>
                <w:sz w:val="21"/>
              </w:rPr>
              <w:t>2024年四类用地摸底空间底图、台账数据为基底，叠加国土空间规划、三区三线、文物、机场限高、影像、供地台账等多源数据形成统一工作底图，严格执行“三上三下+实地核实”闭环工作机制，全量开展数据复核，核心执行“去旧、纳新、核真、分类、建档”工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1）核减：2024—2025年已开工、已完成供应的存量地块；</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2）纳新：摸排录入2025年1月—2026年6月四类用地（已供应未开工涉嫌闲置、已审批供地方案未供应、批而未供、已收回收购待供），单独标识建档；</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3）核真：逐宗地核实边界、面积、权属、现状、规划、限制因素，针对疑点地块、闲置地块、已征未供已用地、边界外受限地块开展现场踏勘，留存踏勘照片、记录佐证材料；</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4）分层分类识别：</w:t>
            </w:r>
          </w:p>
          <w:p>
            <w:pPr>
              <w:pStyle w:val="null3"/>
              <w:ind w:firstLine="420"/>
              <w:jc w:val="both"/>
            </w:pPr>
            <w:r>
              <w:rPr>
                <w:rFonts w:ascii="仿宋_GB2312" w:hAnsi="仿宋_GB2312" w:cs="仿宋_GB2312" w:eastAsia="仿宋_GB2312"/>
                <w:sz w:val="21"/>
              </w:rPr>
              <w:t>①.已供应未开工用地剥离三类：省厅备案法定闲置土地、涉嫌闲置无法认定用地、超期未竣工土地；</w:t>
            </w:r>
          </w:p>
          <w:p>
            <w:pPr>
              <w:pStyle w:val="null3"/>
              <w:ind w:firstLine="420"/>
              <w:jc w:val="both"/>
            </w:pPr>
            <w:r>
              <w:rPr>
                <w:rFonts w:ascii="仿宋_GB2312" w:hAnsi="仿宋_GB2312" w:cs="仿宋_GB2312" w:eastAsia="仿宋_GB2312"/>
                <w:sz w:val="21"/>
              </w:rPr>
              <w:t>②.批而未供土地多维度细分：按使用状态、征收状态、城镇开发边界、管控限制、规划用地性质分类，专项梳理“已征未供已用土地”清单；</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5）建档标准：落实“一斑一码、一地块一档案”，每宗地归集唯一编码、精确坐标、现状影像、权属文件、审批批文、闲置认定材料、收回收购协议、踏勘佐证等全套资料；</w:t>
            </w:r>
          </w:p>
          <w:p>
            <w:pPr>
              <w:pStyle w:val="null3"/>
              <w:ind w:firstLine="420"/>
              <w:jc w:val="both"/>
            </w:pPr>
            <w:r>
              <w:rPr>
                <w:rFonts w:ascii="仿宋_GB2312" w:hAnsi="仿宋_GB2312" w:cs="仿宋_GB2312" w:eastAsia="仿宋_GB2312"/>
                <w:sz w:val="21"/>
              </w:rPr>
              <w:t>最终输出《西安市</w:t>
            </w:r>
            <w:r>
              <w:rPr>
                <w:rFonts w:ascii="仿宋_GB2312" w:hAnsi="仿宋_GB2312" w:cs="仿宋_GB2312" w:eastAsia="仿宋_GB2312"/>
                <w:sz w:val="21"/>
              </w:rPr>
              <w:t>2026年四类用地基础数据总台账》及全套分类型专项台账，实现图斑、台账、现场三方数据完全一致，成果同步共享至服务包二作为经营性用地筛选底层数据源。</w:t>
            </w:r>
          </w:p>
          <w:p>
            <w:pPr>
              <w:pStyle w:val="null3"/>
              <w:ind w:firstLine="420"/>
              <w:jc w:val="both"/>
            </w:pPr>
            <w:r>
              <w:rPr>
                <w:rFonts w:ascii="仿宋_GB2312" w:hAnsi="仿宋_GB2312" w:cs="仿宋_GB2312" w:eastAsia="仿宋_GB2312"/>
                <w:sz w:val="21"/>
              </w:rPr>
              <w:t>2.《2026年度“规土评让”技术支撑项目工作内容》</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1）“规土评让”双清单编制与全流程技术服务</w:t>
            </w:r>
          </w:p>
          <w:p>
            <w:pPr>
              <w:pStyle w:val="null3"/>
              <w:ind w:firstLine="420"/>
              <w:jc w:val="both"/>
            </w:pPr>
            <w:r>
              <w:rPr>
                <w:rFonts w:ascii="仿宋_GB2312" w:hAnsi="仿宋_GB2312" w:cs="仿宋_GB2312" w:eastAsia="仿宋_GB2312"/>
                <w:sz w:val="21"/>
              </w:rPr>
              <w:t>中标服务商依托服务包一输出的四类用地存量数据库，协助采购人推进清单管理，落实</w:t>
            </w:r>
            <w:r>
              <w:rPr>
                <w:rFonts w:ascii="仿宋_GB2312" w:hAnsi="仿宋_GB2312" w:cs="仿宋_GB2312" w:eastAsia="仿宋_GB2312"/>
                <w:sz w:val="21"/>
              </w:rPr>
              <w:t>“一批次一清单”核心机制。</w:t>
            </w:r>
          </w:p>
          <w:p>
            <w:pPr>
              <w:pStyle w:val="null3"/>
              <w:ind w:firstLine="420"/>
              <w:jc w:val="both"/>
            </w:pPr>
            <w:r>
              <w:rPr>
                <w:rFonts w:ascii="仿宋_GB2312" w:hAnsi="仿宋_GB2312" w:cs="仿宋_GB2312" w:eastAsia="仿宋_GB2312"/>
                <w:sz w:val="21"/>
              </w:rPr>
              <w:t>①编制年度《全市具备开发条件经营性用地调度清单》：筛选具备成熟出让条件存量地块，梳理配套短板、明确供应时序，以销号管理完善出让前置要件；</w:t>
            </w:r>
          </w:p>
          <w:p>
            <w:pPr>
              <w:pStyle w:val="null3"/>
              <w:ind w:firstLine="420"/>
              <w:jc w:val="both"/>
            </w:pPr>
            <w:r>
              <w:rPr>
                <w:rFonts w:ascii="仿宋_GB2312" w:hAnsi="仿宋_GB2312" w:cs="仿宋_GB2312" w:eastAsia="仿宋_GB2312"/>
                <w:sz w:val="21"/>
              </w:rPr>
              <w:t>②编制月度《拟发布公告出让宗地“规土评让”责任清单》：拆解宗地27项核心要素，划分规划、文勘、评估、出让公告等各环节责任部门与时间节点；</w:t>
            </w:r>
          </w:p>
          <w:p>
            <w:pPr>
              <w:pStyle w:val="null3"/>
              <w:ind w:firstLine="420"/>
              <w:jc w:val="both"/>
            </w:pPr>
            <w:r>
              <w:rPr>
                <w:rFonts w:ascii="仿宋_GB2312" w:hAnsi="仿宋_GB2312" w:cs="仿宋_GB2312" w:eastAsia="仿宋_GB2312"/>
                <w:sz w:val="21"/>
              </w:rPr>
              <w:t>③常态化技术查验与标准迭代：每季度更新《“规土评让”技术查验标准》与配套PPT 模板，统一专业术语、图件规范；对所有出让宗地供地方案开展GIS空间核验、规划指标质检、地价评估技术校核，出具查验一览表、修改意见；</w:t>
            </w:r>
          </w:p>
          <w:p>
            <w:pPr>
              <w:pStyle w:val="null3"/>
              <w:ind w:firstLine="420"/>
              <w:jc w:val="both"/>
            </w:pPr>
            <w:r>
              <w:rPr>
                <w:rFonts w:ascii="仿宋_GB2312" w:hAnsi="仿宋_GB2312" w:cs="仿宋_GB2312" w:eastAsia="仿宋_GB2312"/>
                <w:sz w:val="21"/>
              </w:rPr>
              <w:t>④业务汇总、督查与培训：按月/季/半年/年度编制工作汇总报告，开展分局业务督查与反面案例分析，常态化组织专题业务培训。</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2）土地供应核心数据层搭建</w:t>
            </w:r>
          </w:p>
          <w:p>
            <w:pPr>
              <w:pStyle w:val="null3"/>
              <w:ind w:firstLine="420"/>
              <w:jc w:val="both"/>
            </w:pPr>
            <w:r>
              <w:rPr>
                <w:rFonts w:ascii="仿宋_GB2312" w:hAnsi="仿宋_GB2312" w:cs="仿宋_GB2312" w:eastAsia="仿宋_GB2312"/>
                <w:sz w:val="21"/>
              </w:rPr>
              <w:t>采集、核验、更新全周期供地数据，空间化整合行政审批信息，搭建</w:t>
            </w:r>
            <w:r>
              <w:rPr>
                <w:rFonts w:ascii="仿宋_GB2312" w:hAnsi="仿宋_GB2312" w:cs="仿宋_GB2312" w:eastAsia="仿宋_GB2312"/>
                <w:sz w:val="21"/>
              </w:rPr>
              <w:t>“年度计划供应、月底拟上报、已获批、已公告、已成交”5大矢量数据层，动态维护《土地供应综合信息台账》，为年度供地计划、存量盘活决策提供支撑。</w:t>
            </w:r>
          </w:p>
          <w:p>
            <w:pPr>
              <w:pStyle w:val="null3"/>
              <w:ind w:firstLine="420"/>
              <w:jc w:val="both"/>
            </w:pPr>
            <w:r>
              <w:rPr>
                <w:rFonts w:ascii="仿宋_GB2312" w:hAnsi="仿宋_GB2312" w:cs="仿宋_GB2312" w:eastAsia="仿宋_GB2312"/>
                <w:sz w:val="21"/>
              </w:rPr>
              <w:t>三、技术要求</w:t>
            </w:r>
          </w:p>
          <w:p>
            <w:pPr>
              <w:pStyle w:val="null3"/>
              <w:ind w:firstLine="420"/>
              <w:jc w:val="both"/>
            </w:pPr>
            <w:r>
              <w:rPr>
                <w:rFonts w:ascii="仿宋_GB2312" w:hAnsi="仿宋_GB2312" w:cs="仿宋_GB2312" w:eastAsia="仿宋_GB2312"/>
                <w:sz w:val="21"/>
              </w:rPr>
              <w:t>（一）成果质量要求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1）所有成果严格遵循国家自然资源行业标准、陕西省及西安市地方性技术规定、陕西省自然资源厅、西安市自然资源和规划局存量用地盘活专项文件全部硬性要求；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2）数据分类逻辑、宗地属性字段、图件制图标准统一，两个服务包成果数据格式、编码规则互通兼容，可直接对接市级自然资源一张图平台。</w:t>
            </w:r>
          </w:p>
          <w:p>
            <w:pPr>
              <w:pStyle w:val="null3"/>
              <w:ind w:firstLine="420"/>
              <w:jc w:val="both"/>
            </w:pPr>
            <w:r>
              <w:rPr>
                <w:rFonts w:ascii="仿宋_GB2312" w:hAnsi="仿宋_GB2312" w:cs="仿宋_GB2312" w:eastAsia="仿宋_GB2312"/>
                <w:sz w:val="21"/>
              </w:rPr>
              <w:t>（二）成果交付要求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1）《2026年度“四类用地”更新维护项目》</w:t>
            </w:r>
          </w:p>
          <w:p>
            <w:pPr>
              <w:pStyle w:val="null3"/>
              <w:ind w:firstLine="420"/>
              <w:jc w:val="both"/>
            </w:pPr>
            <w:r>
              <w:rPr>
                <w:rFonts w:ascii="仿宋_GB2312" w:hAnsi="仿宋_GB2312" w:cs="仿宋_GB2312" w:eastAsia="仿宋_GB2312"/>
                <w:sz w:val="21"/>
              </w:rPr>
              <w:t>服务商需在服务期限内交付本包全套文字、台账、图件、空间数据库、宗地档案成果：</w:t>
            </w:r>
          </w:p>
          <w:p>
            <w:pPr>
              <w:pStyle w:val="null3"/>
              <w:ind w:firstLine="420"/>
              <w:jc w:val="both"/>
            </w:pPr>
            <w:r>
              <w:rPr>
                <w:rFonts w:ascii="仿宋_GB2312" w:hAnsi="仿宋_GB2312" w:cs="仿宋_GB2312" w:eastAsia="仿宋_GB2312"/>
                <w:sz w:val="21"/>
              </w:rPr>
              <w:t>综合台账与报告：《西安市</w:t>
            </w:r>
            <w:r>
              <w:rPr>
                <w:rFonts w:ascii="仿宋_GB2312" w:hAnsi="仿宋_GB2312" w:cs="仿宋_GB2312" w:eastAsia="仿宋_GB2312"/>
                <w:sz w:val="21"/>
              </w:rPr>
              <w:t>2026年四类用地基础数据总台账》、全市四类用地分析报告（含规模、分布、成因、分类处置建议）;</w:t>
            </w:r>
          </w:p>
          <w:p>
            <w:pPr>
              <w:pStyle w:val="null3"/>
              <w:ind w:firstLine="420"/>
              <w:jc w:val="both"/>
            </w:pPr>
            <w:r>
              <w:rPr>
                <w:rFonts w:ascii="仿宋_GB2312" w:hAnsi="仿宋_GB2312" w:cs="仿宋_GB2312" w:eastAsia="仿宋_GB2312"/>
                <w:sz w:val="21"/>
              </w:rPr>
              <w:t>五类专项台账：</w:t>
            </w:r>
            <w:r>
              <w:rPr>
                <w:rFonts w:ascii="仿宋_GB2312" w:hAnsi="仿宋_GB2312" w:cs="仿宋_GB2312" w:eastAsia="仿宋_GB2312"/>
                <w:sz w:val="21"/>
              </w:rPr>
              <w:t>①已供应未开工用地台账（含认定闲置、涉嫌闲置、超期未竣工子清单）;②已审批供地方案未供应土地台账；③批而未供土地多维分类台账；④已征未供已用土地专项清单；⑤已收回收购待供应土地台账；</w:t>
            </w:r>
          </w:p>
          <w:p>
            <w:pPr>
              <w:pStyle w:val="null3"/>
              <w:ind w:firstLine="420"/>
              <w:jc w:val="both"/>
            </w:pPr>
            <w:r>
              <w:rPr>
                <w:rFonts w:ascii="仿宋_GB2312" w:hAnsi="仿宋_GB2312" w:cs="仿宋_GB2312" w:eastAsia="仿宋_GB2312"/>
                <w:sz w:val="21"/>
              </w:rPr>
              <w:t>专题图件成果：全市四类用地空间分布图、批而未供分类图、闲置用地分布图、已征未供已用分布图等；</w:t>
            </w:r>
          </w:p>
          <w:p>
            <w:pPr>
              <w:pStyle w:val="null3"/>
              <w:ind w:firstLine="420"/>
              <w:jc w:val="both"/>
            </w:pPr>
            <w:r>
              <w:rPr>
                <w:rFonts w:ascii="仿宋_GB2312" w:hAnsi="仿宋_GB2312" w:cs="仿宋_GB2312" w:eastAsia="仿宋_GB2312"/>
                <w:sz w:val="21"/>
              </w:rPr>
              <w:t>空间数据成果：四类用地空间信息动态维护全套矢量数据库</w:t>
            </w:r>
            <w:r>
              <w:rPr>
                <w:rFonts w:ascii="仿宋_GB2312" w:hAnsi="仿宋_GB2312" w:cs="仿宋_GB2312" w:eastAsia="仿宋_GB2312"/>
                <w:sz w:val="21"/>
              </w:rPr>
              <w:t>( Shp+FileGeodatabase双格式），按用地类型分库存储，附带宗地属性、踏勘照片、审批附件关联字段；</w:t>
            </w:r>
          </w:p>
          <w:p>
            <w:pPr>
              <w:pStyle w:val="null3"/>
              <w:ind w:firstLine="420"/>
              <w:jc w:val="both"/>
            </w:pPr>
            <w:r>
              <w:rPr>
                <w:rFonts w:ascii="仿宋_GB2312" w:hAnsi="仿宋_GB2312" w:cs="仿宋_GB2312" w:eastAsia="仿宋_GB2312"/>
                <w:sz w:val="21"/>
              </w:rPr>
              <w:t>纸质</w:t>
            </w:r>
            <w:r>
              <w:rPr>
                <w:rFonts w:ascii="仿宋_GB2312" w:hAnsi="仿宋_GB2312" w:cs="仿宋_GB2312" w:eastAsia="仿宋_GB2312"/>
                <w:sz w:val="21"/>
              </w:rPr>
              <w:t>+电子归档：全部文本、图件A4/A3装订、双面印刷，加盖技术成果章一式三份；电子版Word+PDF刻录光盘；单宗地 佐证档案分文件夹独立归档。</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2）《2026年度“规土评让”技术支撑项目》</w:t>
            </w:r>
          </w:p>
          <w:p>
            <w:pPr>
              <w:pStyle w:val="null3"/>
              <w:ind w:firstLine="420"/>
              <w:jc w:val="both"/>
            </w:pPr>
            <w:r>
              <w:rPr>
                <w:rFonts w:ascii="仿宋_GB2312" w:hAnsi="仿宋_GB2312" w:cs="仿宋_GB2312" w:eastAsia="仿宋_GB2312"/>
                <w:sz w:val="21"/>
              </w:rPr>
              <w:t>服务商需在服务期限内交付本包全套技术服务成果：</w:t>
            </w:r>
          </w:p>
          <w:p>
            <w:pPr>
              <w:pStyle w:val="null3"/>
              <w:ind w:firstLine="420"/>
              <w:jc w:val="both"/>
            </w:pPr>
            <w:r>
              <w:rPr>
                <w:rFonts w:ascii="仿宋_GB2312" w:hAnsi="仿宋_GB2312" w:cs="仿宋_GB2312" w:eastAsia="仿宋_GB2312"/>
                <w:sz w:val="21"/>
              </w:rPr>
              <w:t>清单、标准、模板类：宗地规划许可和土地供应方案工作模版</w:t>
            </w:r>
            <w:r>
              <w:rPr>
                <w:rFonts w:ascii="仿宋_GB2312" w:hAnsi="仿宋_GB2312" w:cs="仿宋_GB2312" w:eastAsia="仿宋_GB2312"/>
                <w:sz w:val="21"/>
              </w:rPr>
              <w:t>PPT、《 “规土评让”技术查验标准》《2026年度全市具备开发条件经营性用地调度清单》、月度《拟发布公告出让宗地“规土评让”责任清单》；</w:t>
            </w:r>
          </w:p>
          <w:p>
            <w:pPr>
              <w:pStyle w:val="null3"/>
              <w:ind w:firstLine="420"/>
              <w:jc w:val="both"/>
            </w:pPr>
            <w:r>
              <w:rPr>
                <w:rFonts w:ascii="仿宋_GB2312" w:hAnsi="仿宋_GB2312" w:cs="仿宋_GB2312" w:eastAsia="仿宋_GB2312"/>
                <w:sz w:val="21"/>
              </w:rPr>
              <w:t>查验、台账类：《土地供应综合信息台账》《</w:t>
            </w:r>
            <w:r>
              <w:rPr>
                <w:rFonts w:ascii="仿宋_GB2312" w:hAnsi="仿宋_GB2312" w:cs="仿宋_GB2312" w:eastAsia="仿宋_GB2312"/>
                <w:sz w:val="21"/>
              </w:rPr>
              <w:t>“规土评让”技术查验对照一览表》、各宗地材料修改意见单；</w:t>
            </w:r>
          </w:p>
          <w:p>
            <w:pPr>
              <w:pStyle w:val="null3"/>
              <w:ind w:firstLine="420"/>
              <w:jc w:val="both"/>
            </w:pPr>
            <w:r>
              <w:rPr>
                <w:rFonts w:ascii="仿宋_GB2312" w:hAnsi="仿宋_GB2312" w:cs="仿宋_GB2312" w:eastAsia="仿宋_GB2312"/>
                <w:sz w:val="21"/>
              </w:rPr>
              <w:t>周期性汇总报告：月度</w:t>
            </w:r>
            <w:r>
              <w:rPr>
                <w:rFonts w:ascii="仿宋_GB2312" w:hAnsi="仿宋_GB2312" w:cs="仿宋_GB2312" w:eastAsia="仿宋_GB2312"/>
                <w:sz w:val="21"/>
              </w:rPr>
              <w:t>/季度/半年度/年度《“规土评让”技术查验工作情况汇总报告》；</w:t>
            </w:r>
          </w:p>
          <w:p>
            <w:pPr>
              <w:pStyle w:val="null3"/>
              <w:ind w:firstLine="420"/>
              <w:jc w:val="both"/>
            </w:pPr>
            <w:r>
              <w:rPr>
                <w:rFonts w:ascii="仿宋_GB2312" w:hAnsi="仿宋_GB2312" w:cs="仿宋_GB2312" w:eastAsia="仿宋_GB2312"/>
                <w:sz w:val="21"/>
              </w:rPr>
              <w:t>空间数据库成果：土地供应全周期矢量数据库</w:t>
            </w:r>
            <w:r>
              <w:rPr>
                <w:rFonts w:ascii="仿宋_GB2312" w:hAnsi="仿宋_GB2312" w:cs="仿宋_GB2312" w:eastAsia="仿宋_GB2312"/>
                <w:sz w:val="21"/>
              </w:rPr>
              <w:t>(Shp+FileGeodatabase )；</w:t>
            </w:r>
          </w:p>
          <w:p>
            <w:pPr>
              <w:pStyle w:val="null3"/>
              <w:ind w:firstLine="420"/>
              <w:jc w:val="both"/>
            </w:pPr>
            <w:r>
              <w:rPr>
                <w:rFonts w:ascii="仿宋_GB2312" w:hAnsi="仿宋_GB2312" w:cs="仿宋_GB2312" w:eastAsia="仿宋_GB2312"/>
                <w:sz w:val="21"/>
              </w:rPr>
              <w:t>纸质</w:t>
            </w:r>
            <w:r>
              <w:rPr>
                <w:rFonts w:ascii="仿宋_GB2312" w:hAnsi="仿宋_GB2312" w:cs="仿宋_GB2312" w:eastAsia="仿宋_GB2312"/>
                <w:sz w:val="21"/>
              </w:rPr>
              <w:t>+电子归档：全部成果一式三份纸质版（盖章装订）、Word/PDF电子光盘版。</w:t>
            </w:r>
          </w:p>
          <w:p>
            <w:pPr>
              <w:pStyle w:val="null3"/>
              <w:ind w:firstLine="420"/>
              <w:jc w:val="both"/>
            </w:pPr>
            <w:r>
              <w:rPr>
                <w:rFonts w:ascii="仿宋_GB2312" w:hAnsi="仿宋_GB2312" w:cs="仿宋_GB2312" w:eastAsia="仿宋_GB2312"/>
                <w:sz w:val="21"/>
              </w:rPr>
              <w:t>四、服务要求</w:t>
            </w:r>
          </w:p>
          <w:p>
            <w:pPr>
              <w:pStyle w:val="null3"/>
              <w:ind w:firstLine="420"/>
              <w:jc w:val="both"/>
            </w:pPr>
            <w:r>
              <w:rPr>
                <w:rFonts w:ascii="仿宋_GB2312" w:hAnsi="仿宋_GB2312" w:cs="仿宋_GB2312" w:eastAsia="仿宋_GB2312"/>
                <w:sz w:val="21"/>
              </w:rPr>
              <w:t>（一）服务商须精心组建项目团队，确定项目负责人，并对项目团队的政治素质和业务素质负责。</w:t>
            </w:r>
          </w:p>
          <w:p>
            <w:pPr>
              <w:pStyle w:val="null3"/>
              <w:ind w:firstLine="420"/>
              <w:jc w:val="both"/>
            </w:pPr>
            <w:r>
              <w:rPr>
                <w:rFonts w:ascii="仿宋_GB2312" w:hAnsi="仿宋_GB2312" w:cs="仿宋_GB2312" w:eastAsia="仿宋_GB2312"/>
                <w:sz w:val="21"/>
              </w:rPr>
              <w:t>（二）项目组成员须有较强的组织和协调能力，具有较高的</w:t>
            </w:r>
            <w:r>
              <w:rPr>
                <w:rFonts w:ascii="仿宋_GB2312" w:hAnsi="仿宋_GB2312" w:cs="仿宋_GB2312" w:eastAsia="仿宋_GB2312"/>
                <w:sz w:val="21"/>
              </w:rPr>
              <w:t>理论素养和分析解决问题的能力。</w:t>
            </w:r>
          </w:p>
          <w:p>
            <w:pPr>
              <w:pStyle w:val="null3"/>
              <w:ind w:firstLine="420"/>
              <w:jc w:val="both"/>
            </w:pPr>
            <w:r>
              <w:rPr>
                <w:rFonts w:ascii="仿宋_GB2312" w:hAnsi="仿宋_GB2312" w:cs="仿宋_GB2312" w:eastAsia="仿宋_GB2312"/>
                <w:sz w:val="21"/>
              </w:rPr>
              <w:t>（三）项目负责人必须是该项目实施全过程的真正组织者、内外协调对接人，并担负全部成果终审工作。挂名、不参与现场踏勘、不负责成果审查的人员不得作为项目负责人。</w:t>
            </w:r>
          </w:p>
          <w:p>
            <w:pPr>
              <w:pStyle w:val="null3"/>
              <w:ind w:firstLine="420"/>
              <w:jc w:val="both"/>
            </w:pPr>
            <w:r>
              <w:rPr>
                <w:rFonts w:ascii="仿宋_GB2312" w:hAnsi="仿宋_GB2312" w:cs="仿宋_GB2312" w:eastAsia="仿宋_GB2312"/>
                <w:sz w:val="21"/>
              </w:rPr>
              <w:t>（四）项目团队成员应当熟悉西安市土地征收储备供应、闲置土地认定，项目实施紧贴部、省、市最新存量盘活政策要求。团队配置不少于</w:t>
            </w:r>
            <w:r>
              <w:rPr>
                <w:rFonts w:ascii="仿宋_GB2312" w:hAnsi="仿宋_GB2312" w:cs="仿宋_GB2312" w:eastAsia="仿宋_GB2312"/>
                <w:sz w:val="21"/>
              </w:rPr>
              <w:t>3名专职实地踏勘人员，负责疑点地块现场核查工作。</w:t>
            </w:r>
          </w:p>
          <w:p>
            <w:pPr>
              <w:pStyle w:val="null3"/>
              <w:ind w:firstLine="420"/>
              <w:jc w:val="both"/>
            </w:pPr>
            <w:r>
              <w:rPr>
                <w:rFonts w:ascii="仿宋_GB2312" w:hAnsi="仿宋_GB2312" w:cs="仿宋_GB2312" w:eastAsia="仿宋_GB2312"/>
                <w:sz w:val="21"/>
              </w:rPr>
              <w:t>（五）项目团队成员及其主要成员履约过程中不得随意更换，确需调整时，须书面提请采购人同意。</w:t>
            </w:r>
          </w:p>
          <w:p>
            <w:pPr>
              <w:pStyle w:val="null3"/>
              <w:ind w:firstLine="420"/>
              <w:jc w:val="both"/>
            </w:pPr>
            <w:r>
              <w:rPr>
                <w:rFonts w:ascii="仿宋_GB2312" w:hAnsi="仿宋_GB2312" w:cs="仿宋_GB2312" w:eastAsia="仿宋_GB2312"/>
                <w:sz w:val="21"/>
              </w:rPr>
              <w:t>五、商务要求</w:t>
            </w:r>
          </w:p>
          <w:p>
            <w:pPr>
              <w:pStyle w:val="null3"/>
              <w:ind w:firstLine="420"/>
              <w:jc w:val="both"/>
            </w:pPr>
            <w:r>
              <w:rPr>
                <w:rFonts w:ascii="仿宋_GB2312" w:hAnsi="仿宋_GB2312" w:cs="仿宋_GB2312" w:eastAsia="仿宋_GB2312"/>
                <w:sz w:val="21"/>
              </w:rPr>
              <w:t>（一）服务期限：自合同签订之日起至</w:t>
            </w:r>
            <w:r>
              <w:rPr>
                <w:rFonts w:ascii="仿宋_GB2312" w:hAnsi="仿宋_GB2312" w:cs="仿宋_GB2312" w:eastAsia="仿宋_GB2312"/>
                <w:sz w:val="21"/>
              </w:rPr>
              <w:t>2026年12月15日。</w:t>
            </w:r>
          </w:p>
          <w:p>
            <w:pPr>
              <w:pStyle w:val="null3"/>
              <w:ind w:firstLine="420"/>
              <w:jc w:val="both"/>
            </w:pPr>
            <w:r>
              <w:rPr>
                <w:rFonts w:ascii="仿宋_GB2312" w:hAnsi="仿宋_GB2312" w:cs="仿宋_GB2312" w:eastAsia="仿宋_GB2312"/>
                <w:sz w:val="21"/>
              </w:rPr>
              <w:t>（二）款项结算</w:t>
            </w:r>
          </w:p>
          <w:p>
            <w:pPr>
              <w:pStyle w:val="null3"/>
              <w:ind w:firstLine="420"/>
              <w:jc w:val="both"/>
            </w:pPr>
            <w:r>
              <w:rPr>
                <w:rFonts w:ascii="仿宋_GB2312" w:hAnsi="仿宋_GB2312" w:cs="仿宋_GB2312" w:eastAsia="仿宋_GB2312"/>
                <w:sz w:val="21"/>
              </w:rPr>
              <w:t>1. 本项目拟采用政府采购的方式进行；</w:t>
            </w:r>
          </w:p>
          <w:p>
            <w:pPr>
              <w:pStyle w:val="null3"/>
              <w:ind w:firstLine="420"/>
              <w:jc w:val="both"/>
            </w:pPr>
            <w:r>
              <w:rPr>
                <w:rFonts w:ascii="仿宋_GB2312" w:hAnsi="仿宋_GB2312" w:cs="仿宋_GB2312" w:eastAsia="仿宋_GB2312"/>
                <w:sz w:val="21"/>
              </w:rPr>
              <w:t>2.合同总价一次性包死，不受市场价格变化和税率变化等因素的影响。</w:t>
            </w:r>
          </w:p>
          <w:p>
            <w:pPr>
              <w:pStyle w:val="null3"/>
              <w:ind w:firstLine="420"/>
              <w:jc w:val="both"/>
            </w:pPr>
            <w:r>
              <w:rPr>
                <w:rFonts w:ascii="仿宋_GB2312" w:hAnsi="仿宋_GB2312" w:cs="仿宋_GB2312" w:eastAsia="仿宋_GB2312"/>
                <w:sz w:val="21"/>
              </w:rPr>
              <w:t>3. 付款比例：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1）合同签订后10个工作日内，甲方向乙方支付合同总价款的50%。</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2）成果经市自然资源和规划局验收后，10个工作日内支付剩余款项。</w:t>
            </w:r>
          </w:p>
          <w:p>
            <w:pPr>
              <w:pStyle w:val="null3"/>
              <w:ind w:firstLine="420"/>
              <w:jc w:val="both"/>
            </w:pPr>
            <w:r>
              <w:rPr>
                <w:rFonts w:ascii="仿宋_GB2312" w:hAnsi="仿宋_GB2312" w:cs="仿宋_GB2312" w:eastAsia="仿宋_GB2312"/>
                <w:sz w:val="21"/>
              </w:rPr>
              <w:t>4.支付比例以最终政府采购服务合同约定为准。</w:t>
            </w:r>
          </w:p>
          <w:p>
            <w:pPr>
              <w:pStyle w:val="null3"/>
              <w:ind w:firstLine="420"/>
              <w:jc w:val="both"/>
            </w:pPr>
            <w:r>
              <w:rPr>
                <w:rFonts w:ascii="仿宋_GB2312" w:hAnsi="仿宋_GB2312" w:cs="仿宋_GB2312" w:eastAsia="仿宋_GB2312"/>
                <w:sz w:val="21"/>
              </w:rPr>
              <w:t>由于本项目为政府委托项目，项目资金需根据政府统一安排，由此本合同内所规定的各次付款时间应根据财政局拨付资金的时间相应顺延或调整。</w:t>
            </w:r>
          </w:p>
          <w:p>
            <w:pPr>
              <w:pStyle w:val="null3"/>
              <w:ind w:firstLine="420"/>
              <w:jc w:val="both"/>
            </w:pPr>
            <w:r>
              <w:rPr>
                <w:rFonts w:ascii="仿宋_GB2312" w:hAnsi="仿宋_GB2312" w:cs="仿宋_GB2312" w:eastAsia="仿宋_GB2312"/>
                <w:sz w:val="21"/>
              </w:rPr>
              <w:t>5. 结算方式：银行转账。</w:t>
            </w:r>
          </w:p>
          <w:p>
            <w:pPr>
              <w:pStyle w:val="null3"/>
              <w:ind w:firstLine="420"/>
              <w:jc w:val="both"/>
            </w:pPr>
            <w:r>
              <w:rPr>
                <w:rFonts w:ascii="仿宋_GB2312" w:hAnsi="仿宋_GB2312" w:cs="仿宋_GB2312" w:eastAsia="仿宋_GB2312"/>
                <w:sz w:val="21"/>
              </w:rPr>
              <w:t>乙方应确保所指定账户为唯一收款账户，确保该账户的稳定性与准确性，乙方变更收款账户信息的，应当提前</w:t>
            </w:r>
            <w:r>
              <w:rPr>
                <w:rFonts w:ascii="仿宋_GB2312" w:hAnsi="仿宋_GB2312" w:cs="仿宋_GB2312" w:eastAsia="仿宋_GB2312"/>
                <w:sz w:val="21"/>
              </w:rPr>
              <w:t>10个工作日书面告知甲方。如因乙方提供账户信息不准确、不真实，或变动账户后不及时告知甲方，导致甲方付款错误或失败的，甲方不承担逾期付款责任，由乙方承担一切损失赔偿责任。</w:t>
            </w:r>
          </w:p>
          <w:p>
            <w:pPr>
              <w:pStyle w:val="null3"/>
              <w:ind w:firstLine="420"/>
              <w:jc w:val="both"/>
            </w:pPr>
            <w:r>
              <w:rPr>
                <w:rFonts w:ascii="仿宋_GB2312" w:hAnsi="仿宋_GB2312" w:cs="仿宋_GB2312" w:eastAsia="仿宋_GB2312"/>
                <w:sz w:val="21"/>
              </w:rPr>
              <w:t>6. 结算单位：由甲方负责结算，甲方付款前，乙方应当开具正式等额合法、合规且符合甲方要求的等额增值税发票，乙方不提供或提供不符合要求的，甲方有权拒绝支付，且不承担因此导致的逾期付款违约责任。</w:t>
            </w:r>
          </w:p>
          <w:p>
            <w:pPr>
              <w:pStyle w:val="null3"/>
              <w:ind w:firstLine="420"/>
              <w:jc w:val="both"/>
            </w:pPr>
            <w:r>
              <w:rPr>
                <w:rFonts w:ascii="仿宋_GB2312" w:hAnsi="仿宋_GB2312" w:cs="仿宋_GB2312" w:eastAsia="仿宋_GB2312"/>
                <w:sz w:val="21"/>
              </w:rPr>
              <w:t>六、其他</w:t>
            </w:r>
          </w:p>
          <w:p>
            <w:pPr>
              <w:pStyle w:val="null3"/>
              <w:ind w:firstLine="420"/>
              <w:jc w:val="both"/>
            </w:pPr>
            <w:r>
              <w:rPr>
                <w:rFonts w:ascii="仿宋_GB2312" w:hAnsi="仿宋_GB2312" w:cs="仿宋_GB2312" w:eastAsia="仿宋_GB2312"/>
                <w:sz w:val="21"/>
              </w:rPr>
              <w:t>（一）符合《中华人民共和国政府采购法》第二十二条、第二十三条、第二十四条规定；</w:t>
            </w:r>
          </w:p>
          <w:p>
            <w:pPr>
              <w:pStyle w:val="null3"/>
              <w:ind w:firstLine="420"/>
              <w:jc w:val="both"/>
            </w:pPr>
            <w:r>
              <w:rPr>
                <w:rFonts w:ascii="仿宋_GB2312" w:hAnsi="仿宋_GB2312" w:cs="仿宋_GB2312" w:eastAsia="仿宋_GB2312"/>
                <w:sz w:val="21"/>
              </w:rPr>
              <w:t>（二）技术服务单位具有城乡规划编制乙级及以上资质（根据《自然资源部办公厅关于国土空间规划编制资质有关问题的函》</w:t>
            </w:r>
            <w:r>
              <w:rPr>
                <w:rFonts w:ascii="仿宋_GB2312" w:hAnsi="仿宋_GB2312" w:cs="仿宋_GB2312" w:eastAsia="仿宋_GB2312"/>
                <w:sz w:val="21"/>
              </w:rPr>
              <w:t>(自然资办函〔2019〕2375号)和《陕西省自然资源厅关于加强全省国土空间规划编制成果质量管控的通知》(陕自然资规发〔2020〕16号)规定，本项目采购期间涉及资质到期未换证的服务商，可以参与并认定资质有效）。</w:t>
            </w:r>
          </w:p>
          <w:p>
            <w:pPr>
              <w:pStyle w:val="null3"/>
              <w:ind w:firstLine="420"/>
              <w:jc w:val="both"/>
            </w:pPr>
            <w:r>
              <w:rPr>
                <w:rFonts w:ascii="仿宋_GB2312" w:hAnsi="仿宋_GB2312" w:cs="仿宋_GB2312" w:eastAsia="仿宋_GB2312"/>
                <w:sz w:val="21"/>
              </w:rPr>
              <w:t>（三）项目不接受联合体。</w:t>
            </w:r>
          </w:p>
          <w:p>
            <w:pPr>
              <w:pStyle w:val="null3"/>
              <w:ind w:firstLine="420"/>
              <w:jc w:val="both"/>
            </w:pPr>
            <w:r>
              <w:rPr>
                <w:rFonts w:ascii="仿宋_GB2312" w:hAnsi="仿宋_GB2312" w:cs="仿宋_GB2312" w:eastAsia="仿宋_GB2312"/>
                <w:sz w:val="21"/>
              </w:rPr>
              <w:t>（四）技术服务单位需配合完成采购人安排的与本项目有关的其他事项。</w:t>
            </w:r>
          </w:p>
          <w:p>
            <w:pPr>
              <w:pStyle w:val="null3"/>
              <w:ind w:firstLine="420"/>
              <w:jc w:val="both"/>
            </w:pPr>
            <w:r>
              <w:rPr>
                <w:rFonts w:ascii="仿宋_GB2312" w:hAnsi="仿宋_GB2312" w:cs="仿宋_GB2312" w:eastAsia="仿宋_GB2312"/>
                <w:sz w:val="21"/>
              </w:rPr>
              <w:t>（五）进度要求</w:t>
            </w:r>
          </w:p>
          <w:p>
            <w:pPr>
              <w:pStyle w:val="null3"/>
              <w:ind w:firstLine="420"/>
              <w:jc w:val="both"/>
            </w:pPr>
            <w:r>
              <w:rPr>
                <w:rFonts w:ascii="仿宋_GB2312" w:hAnsi="仿宋_GB2312" w:cs="仿宋_GB2312" w:eastAsia="仿宋_GB2312"/>
                <w:sz w:val="21"/>
              </w:rPr>
              <w:t>1.合同签订10个工作日内形成工作方案。</w:t>
            </w:r>
          </w:p>
          <w:p>
            <w:pPr>
              <w:pStyle w:val="null3"/>
              <w:ind w:firstLine="420"/>
              <w:jc w:val="both"/>
            </w:pPr>
            <w:r>
              <w:rPr>
                <w:rFonts w:ascii="仿宋_GB2312" w:hAnsi="仿宋_GB2312" w:cs="仿宋_GB2312" w:eastAsia="仿宋_GB2312"/>
                <w:sz w:val="21"/>
              </w:rPr>
              <w:t>2.合同签订20个工作日内启动调研工作。</w:t>
            </w:r>
          </w:p>
          <w:p>
            <w:pPr>
              <w:pStyle w:val="null3"/>
              <w:ind w:firstLine="420"/>
              <w:jc w:val="both"/>
            </w:pPr>
            <w:r>
              <w:rPr>
                <w:rFonts w:ascii="仿宋_GB2312" w:hAnsi="仿宋_GB2312" w:cs="仿宋_GB2312" w:eastAsia="仿宋_GB2312"/>
                <w:sz w:val="21"/>
              </w:rPr>
              <w:t>3.合同签订4个月内完成相关研究工作，形成初步成果。</w:t>
            </w:r>
          </w:p>
          <w:p>
            <w:pPr>
              <w:pStyle w:val="null3"/>
              <w:ind w:firstLine="420"/>
              <w:jc w:val="both"/>
            </w:pPr>
            <w:r>
              <w:rPr>
                <w:rFonts w:ascii="仿宋_GB2312" w:hAnsi="仿宋_GB2312" w:cs="仿宋_GB2312" w:eastAsia="仿宋_GB2312"/>
                <w:sz w:val="21"/>
              </w:rPr>
              <w:t>4.合同签订6个月内形成最终成果（送审稿）。</w:t>
            </w:r>
          </w:p>
          <w:p>
            <w:pPr>
              <w:pStyle w:val="null3"/>
              <w:ind w:firstLine="420"/>
              <w:jc w:val="both"/>
            </w:pPr>
            <w:r>
              <w:rPr>
                <w:rFonts w:ascii="仿宋_GB2312" w:hAnsi="仿宋_GB2312" w:cs="仿宋_GB2312" w:eastAsia="仿宋_GB2312"/>
                <w:sz w:val="21"/>
              </w:rPr>
              <w:t>5.技术服务单位应定期（周、月）向采购人提供项目工作进度。</w:t>
            </w:r>
          </w:p>
          <w:p>
            <w:pPr>
              <w:pStyle w:val="null3"/>
              <w:ind w:firstLine="420"/>
              <w:jc w:val="both"/>
            </w:pPr>
            <w:r>
              <w:rPr>
                <w:rFonts w:ascii="仿宋_GB2312" w:hAnsi="仿宋_GB2312" w:cs="仿宋_GB2312" w:eastAsia="仿宋_GB2312"/>
                <w:sz w:val="21"/>
              </w:rPr>
              <w:t>6.采购人根据实际需要，对项目进展情况不定期听取汇报。</w:t>
            </w:r>
          </w:p>
          <w:p>
            <w:pPr>
              <w:pStyle w:val="null3"/>
              <w:ind w:firstLine="420"/>
              <w:jc w:val="both"/>
            </w:pPr>
            <w:r>
              <w:rPr>
                <w:rFonts w:ascii="仿宋_GB2312" w:hAnsi="仿宋_GB2312" w:cs="仿宋_GB2312" w:eastAsia="仿宋_GB2312"/>
                <w:sz w:val="21"/>
              </w:rPr>
              <w:t>7.受不可抗力（规划编制完成时间延后、提前；上位要求变化等）因素影响，采购人可适当调整进度要求。</w:t>
            </w:r>
          </w:p>
          <w:p>
            <w:pPr>
              <w:pStyle w:val="null3"/>
              <w:ind w:firstLine="420"/>
              <w:jc w:val="both"/>
            </w:pPr>
            <w:r>
              <w:rPr>
                <w:rFonts w:ascii="仿宋_GB2312" w:hAnsi="仿宋_GB2312" w:cs="仿宋_GB2312" w:eastAsia="仿宋_GB2312"/>
                <w:sz w:val="21"/>
              </w:rPr>
              <w:t>（六）质量验收标准或规范</w:t>
            </w:r>
          </w:p>
          <w:p>
            <w:pPr>
              <w:pStyle w:val="null3"/>
            </w:pPr>
            <w:r>
              <w:rPr>
                <w:rFonts w:ascii="仿宋_GB2312" w:hAnsi="仿宋_GB2312" w:cs="仿宋_GB2312" w:eastAsia="仿宋_GB2312"/>
                <w:sz w:val="21"/>
              </w:rPr>
              <w:t>成果质量符合部省相关要求，并通过采购人组织的专家论证或评估会。</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自合同签订之日起至2026年12月15日。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西安市自然资源和规划局。</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成果编制遵循《自然资源部国家林业和草原局关于进一步做好自然资源要素保障的通知》（自然资发〔2026〕38 号）、陕西省、西安市存量用地盘活、土地出让相关政策文件及国土空间规划行业技术规范。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进度款，成果经市自然资源和规划局验收后，达到付款条件起10个工作日内，支付合同总金额的50.0%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本合同履行过程中发生的争议，由甲、乙双方友好协商解决；协商无法达成一致的，依法向甲方（采购人）所在地人民法院提起诉讼。（二）本争议解决条款为独立有效条款，本合同发生无效、变更、解除、终止等情形时，均不影响本条款的法律效力。</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政府采购电子化交易平台试点应用工作，供应商需要在线提交所有通过电子化交易平台实施的政府采购项目的响应文件，供应商务必在响应文件提交截止时间30分钟前，通过项目电子化交易系统进行签到，如未进行签到，产生的一起后果由供应商自行承担。 2、无需提供纸质响应文件，成交供应商在领取中标通知书时提供纸质响应文件三份（一正两副），纸质版文件须是电子化交易平台系统生成的响应文件。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 1、营业执照等主体资格证明文件：具有独立承担民事责任能力的法人、其他组织或自然人，提供合法有效的统一社会信用代码营业执照（事业单位提供事业单位法人证书，自然人应提供身份证）；并进行电子签章。 2、供应商提供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并进行电子签章。 3、税收缴纳证明：提供投标截止时间前3个月内任意一个月份(投标截止时间当月不计入)依法缴纳税收的相关凭据（时间以税款所属日期为准），凭据应有税务机关或代收机关的公章或业务专用章；依法免税或无须缴纳税收的供应商，应提供相应证明文件；或具有依法缴纳税收的诚信声明； 并进行电子签章。 4、社会保障资金缴纳证明：提供投标截止时间前3个月内任意一个月份(投标截止时间当月不计入)的社会保障资金缴存单据或社保机构开具的社会保险参保缴费情况证明；依法不需要缴纳社会保障资金的供应商应提供相关文件证明；或具有依法缴纳社会保障资金的缴纳记录的诚信声明；并进行电子签章。 5、能力书面声明：具有履行合同所必需的设备和专业技术能力的书面声明； 6、无重大违法记录：近3年内在经营活动中没有重大违法记录的书面声明；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参加的，须提供法定代表人身份证明及本人身份证复印件；法定代表人授权他人参加的，须提供法定代表人委托授权书、被授权代表的身份证复印件，被授权人参加的还需要提供在本单位缴纳的社保证明（近3个月内任意一个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具备有效的城乡规划编制乙级及以上资质证书；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并加盖供应商公章（以开标当天代理机构核查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w:t>
            </w:r>
          </w:p>
        </w:tc>
        <w:tc>
          <w:tcPr>
            <w:tcW w:type="dxa" w:w="3322"/>
          </w:tcPr>
          <w:p>
            <w:pPr>
              <w:pStyle w:val="null3"/>
            </w:pPr>
            <w:r>
              <w:rPr>
                <w:rFonts w:ascii="仿宋_GB2312" w:hAnsi="仿宋_GB2312" w:cs="仿宋_GB2312" w:eastAsia="仿宋_GB2312"/>
              </w:rPr>
              <w:t>投标文件按照规定格式签字、盖章</w:t>
            </w:r>
          </w:p>
        </w:tc>
        <w:tc>
          <w:tcPr>
            <w:tcW w:type="dxa" w:w="1661"/>
          </w:tcPr>
          <w:p>
            <w:pPr>
              <w:pStyle w:val="null3"/>
            </w:pPr>
            <w:r>
              <w:rPr>
                <w:rFonts w:ascii="仿宋_GB2312" w:hAnsi="仿宋_GB2312" w:cs="仿宋_GB2312" w:eastAsia="仿宋_GB2312"/>
              </w:rPr>
              <w:t>开标一览表 供应商应提交的相关资格证明材料.docx 投标函 供应商廉洁自律承诺书.docx 中小企业声明函 残疾人福利性单位声明函 商务应答表 服务内容及服务要求应答表 标的清单 投标文件封面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投标有效期达到招标文件的要求；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供应商针对同一服务未递交两份或多份内容不同的投标文件，未出现选择性报价；</w:t>
            </w:r>
          </w:p>
        </w:tc>
        <w:tc>
          <w:tcPr>
            <w:tcW w:type="dxa" w:w="1661"/>
          </w:tcPr>
          <w:p>
            <w:pPr>
              <w:pStyle w:val="null3"/>
            </w:pPr>
            <w:r>
              <w:rPr>
                <w:rFonts w:ascii="仿宋_GB2312" w:hAnsi="仿宋_GB2312" w:cs="仿宋_GB2312" w:eastAsia="仿宋_GB2312"/>
              </w:rPr>
              <w:t>开标一览表 供应商应提交的相关资格证明材料.docx 投标函 供应商廉洁自律承诺书.docx 中小企业声明函 残疾人福利性单位声明函 商务应答表 服务内容及服务要求应答表 标的清单 投标文件封面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符合商务、技术要求</w:t>
            </w:r>
          </w:p>
        </w:tc>
        <w:tc>
          <w:tcPr>
            <w:tcW w:type="dxa" w:w="3322"/>
          </w:tcPr>
          <w:p>
            <w:pPr>
              <w:pStyle w:val="null3"/>
            </w:pPr>
            <w:r>
              <w:rPr>
                <w:rFonts w:ascii="仿宋_GB2312" w:hAnsi="仿宋_GB2312" w:cs="仿宋_GB2312" w:eastAsia="仿宋_GB2312"/>
              </w:rPr>
              <w:t>符合商务、技术要求，不存在重大负偏离；</w:t>
            </w:r>
          </w:p>
        </w:tc>
        <w:tc>
          <w:tcPr>
            <w:tcW w:type="dxa" w:w="1661"/>
          </w:tcPr>
          <w:p>
            <w:pPr>
              <w:pStyle w:val="null3"/>
            </w:pPr>
            <w:r>
              <w:rPr>
                <w:rFonts w:ascii="仿宋_GB2312" w:hAnsi="仿宋_GB2312" w:cs="仿宋_GB2312" w:eastAsia="仿宋_GB2312"/>
              </w:rPr>
              <w:t>开标一览表 供应商应提交的相关资格证明材料.docx 投标函 供应商廉洁自律承诺书.docx 中小企业声明函 残疾人福利性单位声明函 商务应答表 服务内容及服务要求应答表 标的清单 投标文件封面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投标文件未附有采购人不能接受的条件</w:t>
            </w:r>
          </w:p>
        </w:tc>
        <w:tc>
          <w:tcPr>
            <w:tcW w:type="dxa" w:w="3322"/>
          </w:tcPr>
          <w:p>
            <w:pPr>
              <w:pStyle w:val="null3"/>
            </w:pPr>
            <w:r>
              <w:rPr>
                <w:rFonts w:ascii="仿宋_GB2312" w:hAnsi="仿宋_GB2312" w:cs="仿宋_GB2312" w:eastAsia="仿宋_GB2312"/>
              </w:rPr>
              <w:t>投标文件未附有采购人不能接受的条件；</w:t>
            </w:r>
          </w:p>
        </w:tc>
        <w:tc>
          <w:tcPr>
            <w:tcW w:type="dxa" w:w="1661"/>
          </w:tcPr>
          <w:p>
            <w:pPr>
              <w:pStyle w:val="null3"/>
            </w:pPr>
            <w:r>
              <w:rPr>
                <w:rFonts w:ascii="仿宋_GB2312" w:hAnsi="仿宋_GB2312" w:cs="仿宋_GB2312" w:eastAsia="仿宋_GB2312"/>
              </w:rPr>
              <w:t>开标一览表 供应商应提交的相关资格证明材料.docx 投标函 供应商廉洁自律承诺书.docx 中小企业声明函 残疾人福利性单位声明函 商务应答表 服务内容及服务要求应答表 标的清单 投标文件封面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符合招标文件规定的其他实质性要求</w:t>
            </w:r>
          </w:p>
        </w:tc>
        <w:tc>
          <w:tcPr>
            <w:tcW w:type="dxa" w:w="3322"/>
          </w:tcPr>
          <w:p>
            <w:pPr>
              <w:pStyle w:val="null3"/>
            </w:pPr>
            <w:r>
              <w:rPr>
                <w:rFonts w:ascii="仿宋_GB2312" w:hAnsi="仿宋_GB2312" w:cs="仿宋_GB2312" w:eastAsia="仿宋_GB2312"/>
              </w:rPr>
              <w:t>符合招标文件规定的其他实质性要求；</w:t>
            </w:r>
          </w:p>
        </w:tc>
        <w:tc>
          <w:tcPr>
            <w:tcW w:type="dxa" w:w="1661"/>
          </w:tcPr>
          <w:p>
            <w:pPr>
              <w:pStyle w:val="null3"/>
            </w:pPr>
            <w:r>
              <w:rPr>
                <w:rFonts w:ascii="仿宋_GB2312" w:hAnsi="仿宋_GB2312" w:cs="仿宋_GB2312" w:eastAsia="仿宋_GB2312"/>
              </w:rPr>
              <w:t>开标一览表 供应商应提交的相关资格证明材料.docx 投标函 供应商廉洁自律承诺书.docx 中小企业声明函 残疾人福利性单位声明函 商务应答表 服务内容及服务要求应答表 标的清单 投标文件封面 服务方案.docx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符合《中华人民共和国政府采购法》有关规定和招标纪律</w:t>
            </w:r>
          </w:p>
        </w:tc>
        <w:tc>
          <w:tcPr>
            <w:tcW w:type="dxa" w:w="3322"/>
          </w:tcPr>
          <w:p>
            <w:pPr>
              <w:pStyle w:val="null3"/>
            </w:pPr>
            <w:r>
              <w:rPr>
                <w:rFonts w:ascii="仿宋_GB2312" w:hAnsi="仿宋_GB2312" w:cs="仿宋_GB2312" w:eastAsia="仿宋_GB2312"/>
              </w:rPr>
              <w:t>符合《中华人民共和国政府采购法》有关规定和招标纪律。</w:t>
            </w:r>
          </w:p>
        </w:tc>
        <w:tc>
          <w:tcPr>
            <w:tcW w:type="dxa" w:w="1661"/>
          </w:tcPr>
          <w:p>
            <w:pPr>
              <w:pStyle w:val="null3"/>
            </w:pPr>
            <w:r>
              <w:rPr>
                <w:rFonts w:ascii="仿宋_GB2312" w:hAnsi="仿宋_GB2312" w:cs="仿宋_GB2312" w:eastAsia="仿宋_GB2312"/>
              </w:rPr>
              <w:t>开标一览表 供应商应提交的相关资格证明材料.docx 投标函 供应商廉洁自律承诺书.docx 中小企业声明函 残疾人福利性单位声明函 商务应答表 服务内容及服务要求应答表 标的清单 投标文件封面 服务方案.docx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投标人针对本项目提供项目理解方案。内容至少包括：①对相关政策解读和基本情况分析②对项目背景的研判③专业资料的搜集与内容梳理④实地调研与考察方案⑤对发展现状认识等。以上要求的内容均有描述且符合本项目实际需求的得10分。每缺一项内容扣2分，每有一项要求的方案内容有一处缺陷的扣0.5分(缺陷是指：对同一问题前后表述矛盾的，或逻辑错误的，或缺少关键节点，或涉及的规范及标准错误，或表述内容不完整，或不利于项目实施、不可能实现的情形等任意一种情形)，扣完为止；本项内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总体工作方案</w:t>
            </w:r>
          </w:p>
        </w:tc>
        <w:tc>
          <w:tcPr>
            <w:tcW w:type="dxa" w:w="2492"/>
          </w:tcPr>
          <w:p>
            <w:pPr>
              <w:pStyle w:val="null3"/>
            </w:pPr>
            <w:r>
              <w:rPr>
                <w:rFonts w:ascii="仿宋_GB2312" w:hAnsi="仿宋_GB2312" w:cs="仿宋_GB2312" w:eastAsia="仿宋_GB2312"/>
              </w:rPr>
              <w:t>投标人根据本项目提供总体工作方案。内容至少包括：①开展现状评估方案②总体工作思路③总体工作计划④具体工作目标及内容。以上要求的内容均有描述且符合本项目实际需求的得10分。每缺一项内容扣2.5分，每有一项要求的方案内容有一处缺陷的扣0.5分(缺陷是指：对同一问题前后表述矛盾的，或逻辑错误的，或缺少关键节点，或涉及的规范及标准错误，或表述内容不完整，或不利于项目实施、不可能实现的情形等任意一种情形)，扣完为止；本项内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进度计划及保障措施</w:t>
            </w:r>
          </w:p>
        </w:tc>
        <w:tc>
          <w:tcPr>
            <w:tcW w:type="dxa" w:w="2492"/>
          </w:tcPr>
          <w:p>
            <w:pPr>
              <w:pStyle w:val="null3"/>
            </w:pPr>
            <w:r>
              <w:rPr>
                <w:rFonts w:ascii="仿宋_GB2312" w:hAnsi="仿宋_GB2312" w:cs="仿宋_GB2312" w:eastAsia="仿宋_GB2312"/>
              </w:rPr>
              <w:t>投标人针对本项目提供相关的进度计划及保障措施方案。内容至少包括：①项目实施进度目标分析②提供合理的工作计划及时间节点③项目进度保障措施。以上要求的内容均有描述且符合本项目实际需求的得3分。每缺一项内容扣1分，每有一项要求的方案内容有一处缺陷的扣0.5分(缺陷是指：对同一问题前后表述矛盾的，或逻辑错误的，或缺少关键节点，或涉及的规范及标准错误，或表述内容不完整，或不利于项目实施、不可能实现的情形等任意一种情形)，扣完为止；本项内容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国家注册城市（或城乡）规划师资格且具有高级工程师职得10分，未提供或提供不齐全不得分。注：以上人员需为本单位人员，评审时以提供近三个月的社保缴纳证明、人员身份证、毕业证、职称证、资格证书等证明材料复印件加盖投标人公章为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除项目负责人外，项目团队人员具备本项目所需城市（或城乡）规划专业高级职称的每个计3分，中级职称的每个计1.5分，其他不得分，满分15分。注：以上人员需为本单位人员，评审时以提供近三个月的社保缴纳证明、人员身份证、毕业证、职称证、资格证书等证明材料复印件加盖投标人公章为依据。</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成果交付措施</w:t>
            </w:r>
          </w:p>
        </w:tc>
        <w:tc>
          <w:tcPr>
            <w:tcW w:type="dxa" w:w="2492"/>
          </w:tcPr>
          <w:p>
            <w:pPr>
              <w:pStyle w:val="null3"/>
            </w:pPr>
            <w:r>
              <w:rPr>
                <w:rFonts w:ascii="仿宋_GB2312" w:hAnsi="仿宋_GB2312" w:cs="仿宋_GB2312" w:eastAsia="仿宋_GB2312"/>
              </w:rPr>
              <w:t>投标人提供针对本项目提供成果交付措施。内容至少包括：①成果文件编制的重点问题分析②成果文件的审批流程③成果文件编制的法律法规和技术标准④成果文件编制时间控制。以上要求的内容均有描述且符合本项目实际需求的得10分。每缺一项内容扣2.5分，每有一项要求的方案内容有一处缺陷的扣1分(缺陷是指：对同一问题前后表述矛盾的，或逻辑错误的，或缺少关键节点，或涉及的规范及标准错误，或表述内容不完整，或不利于项目实施、不可能实现的情形等任意一种情形)，扣完为止；本项内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保密工作方案</w:t>
            </w:r>
          </w:p>
        </w:tc>
        <w:tc>
          <w:tcPr>
            <w:tcW w:type="dxa" w:w="2492"/>
          </w:tcPr>
          <w:p>
            <w:pPr>
              <w:pStyle w:val="null3"/>
            </w:pPr>
            <w:r>
              <w:rPr>
                <w:rFonts w:ascii="仿宋_GB2312" w:hAnsi="仿宋_GB2312" w:cs="仿宋_GB2312" w:eastAsia="仿宋_GB2312"/>
              </w:rPr>
              <w:t>投标人针对本项目提供安全保密工作承诺及方案。内容至少包括：①保密制度及承诺②保密措施③廉洁从业的承诺。以上要求的内容均有描述且符合本项目实际需求的得3分。每缺一项内容扣1分，每有一项要求的方案内容有一处缺陷的扣0.5分(缺陷是指：对同一问题前后表述矛盾的，或逻辑错误的，或缺少关键节点，或涉及的规范及标准错误，或表述内容不完整，或不利于项目实施、不可能实现的情形等任意一种情形)，扣完为止；本项内容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内容至少包括：①本次项目衔接工作方案②承诺负责本项目所有审查或报批环节的协调汇报等工作③积极配合采购人服务要求④未能完全履行承诺时愿意接受相关处罚的承诺。以上要求的内容均有描述且符合本项目实际需求的得4分。每缺一项内容扣1分，每有一项要求的方案内容有一处缺陷的扣0.5分(缺陷是指：对同一问题前后表述矛盾的，或逻辑错误的，或缺少关键节点，或涉及的规范及标准错误，或表述内容不完整，或不利于项目实施、不可能实现的情形等任意一种情形)，扣完为止；本项内容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6月1日至今类似项目业绩合同（以合同签订时间为准）；每提供一项业绩得3分，最高得15分。以加盖投标人公章的合同复印件或扫描件为准，应至少包含合同关键页，合同上必须明确体现签订时间。</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1.经资格审查、符合性审查合格的投标文件，其投标总报价为有效报价，参与价格评审。2.投标总报价得分：满足招标文件要求且最低的投标总报价为评标基准价，其价格分为满分。 价格分按照下列公式计算：投标总报价得分=（评标基准价/投标总报价）×20%×100。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详见附件：供应商廉洁自律承诺书.docx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详见附件：西安市2026年度“四类用地”更新维护与“规土评让”技术支撑项目技术服务合同.docx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