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版本号：ZCSP-渭南市-2026-0008720260506001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渭南市政务服务大厅硬件保障及网络维护服务项目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ZCSP-渭南市-2026-00087</w:t>
      </w:r>
      <w:r>
        <w:br/>
      </w:r>
      <w:r>
        <w:br/>
      </w:r>
      <w:r>
        <w:br/>
      </w:r>
    </w:p>
    <w:p>
      <w:pPr>
        <w:pStyle w:val="null3"/>
        <w:jc w:val="center"/>
        <w:outlineLvl w:val="2"/>
      </w:pPr>
      <w:r>
        <w:rPr>
          <w:rFonts w:ascii="仿宋_GB2312" w:hAnsi="仿宋_GB2312" w:cs="仿宋_GB2312" w:eastAsia="仿宋_GB2312"/>
          <w:sz w:val="28"/>
          <w:b/>
        </w:rPr>
        <w:t>渭南市政务服务中心</w:t>
      </w:r>
    </w:p>
    <w:p>
      <w:pPr>
        <w:pStyle w:val="null3"/>
        <w:jc w:val="center"/>
        <w:outlineLvl w:val="2"/>
      </w:pPr>
      <w:r>
        <w:rPr>
          <w:rFonts w:ascii="仿宋_GB2312" w:hAnsi="仿宋_GB2312" w:cs="仿宋_GB2312" w:eastAsia="仿宋_GB2312"/>
          <w:sz w:val="28"/>
          <w:b/>
        </w:rPr>
        <w:t>陕西宏远项目管理有限公司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陕西宏远项目管理有限公司</w:t>
      </w:r>
      <w:r>
        <w:rPr>
          <w:rFonts w:ascii="仿宋_GB2312" w:hAnsi="仿宋_GB2312" w:cs="仿宋_GB2312" w:eastAsia="仿宋_GB2312"/>
        </w:rPr>
        <w:t>（以下简称“代理机构”）受</w:t>
      </w:r>
      <w:r>
        <w:rPr>
          <w:rFonts w:ascii="仿宋_GB2312" w:hAnsi="仿宋_GB2312" w:cs="仿宋_GB2312" w:eastAsia="仿宋_GB2312"/>
        </w:rPr>
        <w:t>渭南市政务服务中心</w:t>
      </w:r>
      <w:r>
        <w:rPr>
          <w:rFonts w:ascii="仿宋_GB2312" w:hAnsi="仿宋_GB2312" w:cs="仿宋_GB2312" w:eastAsia="仿宋_GB2312"/>
        </w:rPr>
        <w:t>委托，拟对</w:t>
      </w:r>
      <w:r>
        <w:rPr>
          <w:rFonts w:ascii="仿宋_GB2312" w:hAnsi="仿宋_GB2312" w:cs="仿宋_GB2312" w:eastAsia="仿宋_GB2312"/>
        </w:rPr>
        <w:t>渭南市政务服务大厅硬件保障及网络维护服务项目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渭南市政务服务大厅硬件保障及网络维护服务项目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政务服务大厅各类设施设备的正常运行，确保大厅各项工作顺利开展，全面提升政务服务大厅网络与信息系统的安全性、稳定性和可靠性，建立健全网络安全防护体系，提升政务服务大厅网络运维水平及应急处置能力，现计划对大厅设施设备及网络与信息系统运行维护服务进行采购，为政务服务大厅提供全方位、多层次、立体化的硬件和网络信息系统运行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1、营业执照：供应商须为具有独立承担民事责任能力的法人、其他组织或自然人，并提供有效的统一社会信用代码的营业执照或事业单位法人证书等国家规定的相关证明，自然人参与的提供其身份证明；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pPr>
        <w:pStyle w:val="null3"/>
      </w:pPr>
      <w:r>
        <w:rPr>
          <w:rFonts w:ascii="仿宋_GB2312" w:hAnsi="仿宋_GB2312" w:cs="仿宋_GB2312" w:eastAsia="仿宋_GB2312"/>
        </w:rPr>
        <w:t>3、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或2025年度财务审计报告（成立时间至提交响应文件截止时间不足一年的可提供成立后任意时段的资产负债表）或其基本存款账户开户银行出具的开标前六个月内资信证明及基本存款账户的开户证明；</w:t>
      </w:r>
    </w:p>
    <w:p>
      <w:pPr>
        <w:pStyle w:val="null3"/>
      </w:pPr>
      <w:r>
        <w:rPr>
          <w:rFonts w:ascii="仿宋_GB2312" w:hAnsi="仿宋_GB2312" w:cs="仿宋_GB2312" w:eastAsia="仿宋_GB2312"/>
        </w:rPr>
        <w:t>5、供应商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7、提供具有履行合同所必须的设备和专业技术能力的承诺书；：提供具有履行合同所必须的设备和专业技术能力的承诺书；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8、供应商关联关系：单位负责人为同一人或者存在直接控股、管理关系的不同供应商，不得参加同一合同项下的政府采购活动；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渭南市政务服务中心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17809130808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陕西宏远项目管理有限公司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陕西省渭南市临渭区仓程路华盛公寓1716室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19191626406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应向采购代理机构一次性交纳招标代理服务费。招标代理服务费参照国家计委关于印发《招标代理服务收费管理暂行办法》的通知(计价格(2002)1980号)、国家发展改革委关于降低部分建设项目收费标准规范收费行为等有关问题的通知发改价格[2011]534号文件的规定计取。此服务费应计入投标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渭南市政务服务中心</w:t>
      </w:r>
      <w:r>
        <w:rPr>
          <w:rFonts w:ascii="仿宋_GB2312" w:hAnsi="仿宋_GB2312" w:cs="仿宋_GB2312" w:eastAsia="仿宋_GB2312"/>
        </w:rPr>
        <w:t>和</w:t>
      </w:r>
      <w:r>
        <w:rPr>
          <w:rFonts w:ascii="仿宋_GB2312" w:hAnsi="仿宋_GB2312" w:cs="仿宋_GB2312" w:eastAsia="仿宋_GB2312"/>
        </w:rPr>
        <w:t>陕西宏远项目管理有限公司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渭南市政务服务中心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陕西宏远项目管理有限公司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渭南市政务服务中心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联系人：张晓娜</w:t>
      </w:r>
    </w:p>
    <w:p>
      <w:pPr>
        <w:pStyle w:val="null3"/>
      </w:pPr>
      <w:r>
        <w:rPr>
          <w:rFonts w:ascii="仿宋_GB2312" w:hAnsi="仿宋_GB2312" w:cs="仿宋_GB2312" w:eastAsia="仿宋_GB2312"/>
        </w:rPr>
        <w:t>联系电话：19191626406</w:t>
      </w:r>
    </w:p>
    <w:p>
      <w:pPr>
        <w:pStyle w:val="null3"/>
      </w:pPr>
      <w:r>
        <w:rPr>
          <w:rFonts w:ascii="仿宋_GB2312" w:hAnsi="仿宋_GB2312" w:cs="仿宋_GB2312" w:eastAsia="仿宋_GB2312"/>
        </w:rPr>
        <w:t>地址：陕西省渭南市临渭区仓程路华盛公寓1716室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政务服务大厅各类设施设备的正常运行，确保大厅各项工作顺利开展，全面提升政务服务大厅网络与信息系统的安全性、稳定性和可靠性，建立健全网络安全防护体系，提升政务服务大厅网络运维水平及应急处置能力，现计划对大厅设施设备及网络与信息系统运行维护服务进行采购，为政务服务大厅提供全方位、多层次、立体化的硬件和网络信息系统运行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338,600.00</w:t>
      </w:r>
    </w:p>
    <w:p>
      <w:pPr>
        <w:pStyle w:val="null3"/>
      </w:pPr>
      <w:r>
        <w:rPr>
          <w:rFonts w:ascii="仿宋_GB2312" w:hAnsi="仿宋_GB2312" w:cs="仿宋_GB2312" w:eastAsia="仿宋_GB2312"/>
        </w:rPr>
        <w:t>采购包最高限价（元）: 338,600.00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338,600.00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保障政务服务大厅各类设施设备的正常运行，确保大厅各项工作顺利开展，全面提升政务服务大厅网络与信息系统的安全性、稳定性和可靠性，建立健全网络安全防护体系，提升政务服务大厅网络运维水平及应急处置能力，现计划对大厅设施设备及网络与信息系统运行维护服务进行采购，为政务服务大厅提供全方位、多层次、立体化的硬件和网络信息系统运行维护服务。</w:t>
            </w:r>
          </w:p>
          <w:p>
            <w:pPr>
              <w:pStyle w:val="null3"/>
              <w:jc w:val="both"/>
            </w:pPr>
            <w:r>
              <w:rPr>
                <w:rFonts w:ascii="仿宋_GB2312" w:hAnsi="仿宋_GB2312" w:cs="仿宋_GB2312" w:eastAsia="仿宋_GB2312"/>
                <w:sz w:val="24"/>
                <w:b/>
              </w:rPr>
              <w:t>二、服务内容</w:t>
            </w:r>
          </w:p>
          <w:p>
            <w:pPr>
              <w:pStyle w:val="null3"/>
              <w:jc w:val="both"/>
            </w:pPr>
            <w:r>
              <w:rPr>
                <w:rFonts w:ascii="仿宋_GB2312" w:hAnsi="仿宋_GB2312" w:cs="仿宋_GB2312" w:eastAsia="仿宋_GB2312"/>
                <w:sz w:val="24"/>
                <w:b/>
              </w:rPr>
              <w:t>（一）、设施设备服务内容</w:t>
            </w:r>
          </w:p>
          <w:p>
            <w:pPr>
              <w:pStyle w:val="null3"/>
              <w:ind w:firstLine="480"/>
              <w:jc w:val="both"/>
            </w:pPr>
            <w:r>
              <w:rPr>
                <w:rFonts w:ascii="仿宋_GB2312" w:hAnsi="仿宋_GB2312" w:cs="仿宋_GB2312" w:eastAsia="仿宋_GB2312"/>
                <w:sz w:val="24"/>
              </w:rPr>
              <w:t>1.维保设备清单</w:t>
            </w:r>
          </w:p>
          <w:p>
            <w:pPr>
              <w:pStyle w:val="null3"/>
              <w:ind w:firstLine="480"/>
              <w:jc w:val="both"/>
            </w:pPr>
            <w:r>
              <w:rPr>
                <w:rFonts w:ascii="仿宋_GB2312" w:hAnsi="仿宋_GB2312" w:cs="仿宋_GB2312" w:eastAsia="仿宋_GB2312"/>
                <w:sz w:val="24"/>
              </w:rPr>
              <w:t>电子设备：</w:t>
            </w:r>
            <w:r>
              <w:rPr>
                <w:rFonts w:ascii="仿宋_GB2312" w:hAnsi="仿宋_GB2312" w:cs="仿宋_GB2312" w:eastAsia="仿宋_GB2312"/>
                <w:sz w:val="24"/>
              </w:rPr>
              <w:t>电脑、</w:t>
            </w:r>
            <w:r>
              <w:rPr>
                <w:rFonts w:ascii="仿宋_GB2312" w:hAnsi="仿宋_GB2312" w:cs="仿宋_GB2312" w:eastAsia="仿宋_GB2312"/>
                <w:sz w:val="24"/>
              </w:rPr>
              <w:t>LED抬头屏、LED大屏、打印机、高拍仪、呼叫器、网络交换机、人证对比机、抽号机、电视机、网络分配器、收发器、网络录音盒等电子设备；</w:t>
            </w:r>
          </w:p>
          <w:p>
            <w:pPr>
              <w:pStyle w:val="null3"/>
              <w:ind w:firstLine="480"/>
              <w:jc w:val="both"/>
            </w:pPr>
            <w:r>
              <w:rPr>
                <w:rFonts w:ascii="仿宋_GB2312" w:hAnsi="仿宋_GB2312" w:cs="仿宋_GB2312" w:eastAsia="仿宋_GB2312"/>
                <w:sz w:val="24"/>
              </w:rPr>
              <w:t>安防设备：安防摄像头、监控大屏、拼接器、安防交换机、安防平台、存储服务器、核心路由器等；</w:t>
            </w:r>
          </w:p>
          <w:p>
            <w:pPr>
              <w:pStyle w:val="null3"/>
              <w:ind w:firstLine="480"/>
              <w:jc w:val="both"/>
            </w:pPr>
            <w:r>
              <w:rPr>
                <w:rFonts w:ascii="仿宋_GB2312" w:hAnsi="仿宋_GB2312" w:cs="仿宋_GB2312" w:eastAsia="仿宋_GB2312"/>
                <w:sz w:val="24"/>
              </w:rPr>
              <w:t>办公家具：沙发、桌子、椅子、门把手、门锁、隔离桩、资料架、资料柜、办公区格挡、冬夏季门帘等。大厅桌椅等家具的维修要保证维修后恢复办公家具的基本功能。</w:t>
            </w:r>
          </w:p>
          <w:p>
            <w:pPr>
              <w:pStyle w:val="null3"/>
              <w:ind w:firstLine="480"/>
              <w:jc w:val="both"/>
            </w:pPr>
            <w:r>
              <w:rPr>
                <w:rFonts w:ascii="仿宋_GB2312" w:hAnsi="仿宋_GB2312" w:cs="仿宋_GB2312" w:eastAsia="仿宋_GB2312"/>
                <w:sz w:val="24"/>
              </w:rPr>
              <w:t>2.维保服务内容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提供驻场服务及</w:t>
            </w:r>
            <w:r>
              <w:rPr>
                <w:rFonts w:ascii="仿宋_GB2312" w:hAnsi="仿宋_GB2312" w:cs="仿宋_GB2312" w:eastAsia="仿宋_GB2312"/>
                <w:sz w:val="24"/>
              </w:rPr>
              <w:t>7x24 小时电话响应服务，</w:t>
            </w:r>
            <w:r>
              <w:rPr>
                <w:rFonts w:ascii="仿宋_GB2312" w:hAnsi="仿宋_GB2312" w:cs="仿宋_GB2312" w:eastAsia="仿宋_GB2312"/>
                <w:sz w:val="24"/>
              </w:rPr>
              <w:t>定期巡检维护</w:t>
            </w:r>
            <w:r>
              <w:rPr>
                <w:rFonts w:ascii="仿宋_GB2312" w:hAnsi="仿宋_GB2312" w:cs="仿宋_GB2312" w:eastAsia="仿宋_GB2312"/>
                <w:sz w:val="24"/>
              </w:rPr>
              <w:t>、</w:t>
            </w:r>
            <w:r>
              <w:rPr>
                <w:rFonts w:ascii="仿宋_GB2312" w:hAnsi="仿宋_GB2312" w:cs="仿宋_GB2312" w:eastAsia="仿宋_GB2312"/>
                <w:sz w:val="24"/>
              </w:rPr>
              <w:t>故障响应与修</w:t>
            </w:r>
            <w:r>
              <w:rPr>
                <w:rFonts w:ascii="仿宋_GB2312" w:hAnsi="仿宋_GB2312" w:cs="仿宋_GB2312" w:eastAsia="仿宋_GB2312"/>
                <w:sz w:val="24"/>
              </w:rPr>
              <w:t>理</w:t>
            </w:r>
            <w:r>
              <w:rPr>
                <w:rFonts w:ascii="仿宋_GB2312" w:hAnsi="仿宋_GB2312" w:cs="仿宋_GB2312" w:eastAsia="仿宋_GB2312"/>
                <w:sz w:val="24"/>
              </w:rPr>
              <w:t>、</w:t>
            </w:r>
            <w:r>
              <w:rPr>
                <w:rFonts w:ascii="仿宋_GB2312" w:hAnsi="仿宋_GB2312" w:cs="仿宋_GB2312" w:eastAsia="仿宋_GB2312"/>
                <w:sz w:val="24"/>
              </w:rPr>
              <w:t>备件管理</w:t>
            </w:r>
            <w:r>
              <w:rPr>
                <w:rFonts w:ascii="仿宋_GB2312" w:hAnsi="仿宋_GB2312" w:cs="仿宋_GB2312" w:eastAsia="仿宋_GB2312"/>
                <w:sz w:val="24"/>
              </w:rPr>
              <w:t>、</w:t>
            </w:r>
            <w:r>
              <w:rPr>
                <w:rFonts w:ascii="仿宋_GB2312" w:hAnsi="仿宋_GB2312" w:cs="仿宋_GB2312" w:eastAsia="仿宋_GB2312"/>
                <w:sz w:val="24"/>
              </w:rPr>
              <w:t>设备</w:t>
            </w:r>
            <w:r>
              <w:rPr>
                <w:rFonts w:ascii="仿宋_GB2312" w:hAnsi="仿宋_GB2312" w:cs="仿宋_GB2312" w:eastAsia="仿宋_GB2312"/>
                <w:sz w:val="24"/>
              </w:rPr>
              <w:t>性能优化</w:t>
            </w:r>
            <w:r>
              <w:rPr>
                <w:rFonts w:ascii="仿宋_GB2312" w:hAnsi="仿宋_GB2312" w:cs="仿宋_GB2312" w:eastAsia="仿宋_GB2312"/>
                <w:sz w:val="24"/>
              </w:rPr>
              <w:t>、</w:t>
            </w:r>
            <w:r>
              <w:rPr>
                <w:rFonts w:ascii="仿宋_GB2312" w:hAnsi="仿宋_GB2312" w:cs="仿宋_GB2312" w:eastAsia="仿宋_GB2312"/>
                <w:sz w:val="24"/>
              </w:rPr>
              <w:t>技术支持与培训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负责大厅宣传图文、视频的播放：负责播放由政务中心提供的原始素材；每日对大厅播放系统进行一次巡检（显示屏、线路）是否运行正常，确保画面不卡顿、无黑屏。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负责大厅大屏公示信息电子版制作、排版，负责将原始材料制作、排版成适用于大厅大屏、电视、立式广告机、触摸查询机等宣传媒介或公告栏打印的格式（如</w:t>
            </w:r>
            <w:r>
              <w:rPr>
                <w:rFonts w:ascii="仿宋_GB2312" w:hAnsi="仿宋_GB2312" w:cs="仿宋_GB2312" w:eastAsia="仿宋_GB2312"/>
                <w:sz w:val="24"/>
              </w:rPr>
              <w:t>PDF、长图、PPT等）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配合政务大厅软硬件升级改造，做好增加设备后的巡检维保工作。</w:t>
            </w:r>
          </w:p>
          <w:p>
            <w:pPr>
              <w:pStyle w:val="null3"/>
              <w:ind w:left="420" w:right="30"/>
              <w:jc w:val="both"/>
            </w:pPr>
            <w:r>
              <w:rPr>
                <w:rFonts w:ascii="仿宋_GB2312" w:hAnsi="仿宋_GB2312" w:cs="仿宋_GB2312" w:eastAsia="仿宋_GB2312"/>
                <w:sz w:val="24"/>
                <w:b/>
              </w:rPr>
              <w:t>（二）、网络与信息系统运行维护和安全服务内容</w:t>
            </w:r>
          </w:p>
          <w:p>
            <w:pPr>
              <w:pStyle w:val="null3"/>
              <w:jc w:val="both"/>
            </w:pPr>
            <w:r>
              <w:rPr>
                <w:rFonts w:ascii="仿宋_GB2312" w:hAnsi="仿宋_GB2312" w:cs="仿宋_GB2312" w:eastAsia="仿宋_GB2312"/>
                <w:sz w:val="24"/>
              </w:rPr>
              <w:t>1. 网络巡检服务</w:t>
            </w:r>
            <w:r>
              <w:br/>
            </w:r>
            <w:r>
              <w:rPr>
                <w:rFonts w:ascii="仿宋_GB2312" w:hAnsi="仿宋_GB2312" w:cs="仿宋_GB2312" w:eastAsia="仿宋_GB2312"/>
                <w:sz w:val="24"/>
              </w:rPr>
              <w:t>网络巡检服务旨在对政务服务中心的网络基础设施进行全面、系统的健康检查，</w:t>
            </w:r>
          </w:p>
          <w:p>
            <w:pPr>
              <w:pStyle w:val="null3"/>
              <w:jc w:val="both"/>
            </w:pPr>
            <w:r>
              <w:rPr>
                <w:rFonts w:ascii="仿宋_GB2312" w:hAnsi="仿宋_GB2312" w:cs="仿宋_GB2312" w:eastAsia="仿宋_GB2312"/>
                <w:sz w:val="24"/>
              </w:rPr>
              <w:t>确保网络运行的稳定性和安全性。服务内容包括但不限于：对核心交换机、路由器等网络设备进行性能检测和配置核查，确保设备运行状态正常。对网络链路进行连通性测试和带宽监测，排查潜在的网络拥塞、丢包等问题。对网络安全设备进行策略优化和日志分析，确保安全策略的有效性。提供详细的巡检报告。绘制网络拓扑图，并做好更新维护管理。按实际需求形成</w:t>
            </w:r>
            <w:r>
              <w:rPr>
                <w:rFonts w:ascii="仿宋_GB2312" w:hAnsi="仿宋_GB2312" w:cs="仿宋_GB2312" w:eastAsia="仿宋_GB2312"/>
                <w:sz w:val="24"/>
              </w:rPr>
              <w:t>IP地址分配表，VLAN分配表，路由信息等，并根据实际业务变更情况维护相关表格。</w:t>
            </w:r>
          </w:p>
          <w:p>
            <w:pPr>
              <w:pStyle w:val="null3"/>
              <w:ind w:firstLine="480"/>
              <w:jc w:val="both"/>
            </w:pPr>
            <w:r>
              <w:rPr>
                <w:rFonts w:ascii="仿宋_GB2312" w:hAnsi="仿宋_GB2312" w:cs="仿宋_GB2312" w:eastAsia="仿宋_GB2312"/>
                <w:sz w:val="24"/>
              </w:rPr>
              <w:t>2. 信息系统巡检服务</w:t>
            </w:r>
            <w:r>
              <w:br/>
            </w:r>
            <w:r>
              <w:rPr>
                <w:rFonts w:ascii="仿宋_GB2312" w:hAnsi="仿宋_GB2312" w:cs="仿宋_GB2312" w:eastAsia="仿宋_GB2312"/>
                <w:sz w:val="24"/>
              </w:rPr>
              <w:t xml:space="preserve">    </w:t>
            </w:r>
            <w:r>
              <w:rPr>
                <w:rFonts w:ascii="仿宋_GB2312" w:hAnsi="仿宋_GB2312" w:cs="仿宋_GB2312" w:eastAsia="仿宋_GB2312"/>
                <w:sz w:val="24"/>
              </w:rPr>
              <w:t>信息系统巡检服务旨在对政务服务中心各类信息系统进行深度检查和优化，确保系统的高效、安全运行。服务内容包括但不限于：对服务器操作系统（如</w:t>
            </w:r>
            <w:r>
              <w:rPr>
                <w:rFonts w:ascii="仿宋_GB2312" w:hAnsi="仿宋_GB2312" w:cs="仿宋_GB2312" w:eastAsia="仿宋_GB2312"/>
                <w:sz w:val="24"/>
              </w:rPr>
              <w:t>Windows、Linux）进行安全补丁检查、权限配置核查和日志分析。对数据库系统（如Oracle、MySQL、SQL Server）进行性能优化、备份策略检查和漏洞修复。对中间件（如WebLogic、Tomcat）和应用系统进行配置核查和性能调优。提供系统巡检报告，包括系统运行状态、安全隐患及优化建议。</w:t>
            </w:r>
          </w:p>
          <w:p>
            <w:pPr>
              <w:pStyle w:val="null3"/>
              <w:ind w:firstLine="480"/>
              <w:jc w:val="both"/>
            </w:pPr>
            <w:r>
              <w:rPr>
                <w:rFonts w:ascii="仿宋_GB2312" w:hAnsi="仿宋_GB2312" w:cs="仿宋_GB2312" w:eastAsia="仿宋_GB2312"/>
                <w:sz w:val="24"/>
              </w:rPr>
              <w:t>3. 网络应急服务</w:t>
            </w:r>
            <w:r>
              <w:br/>
            </w:r>
            <w:r>
              <w:rPr>
                <w:rFonts w:ascii="仿宋_GB2312" w:hAnsi="仿宋_GB2312" w:cs="仿宋_GB2312" w:eastAsia="仿宋_GB2312"/>
                <w:sz w:val="24"/>
              </w:rPr>
              <w:t xml:space="preserve">    </w:t>
            </w:r>
            <w:r>
              <w:rPr>
                <w:rFonts w:ascii="仿宋_GB2312" w:hAnsi="仿宋_GB2312" w:cs="仿宋_GB2312" w:eastAsia="仿宋_GB2312"/>
                <w:sz w:val="24"/>
              </w:rPr>
              <w:t>网络应急服务旨在为政务服务中心提供快速响应和高效处置网络安全事件的能力，最大限度减少损失。服务内容包括但不限于：提供</w:t>
            </w:r>
            <w:r>
              <w:rPr>
                <w:rFonts w:ascii="仿宋_GB2312" w:hAnsi="仿宋_GB2312" w:cs="仿宋_GB2312" w:eastAsia="仿宋_GB2312"/>
                <w:sz w:val="24"/>
              </w:rPr>
              <w:t>7*24小时应急响应服务，确保在发生网络中断、网络攻击、数据泄露等事件时能够及时介入。对网络安全事件进行溯源分析，定位问题根源并提供解决方案。协助恢复网络和系统的正常运行，并提供事件分析报告和改进建议。制定和完善网络安全应急预案，定期组织应急演练。</w:t>
            </w:r>
          </w:p>
          <w:p>
            <w:pPr>
              <w:pStyle w:val="null3"/>
              <w:ind w:left="480"/>
              <w:jc w:val="both"/>
            </w:pPr>
            <w:r>
              <w:rPr>
                <w:rFonts w:ascii="仿宋_GB2312" w:hAnsi="仿宋_GB2312" w:cs="仿宋_GB2312" w:eastAsia="仿宋_GB2312"/>
                <w:sz w:val="24"/>
              </w:rPr>
              <w:t>4. 网络安全攻防演练服务</w:t>
            </w:r>
            <w:r>
              <w:br/>
            </w:r>
            <w:r>
              <w:rPr>
                <w:rFonts w:ascii="仿宋_GB2312" w:hAnsi="仿宋_GB2312" w:cs="仿宋_GB2312" w:eastAsia="仿宋_GB2312"/>
                <w:sz w:val="24"/>
              </w:rPr>
              <w:t>网络安全攻防演练服务旨在通过模拟真实攻击场景，检验政务服务中心网络安全</w:t>
            </w:r>
          </w:p>
          <w:p>
            <w:pPr>
              <w:pStyle w:val="null3"/>
              <w:jc w:val="both"/>
            </w:pPr>
            <w:r>
              <w:rPr>
                <w:rFonts w:ascii="仿宋_GB2312" w:hAnsi="仿宋_GB2312" w:cs="仿宋_GB2312" w:eastAsia="仿宋_GB2312"/>
                <w:sz w:val="24"/>
              </w:rPr>
              <w:t>防护体系的实战能力。服务内容包括但不限于：根据政务服务中心网络环境和业务特点，设计针对性的攻防演练方案。模拟常见网络攻击手段（如</w:t>
            </w:r>
            <w:r>
              <w:rPr>
                <w:rFonts w:ascii="仿宋_GB2312" w:hAnsi="仿宋_GB2312" w:cs="仿宋_GB2312" w:eastAsia="仿宋_GB2312"/>
                <w:sz w:val="24"/>
              </w:rPr>
              <w:t>DDoS攻击、SQL注入、钓鱼攻击等），检验防护系统的有效性。对演练过程中发现的安全漏洞进行修复，并提供加固建议。提供攻防演练总结报告，包括演练过程、发现的问题及整改措施。</w:t>
            </w:r>
          </w:p>
          <w:p>
            <w:pPr>
              <w:pStyle w:val="null3"/>
              <w:numPr>
                <w:ilvl w:val="0"/>
                <w:numId w:val="1"/>
              </w:numPr>
              <w:jc w:val="both"/>
            </w:pPr>
            <w:r>
              <w:rPr>
                <w:rFonts w:ascii="仿宋_GB2312" w:hAnsi="仿宋_GB2312" w:cs="仿宋_GB2312" w:eastAsia="仿宋_GB2312"/>
                <w:sz w:val="24"/>
              </w:rPr>
              <w:t>舆论监测服务</w:t>
            </w:r>
            <w:r>
              <w:br/>
            </w:r>
            <w:r>
              <w:rPr>
                <w:rFonts w:ascii="仿宋_GB2312" w:hAnsi="仿宋_GB2312" w:cs="仿宋_GB2312" w:eastAsia="仿宋_GB2312"/>
                <w:sz w:val="24"/>
              </w:rPr>
              <w:t>舆论监测服务旨在通过实时监测和分析网络舆论，帮助政务服务中心及时掌握舆</w:t>
            </w:r>
          </w:p>
          <w:p>
            <w:pPr>
              <w:pStyle w:val="null3"/>
              <w:jc w:val="both"/>
            </w:pPr>
            <w:r>
              <w:rPr>
                <w:rFonts w:ascii="仿宋_GB2312" w:hAnsi="仿宋_GB2312" w:cs="仿宋_GB2312" w:eastAsia="仿宋_GB2312"/>
                <w:sz w:val="24"/>
              </w:rPr>
              <w:t>论动态，维护单位形象和声誉。服务内容包括但不限于：利用专业的舆论监测工具，对与政务服务中心相关的网络舆论进行全天候监测。对监测到的舆论信息进行分类、分析和研判，识别潜在风险。提供舆论预警和应对建议，协助政务服务中心及时采取应对措施。定期提供舆论分析报告，包括舆论趋势、热点事件及应对策略。</w:t>
            </w:r>
          </w:p>
          <w:p>
            <w:pPr>
              <w:pStyle w:val="null3"/>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color w:val="000000"/>
              </w:rPr>
              <w:t>1.服务期限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自合同签订之日至起</w:t>
            </w:r>
            <w:r>
              <w:rPr>
                <w:rFonts w:ascii="仿宋_GB2312" w:hAnsi="仿宋_GB2312" w:cs="仿宋_GB2312" w:eastAsia="仿宋_GB2312"/>
                <w:sz w:val="24"/>
                <w:color w:val="000000"/>
              </w:rPr>
              <w:t>1年。</w:t>
            </w:r>
          </w:p>
          <w:p>
            <w:pPr>
              <w:pStyle w:val="null3"/>
              <w:ind w:firstLine="480"/>
              <w:jc w:val="both"/>
            </w:pPr>
            <w:r>
              <w:rPr>
                <w:rFonts w:ascii="仿宋_GB2312" w:hAnsi="仿宋_GB2312" w:cs="仿宋_GB2312" w:eastAsia="仿宋_GB2312"/>
                <w:sz w:val="24"/>
                <w:color w:val="000000"/>
              </w:rPr>
              <w:t>2.付款方式：合同签订后，支付合同总价款的50%；合同签订后半年，经评估服务达到合同要求，支付合同总价款的50%。甲方与乙方直接结算，乙方负责在付款前按甲方要求提供增值税发票，甲方见票付款。</w:t>
            </w:r>
          </w:p>
          <w:p>
            <w:pPr>
              <w:pStyle w:val="null3"/>
              <w:ind w:firstLine="480"/>
              <w:jc w:val="both"/>
            </w:pPr>
            <w:r>
              <w:rPr>
                <w:rFonts w:ascii="仿宋_GB2312" w:hAnsi="仿宋_GB2312" w:cs="仿宋_GB2312" w:eastAsia="仿宋_GB2312"/>
                <w:sz w:val="24"/>
                <w:color w:val="000000"/>
              </w:rPr>
              <w:t>3.质量要求：符合国家标准、行业标准以及现行技术规范要求达到合格标准。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合同签订后半年，经评估服务达到合同要求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供应商须为具有独立承担民事责任能力的法人、其他组织或自然人，并提供有效的统一社会信用代码的营业执照或事业单位法人证书等国家规定的相关证明，自然人参与的提供其身份证明；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提供2024或2025年度财务审计报告（成立时间至提交响应文件截止时间不足一年的可提供成立后任意时段的资产负债表）或其基本存款账户开户银行出具的开标前六个月内资信证明及基本存款账户的开户证明；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响应文件内容齐全、无遗漏且符合磋商文件要求</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根据项目内容提供本项目整体的设施设备及网络与信息系统运行维护和安全服务方案，（方案内容包含设施设备维护、网络巡检服务、信息系统巡检服务、网络应急服务、网络安全攻防演练服务、舆论监测服务。服务方案总体思路清晰、内容全面，针对项目编制，分析检查、评估依据符合磋商文件要求，方案设计规范、清晰，架构完整、层次清楚，处理流程完整、及时。符合国家要求及本项目实际情况。 ①服务方案科学全面，操作程序合理、规范，可操作性强的得(24-30]分； ②服务方案基本科学、操作程序基本合理，具有一定可操作性的得(16-24]分； ③服务方案一般合理，可操作性一般的得(8-16]分； ④服务方案简单，不具备操作性的得(0-8]分； ⑤缺项或不提供的得0分。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服务质量控制的方法和措施</w:t>
            </w:r>
          </w:p>
        </w:tc>
        <w:tc>
          <w:tcPr>
            <w:tcW w:type="dxa" w:w="2492"/>
          </w:tcPr>
          <w:p>
            <w:pPr>
              <w:pStyle w:val="null3"/>
            </w:pPr>
            <w:r>
              <w:rPr>
                <w:rFonts w:ascii="仿宋_GB2312" w:hAnsi="仿宋_GB2312" w:cs="仿宋_GB2312" w:eastAsia="仿宋_GB2312"/>
              </w:rPr>
              <w:t>供应商根据项目内容提供服务质量控制的方法和措施： ①质量保证措施方案有效可行、具备完善的内部管理架构、台账资料、工作流程、信息反馈渠道的得(6-10]分； ②质量保证措施方案较合理、内部管理架构较完善，措施一般的得(3-6]分； ③质量保证措施方案不合理的得(0-3]分； ④缺项或不提供的得0分。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供应商根据项目内容提供培训方案，内容包含：培训计划、培训内容、培训方法等。 ①方案内容全面详尽，措施合理，考虑到用户实际情况可行性强的得(6-10]分， ②方案较完善，措施较为合理，具有一定可行性的得(3-6]分， ③方案内容不完善，不利于实施的得(0-3]分； ④缺项或不提供的得0分。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供应商的巡检维护工作必须遵循并优化现有的安全体系，必须在现有安全体制下提出确保系统安全可靠的安全策略、措施和步骤。 ①措施科学全面、详细可行的得(3-5]分； ②措施分析一般的得(2-3]分。 ③措施分析不足、应对措施差的得(0-2]分； ④缺项或不提供的得0分。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针对本项目提供具体的合理化建议。 ①建议科学合理、具有针对性、切实可行的得（3-5]分； ②建议基本合理，具有一定的可行性的得（2-3]分； ③建议不缺项且有简单描述的得（0-2]分； ④缺项或不提供的得0分。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供应商根据本项目的服务内容提供详细的服务承诺、巡检维护计划、故障响应时间、发生故障后的应急补救措施。 ①承诺内容完善、合理、可行性强的得(3-5]分； ②承诺内容一般，可行性一般的得(2-3]分； ③承诺内容不缺项且有简单描述的得（0-2]分； ④缺项或不提供的得0分。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项目团队人员（除项目负责人外）不少于6人且须配备1名驻场人员。 1.项目负责人具有智能化系统集成项目经理（高级）证书或系统集成项目管理工程师证书或信息系统项目管理师证书的，得4分；不具备者不得分。 2.拟派本项目的人员数量、专业配备齐全（含系统集成项目管理工程师或信息系统项目管理师或网络工程师或安全防范系统安装维护员等），岗位职责明确的得[0-5]分。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供应商提供2022年1月起至今类似业绩合同（以合同签订时间为准），一个业绩2分，最高得6分。 注：提供合同复印件并加盖单位公章。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