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版本号：LDZB-26020620260605001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资产清查赋码及数据治理服务项目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LDZB-260206</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立德项目咨询集团（陕西）有限公司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立德项目咨询集团（陕西）有限公司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资产清查赋码及数据治理服务项目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LDZB-260206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资产清查赋码及数据治理服务项目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落实财政部、教育行政主管部门关于行政事业单位国有资产清查与数据治理工作要求，规范学院国有资产管理，保障国有资产安全完整、高效配置，现开展全院资产清查赋码及数据治理服务项目。项目以统一基准日为时点，覆盖房屋和构筑物、设备、文物和陈列品、家具和用具、无形资产等国有资产，通过实物盘点、账实核对、数据清洗、信息补全、标签规范、系统校准，全面核清资产底数、修正数据差错、统一数据标准、健全管理闭环，实现账账相符、账卡相符、账实相符、账表相符，规避资产冗余、老旧资产侵占编制等风险，提升资产数据质量与精细化管理水平，为资产配置、使用、处置、绩效评价及上级报送提供准确可靠的数据支撑，最终实现资产账务、实物、条码、数据及管理机制的完美融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为合法注册的法人、其他组织或自然人，具有独立承担民事责任的能力，提供统一社会信用代码的营业执照（或事业法人证）等证明文件，供应商为自然人的提供身份证。</w:t>
      </w:r>
    </w:p>
    <w:p>
      <w:pPr>
        <w:pStyle w:val="null3"/>
      </w:pPr>
      <w:r>
        <w:rPr>
          <w:rFonts w:ascii="仿宋_GB2312" w:hAnsi="仿宋_GB2312" w:cs="仿宋_GB2312" w:eastAsia="仿宋_GB2312"/>
        </w:rPr>
        <w:t>2、供应商具有良好的商业信誉和健全的财务会计制度：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p>
      <w:pPr>
        <w:pStyle w:val="null3"/>
      </w:pPr>
      <w:r>
        <w:rPr>
          <w:rFonts w:ascii="仿宋_GB2312" w:hAnsi="仿宋_GB2312" w:cs="仿宋_GB2312" w:eastAsia="仿宋_GB2312"/>
        </w:rPr>
        <w:t>3、供应商具有履行合同所必需的设备和专业技术能力：提供声明文件</w:t>
      </w:r>
    </w:p>
    <w:p>
      <w:pPr>
        <w:pStyle w:val="null3"/>
      </w:pPr>
      <w:r>
        <w:rPr>
          <w:rFonts w:ascii="仿宋_GB2312" w:hAnsi="仿宋_GB2312" w:cs="仿宋_GB2312" w:eastAsia="仿宋_GB2312"/>
        </w:rPr>
        <w:t>4、供应商具有依法缴纳税收的良好记录：提供缴费所属日期为投标截止时间前12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p>
      <w:pPr>
        <w:pStyle w:val="null3"/>
      </w:pPr>
      <w:r>
        <w:rPr>
          <w:rFonts w:ascii="仿宋_GB2312" w:hAnsi="仿宋_GB2312" w:cs="仿宋_GB2312" w:eastAsia="仿宋_GB2312"/>
        </w:rPr>
        <w:t>5、供应商具有依法缴纳社会保障资金的良好记录：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p>
      <w:pPr>
        <w:pStyle w:val="null3"/>
      </w:pPr>
      <w:r>
        <w:rPr>
          <w:rFonts w:ascii="仿宋_GB2312" w:hAnsi="仿宋_GB2312" w:cs="仿宋_GB2312" w:eastAsia="仿宋_GB2312"/>
        </w:rPr>
        <w:t>6、无重大违法记录：供应商参加政府采购活动前3年内在经营活动中没有重大违法记录的书面声明</w:t>
      </w:r>
    </w:p>
    <w:p>
      <w:pPr>
        <w:pStyle w:val="null3"/>
      </w:pPr>
      <w:r>
        <w:rPr>
          <w:rFonts w:ascii="仿宋_GB2312" w:hAnsi="仿宋_GB2312" w:cs="仿宋_GB2312" w:eastAsia="仿宋_GB2312"/>
        </w:rPr>
        <w:t>7、法定代表人证明或授权委托书：供应商应授权合法的人员参加投标全过程，其中法定代表人直接参加投标的，须出具身份证，并与营业执照上信息一致。法定代表人授权代表参加采购活动的，须出具法定代表人授权书及授权代表身份证。</w:t>
      </w:r>
    </w:p>
    <w:p>
      <w:pPr>
        <w:pStyle w:val="null3"/>
      </w:pPr>
      <w:r>
        <w:rPr>
          <w:rFonts w:ascii="仿宋_GB2312" w:hAnsi="仿宋_GB2312" w:cs="仿宋_GB2312" w:eastAsia="仿宋_GB2312"/>
        </w:rPr>
        <w:t>8、供应商未被列入信用中国失信被执行人、重大税收违法案件当事人名单及中国政府采购网政府采购严重违法失信行为记录名单。：供应商未被列入“信用中国”网站(http://www.creditchina.gov.cn)列入“失信被执行人、重大税收违法失信主体名单、政府采购严重违法失信行为记录名单”；未被列入中国政府采购网(http://www.ccgp.gov.cn)“政府采购严重违法失信行为记录名单”；（以供应商文件截图或评委现场查询为准）</w:t>
      </w:r>
    </w:p>
    <w:p>
      <w:pPr>
        <w:pStyle w:val="null3"/>
      </w:pPr>
      <w:r>
        <w:rPr>
          <w:rFonts w:ascii="仿宋_GB2312" w:hAnsi="仿宋_GB2312" w:cs="仿宋_GB2312" w:eastAsia="仿宋_GB2312"/>
        </w:rPr>
        <w:t>9、控股关系：单位负责人为同一人或者存在控股、管理关系的不同单位，不得同时参加本项目投标</w:t>
      </w:r>
    </w:p>
    <w:p>
      <w:pPr>
        <w:pStyle w:val="null3"/>
      </w:pPr>
      <w:r>
        <w:rPr>
          <w:rFonts w:ascii="仿宋_GB2312" w:hAnsi="仿宋_GB2312" w:cs="仿宋_GB2312" w:eastAsia="仿宋_GB2312"/>
        </w:rPr>
        <w:t>10、本项目不接受联合体：本项目不接受联合体磋商（响应主体为单一供应商，无需提供证明材料）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029-88092223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立德项目咨询集团（陕西）有限公司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西安市浐灞生态区欧亚大道777号浐灞自贸中心E座803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刘思雨、陈旭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029-86615942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说明：账户名称:西安市财政局预算单位实有资金财政代管账户 开户银行:中国建设银行股份有限公司西安莲湖路 支行银行账号:61001711100052518874-203033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代理服务费收费标准：1.确定成交人后3日内，由成交人向代理机构一次付清采购代理服务费。 2.以采购预算为基数，招标代理服务费按照国家计委印发《招标代理服务收费管理暂行办法》的通知（计价格[2002]1980号）文件、发改价格[2011]534 号文件及国家发改委印发的《关于进一步放开建设项目专业服务价格的通知》[2015]299号文件的收取标准下浮20%计取。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立德项目咨询集团（陕西）有限公司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立德项目咨询集团（陕西）有限公司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立德项目咨询集团（陕西）有限公司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详见合同内容及服务要求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联系人：刘思雨、陈旭</w:t>
      </w:r>
    </w:p>
    <w:p>
      <w:pPr>
        <w:pStyle w:val="null3"/>
      </w:pPr>
      <w:r>
        <w:rPr>
          <w:rFonts w:ascii="仿宋_GB2312" w:hAnsi="仿宋_GB2312" w:cs="仿宋_GB2312" w:eastAsia="仿宋_GB2312"/>
        </w:rPr>
        <w:t>联系电话：029-86615942</w:t>
      </w:r>
    </w:p>
    <w:p>
      <w:pPr>
        <w:pStyle w:val="null3"/>
      </w:pPr>
      <w:r>
        <w:rPr>
          <w:rFonts w:ascii="仿宋_GB2312" w:hAnsi="仿宋_GB2312" w:cs="仿宋_GB2312" w:eastAsia="仿宋_GB2312"/>
        </w:rPr>
        <w:t>地址：西安市浐灞生态区欧亚大道777号浐灞自贸中心E座803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财政部、教育行政主管部门关于行政事业单位国有资产清查与数据治理工作要求，规范学院国有资产管理，保障国有资产安全完整、高效配置，现开展全院资产清查赋码及数据治理服务项目。项目以统一基准日为时点，覆盖房屋和构筑物、设备、文物和陈列品、家具和用具、无形资产等国有资产，通过实物盘点、账实核对、数据清洗、信息补全、标签规范、系统校准，全面核清资产底数、修正数据差错、统一数据标准、健全管理闭环，实现账账相符、账卡相符、账实相符、账表相符，规避资产冗余、老旧资产侵占编制等风险，提升资产数据质量与精细化管理水平，为资产配置、使用、处置、绩效评价及上级报送提供准确可靠的数据支撑，最终实现资产账务、实物、条码、数据及管理机制的完美融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资产清查赋码及数据治理服务项目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标的名称：资产清查赋码及数据治理服务项目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为落实财政部、教育行政主管部门关于行政事业单位国有资产清查与数据治理工作要求，规范学院国有资产管理，保障国有资产安全完整、高效配置，我院拟开展全院资产清查赋码及数据治理服务项目。项目以统一基准日为时点，覆盖房屋和构筑物、设备、文物和陈列品、家具和用具、无形资产等国有资产，通过实物盘点、账实核对、数据清洗、信息补全、标签规范、系统校准，全面核清资产底数、修正数据差错、统一数据标准、健全管理闭环，实现账账相符、账卡相符、账实相符、账表相符，规避资产冗余、老旧资产侵占编制等风险，提升资产数据质量与精细化管理水平，为资产配置、使用、处置、绩效评价及上级报送提供准确可靠的数据支撑，最终实现资产账务、实物、条码、数据及管理机制的完美融合。</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（一）资产全面清查盘点服务（核心服务）</w:t>
            </w:r>
          </w:p>
          <w:p>
            <w:pPr>
              <w:pStyle w:val="null3"/>
            </w:pPr>
            <w:r>
              <w:rPr>
                <w:rFonts w:ascii="仿宋_GB2312" w:hAnsi="仿宋_GB2312" w:cs="仿宋_GB2312" w:eastAsia="仿宋_GB2312"/>
              </w:rPr>
              <w:t>实施范围：全院各院部、处室，覆盖所有校区，涉及房屋和构筑物、设备、文物和陈列品、家具和用具、无形资产等，共计约</w:t>
            </w:r>
            <w:r>
              <w:rPr>
                <w:rFonts w:ascii="仿宋_GB2312" w:hAnsi="仿宋_GB2312" w:cs="仿宋_GB2312" w:eastAsia="仿宋_GB2312"/>
              </w:rPr>
              <w:t>80000台件（不含图书和档案）。</w:t>
            </w:r>
          </w:p>
          <w:p>
            <w:pPr>
              <w:pStyle w:val="null3"/>
            </w:pPr>
            <w:r>
              <w:rPr>
                <w:rFonts w:ascii="仿宋_GB2312" w:hAnsi="仿宋_GB2312" w:cs="仿宋_GB2312" w:eastAsia="仿宋_GB2312"/>
              </w:rPr>
              <w:t>基准时点：以</w:t>
            </w:r>
            <w:r>
              <w:rPr>
                <w:rFonts w:ascii="仿宋_GB2312" w:hAnsi="仿宋_GB2312" w:cs="仿宋_GB2312" w:eastAsia="仿宋_GB2312"/>
              </w:rPr>
              <w:t>2025年12月31日为资产状态确认基准日，开展跨年度资产状态回溯核查。</w:t>
            </w:r>
          </w:p>
          <w:p>
            <w:pPr>
              <w:pStyle w:val="null3"/>
            </w:pPr>
            <w:r>
              <w:rPr>
                <w:rFonts w:ascii="仿宋_GB2312" w:hAnsi="仿宋_GB2312" w:cs="仿宋_GB2312" w:eastAsia="仿宋_GB2312"/>
              </w:rPr>
              <w:t>服务效果：建立资产清查盘点台账。</w:t>
            </w:r>
          </w:p>
          <w:p>
            <w:pPr>
              <w:pStyle w:val="null3"/>
            </w:pPr>
            <w:r>
              <w:rPr>
                <w:rFonts w:ascii="仿宋_GB2312" w:hAnsi="仿宋_GB2312" w:cs="仿宋_GB2312" w:eastAsia="仿宋_GB2312"/>
              </w:rPr>
              <w:t>（二）数据治理服务（核心服务）</w:t>
            </w:r>
          </w:p>
          <w:p>
            <w:pPr>
              <w:pStyle w:val="null3"/>
            </w:pPr>
            <w:r>
              <w:rPr>
                <w:rFonts w:ascii="仿宋_GB2312" w:hAnsi="仿宋_GB2312" w:cs="仿宋_GB2312" w:eastAsia="仿宋_GB2312"/>
              </w:rPr>
              <w:t>治理标准：严格遵循《陕西省财政厅关于开展全省行政事业单位资产基础信息数据治理工作的通知》</w:t>
            </w:r>
            <w:r>
              <w:rPr>
                <w:rFonts w:ascii="仿宋_GB2312" w:hAnsi="仿宋_GB2312" w:cs="仿宋_GB2312" w:eastAsia="仿宋_GB2312"/>
              </w:rPr>
              <w:t>(陕财办资函〔2023〕27号)要求，资产信息卡数据补充修改完善后，利用预算管理一体化系统中“数据体检”功能，对资产基础数据进行检查,并按照提示信息进行逐一修正或说明。</w:t>
            </w:r>
          </w:p>
          <w:p>
            <w:pPr>
              <w:pStyle w:val="null3"/>
            </w:pPr>
            <w:r>
              <w:rPr>
                <w:rFonts w:ascii="仿宋_GB2312" w:hAnsi="仿宋_GB2312" w:cs="仿宋_GB2312" w:eastAsia="仿宋_GB2312"/>
              </w:rPr>
              <w:t>实施内容：修正约</w:t>
            </w:r>
            <w:r>
              <w:rPr>
                <w:rFonts w:ascii="仿宋_GB2312" w:hAnsi="仿宋_GB2312" w:cs="仿宋_GB2312" w:eastAsia="仿宋_GB2312"/>
              </w:rPr>
              <w:t>30000条资产卡片信息（含价值、规格、型号、使用方向、使用人、使用部门、存放地点等核心字段），根据清查盘点结果对学院资产系统数据进行逐条完善、修正和更新，彻底解决学院资产信息卡片信息不完整、不准确、不规范等问题。</w:t>
            </w:r>
          </w:p>
          <w:p>
            <w:pPr>
              <w:pStyle w:val="null3"/>
            </w:pPr>
            <w:r>
              <w:rPr>
                <w:rFonts w:ascii="仿宋_GB2312" w:hAnsi="仿宋_GB2312" w:cs="仿宋_GB2312" w:eastAsia="仿宋_GB2312"/>
              </w:rPr>
              <w:t>（三）资产统一赋码与标签管理服务</w:t>
            </w:r>
          </w:p>
          <w:p>
            <w:pPr>
              <w:pStyle w:val="null3"/>
            </w:pPr>
            <w:r>
              <w:rPr>
                <w:rFonts w:ascii="仿宋_GB2312" w:hAnsi="仿宋_GB2312" w:cs="仿宋_GB2312" w:eastAsia="仿宋_GB2312"/>
              </w:rPr>
              <w:t>1.按照上级财政及学院制度，为全部固定资产、无形资产建立唯一资产识别码。</w:t>
            </w:r>
          </w:p>
          <w:p>
            <w:pPr>
              <w:pStyle w:val="null3"/>
            </w:pPr>
            <w:r>
              <w:rPr>
                <w:rFonts w:ascii="仿宋_GB2312" w:hAnsi="仿宋_GB2312" w:cs="仿宋_GB2312" w:eastAsia="仿宋_GB2312"/>
              </w:rPr>
              <w:t>2.规范资产条码、二维码、rfid电子标签编制规则，实现一物一码、账码一致。</w:t>
            </w:r>
          </w:p>
          <w:p>
            <w:pPr>
              <w:pStyle w:val="null3"/>
            </w:pPr>
            <w:r>
              <w:rPr>
                <w:rFonts w:ascii="仿宋_GB2312" w:hAnsi="仿宋_GB2312" w:cs="仿宋_GB2312" w:eastAsia="仿宋_GB2312"/>
              </w:rPr>
              <w:t>办公设备、教学实训室设备、办公家具采用</w:t>
            </w:r>
            <w:r>
              <w:rPr>
                <w:rFonts w:ascii="仿宋_GB2312" w:hAnsi="仿宋_GB2312" w:cs="仿宋_GB2312" w:eastAsia="仿宋_GB2312"/>
              </w:rPr>
              <w:t>rfid电子标签。</w:t>
            </w:r>
          </w:p>
          <w:p>
            <w:pPr>
              <w:pStyle w:val="null3"/>
            </w:pPr>
            <w:r>
              <w:rPr>
                <w:rFonts w:ascii="仿宋_GB2312" w:hAnsi="仿宋_GB2312" w:cs="仿宋_GB2312" w:eastAsia="仿宋_GB2312"/>
              </w:rPr>
              <w:t>3.提供资产标签设计、打印、粘贴、补打、更换、现场复核服务，确保标签清晰、牢固、可追溯。</w:t>
            </w:r>
          </w:p>
          <w:p>
            <w:pPr>
              <w:pStyle w:val="null3"/>
            </w:pPr>
            <w:r>
              <w:rPr>
                <w:rFonts w:ascii="仿宋_GB2312" w:hAnsi="仿宋_GB2312" w:cs="仿宋_GB2312" w:eastAsia="仿宋_GB2312"/>
              </w:rPr>
              <w:t>4.房屋类资产采用耐久性更强的金属铭牌或激光刻蚀标签，确保长期使用不褪色、不脱落。</w:t>
            </w:r>
          </w:p>
          <w:p>
            <w:pPr>
              <w:pStyle w:val="null3"/>
            </w:pPr>
            <w:r>
              <w:rPr>
                <w:rFonts w:ascii="仿宋_GB2312" w:hAnsi="仿宋_GB2312" w:cs="仿宋_GB2312" w:eastAsia="仿宋_GB2312"/>
              </w:rPr>
              <w:t>5.建立标签全生命周期管理机制，支持后续新增、变更、报废标签快速更新；同步建立标签与资产系统数据库的动态关联机制，支持扫码即查资产全生命周期信息，提升管理精度与响应效率。</w:t>
            </w:r>
          </w:p>
          <w:p>
            <w:pPr>
              <w:pStyle w:val="null3"/>
            </w:pPr>
            <w:r>
              <w:rPr>
                <w:rFonts w:ascii="仿宋_GB2312" w:hAnsi="仿宋_GB2312" w:cs="仿宋_GB2312" w:eastAsia="仿宋_GB2312"/>
              </w:rPr>
              <w:t>（四）账实核对与差异整改服务</w:t>
            </w:r>
          </w:p>
          <w:p>
            <w:pPr>
              <w:pStyle w:val="null3"/>
            </w:pPr>
            <w:r>
              <w:rPr>
                <w:rFonts w:ascii="仿宋_GB2312" w:hAnsi="仿宋_GB2312" w:cs="仿宋_GB2312" w:eastAsia="仿宋_GB2312"/>
              </w:rPr>
              <w:t>1.开展财务账、资产账、实物账三方核对，形成差异明细及原因分析。</w:t>
            </w:r>
          </w:p>
          <w:p>
            <w:pPr>
              <w:pStyle w:val="null3"/>
            </w:pPr>
            <w:r>
              <w:rPr>
                <w:rFonts w:ascii="仿宋_GB2312" w:hAnsi="仿宋_GB2312" w:cs="仿宋_GB2312" w:eastAsia="仿宋_GB2312"/>
              </w:rPr>
              <w:t>2.协助学院梳理盘盈、盘亏、账实不符、历史遗留问题，提供整改建议。</w:t>
            </w:r>
          </w:p>
          <w:p>
            <w:pPr>
              <w:pStyle w:val="null3"/>
            </w:pPr>
            <w:r>
              <w:rPr>
                <w:rFonts w:ascii="仿宋_GB2312" w:hAnsi="仿宋_GB2312" w:cs="仿宋_GB2312" w:eastAsia="仿宋_GB2312"/>
              </w:rPr>
              <w:t>3.配合完成资产处置、调拨、合并、拆分、报废等流程的资料完善与系统更正。</w:t>
            </w:r>
          </w:p>
          <w:p>
            <w:pPr>
              <w:pStyle w:val="null3"/>
            </w:pPr>
            <w:r>
              <w:rPr>
                <w:rFonts w:ascii="仿宋_GB2312" w:hAnsi="仿宋_GB2312" w:cs="仿宋_GB2312" w:eastAsia="仿宋_GB2312"/>
              </w:rPr>
              <w:t>4.最终实现账账相符、账卡相符、账实相符、账表相符。</w:t>
            </w:r>
          </w:p>
          <w:p>
            <w:pPr>
              <w:pStyle w:val="null3"/>
            </w:pPr>
            <w:r>
              <w:rPr>
                <w:rFonts w:ascii="仿宋_GB2312" w:hAnsi="仿宋_GB2312" w:cs="仿宋_GB2312" w:eastAsia="仿宋_GB2312"/>
              </w:rPr>
              <w:t>（五）清查成果整理与报告编制服务</w:t>
            </w:r>
          </w:p>
          <w:p>
            <w:pPr>
              <w:pStyle w:val="null3"/>
            </w:pPr>
            <w:r>
              <w:rPr>
                <w:rFonts w:ascii="仿宋_GB2312" w:hAnsi="仿宋_GB2312" w:cs="仿宋_GB2312" w:eastAsia="仿宋_GB2312"/>
              </w:rPr>
              <w:t>1.编制《资产清查工作报告》《数据治理报告》《资产赋码总结报告》。</w:t>
            </w:r>
          </w:p>
          <w:p>
            <w:pPr>
              <w:pStyle w:val="null3"/>
            </w:pPr>
            <w:r>
              <w:rPr>
                <w:rFonts w:ascii="仿宋_GB2312" w:hAnsi="仿宋_GB2312" w:cs="仿宋_GB2312" w:eastAsia="仿宋_GB2312"/>
              </w:rPr>
              <w:t>2.提供盘点汇总表、盘盈盘亏明细表、闲置资产清单、问题资产台账、标签台账。</w:t>
            </w:r>
          </w:p>
          <w:p>
            <w:pPr>
              <w:pStyle w:val="null3"/>
            </w:pPr>
            <w:r>
              <w:rPr>
                <w:rFonts w:ascii="仿宋_GB2312" w:hAnsi="仿宋_GB2312" w:cs="仿宋_GB2312" w:eastAsia="仿宋_GB2312"/>
              </w:rPr>
              <w:t>3.配合学院完成上级主管部门的数据上报与检查。</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有资产清查及数据治理经验、熟悉国家资产管理相关政策、熟练操作陕西财政云预算管理一体化资产管理系统。</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（一）人员及设备要求</w:t>
            </w:r>
          </w:p>
          <w:p>
            <w:pPr>
              <w:pStyle w:val="null3"/>
            </w:pPr>
            <w:r>
              <w:rPr>
                <w:rFonts w:ascii="仿宋_GB2312" w:hAnsi="仿宋_GB2312" w:cs="仿宋_GB2312" w:eastAsia="仿宋_GB2312"/>
              </w:rPr>
              <w:t>1.人员配置</w:t>
            </w:r>
          </w:p>
          <w:p>
            <w:pPr>
              <w:pStyle w:val="null3"/>
            </w:pPr>
            <w:r>
              <w:rPr>
                <w:rFonts w:ascii="仿宋_GB2312" w:hAnsi="仿宋_GB2312" w:cs="仿宋_GB2312" w:eastAsia="仿宋_GB2312"/>
              </w:rPr>
              <w:t>本项目需设立科学的清查组织机构，配备</w:t>
            </w:r>
            <w:r>
              <w:rPr>
                <w:rFonts w:ascii="仿宋_GB2312" w:hAnsi="仿宋_GB2312" w:cs="仿宋_GB2312" w:eastAsia="仿宋_GB2312"/>
              </w:rPr>
              <w:t>10-15名专业工作人员，并进行合理分工。</w:t>
            </w:r>
          </w:p>
          <w:p>
            <w:pPr>
              <w:pStyle w:val="null3"/>
            </w:pPr>
            <w:r>
              <w:rPr>
                <w:rFonts w:ascii="仿宋_GB2312" w:hAnsi="仿宋_GB2312" w:cs="仿宋_GB2312" w:eastAsia="仿宋_GB2312"/>
              </w:rPr>
              <w:t>2.设备资源配置</w:t>
            </w:r>
          </w:p>
          <w:p>
            <w:pPr>
              <w:pStyle w:val="null3"/>
            </w:pPr>
            <w:r>
              <w:rPr>
                <w:rFonts w:ascii="仿宋_GB2312" w:hAnsi="仿宋_GB2312" w:cs="仿宋_GB2312" w:eastAsia="仿宋_GB2312"/>
              </w:rPr>
              <w:t>应为本项目配置工作必须的便携式计算机、清查采集平板、二维码打印机、</w:t>
            </w:r>
            <w:r>
              <w:rPr>
                <w:rFonts w:ascii="仿宋_GB2312" w:hAnsi="仿宋_GB2312" w:cs="仿宋_GB2312" w:eastAsia="仿宋_GB2312"/>
              </w:rPr>
              <w:t>RFID手持终端。</w:t>
            </w:r>
          </w:p>
          <w:p>
            <w:pPr>
              <w:pStyle w:val="null3"/>
            </w:pPr>
            <w:r>
              <w:rPr>
                <w:rFonts w:ascii="仿宋_GB2312" w:hAnsi="仿宋_GB2312" w:cs="仿宋_GB2312" w:eastAsia="仿宋_GB2312"/>
              </w:rPr>
              <w:t>3.服务标准</w:t>
            </w:r>
          </w:p>
          <w:p>
            <w:pPr>
              <w:pStyle w:val="null3"/>
            </w:pPr>
            <w:r>
              <w:rPr>
                <w:rFonts w:ascii="仿宋_GB2312" w:hAnsi="仿宋_GB2312" w:cs="仿宋_GB2312" w:eastAsia="仿宋_GB2312"/>
              </w:rPr>
              <w:t>（</w:t>
            </w:r>
            <w:r>
              <w:rPr>
                <w:rFonts w:ascii="仿宋_GB2312" w:hAnsi="仿宋_GB2312" w:cs="仿宋_GB2312" w:eastAsia="仿宋_GB2312"/>
              </w:rPr>
              <w:t>1）彻底解决账账、账卡、账实不符问题，协助学院梳理盘盈、盘亏、历史遗留问题，提供整改建议；</w:t>
            </w:r>
          </w:p>
          <w:p>
            <w:pPr>
              <w:pStyle w:val="null3"/>
            </w:pPr>
            <w:r>
              <w:rPr>
                <w:rFonts w:ascii="仿宋_GB2312" w:hAnsi="仿宋_GB2312" w:cs="仿宋_GB2312" w:eastAsia="仿宋_GB2312"/>
              </w:rPr>
              <w:t>（</w:t>
            </w:r>
            <w:r>
              <w:rPr>
                <w:rFonts w:ascii="仿宋_GB2312" w:hAnsi="仿宋_GB2312" w:cs="仿宋_GB2312" w:eastAsia="仿宋_GB2312"/>
              </w:rPr>
              <w:t>2）全盘梳理实物使用状况；</w:t>
            </w:r>
          </w:p>
          <w:p>
            <w:pPr>
              <w:pStyle w:val="null3"/>
            </w:pPr>
            <w:r>
              <w:rPr>
                <w:rFonts w:ascii="仿宋_GB2312" w:hAnsi="仿宋_GB2312" w:cs="仿宋_GB2312" w:eastAsia="仿宋_GB2312"/>
              </w:rPr>
              <w:t>（</w:t>
            </w:r>
            <w:r>
              <w:rPr>
                <w:rFonts w:ascii="仿宋_GB2312" w:hAnsi="仿宋_GB2312" w:cs="仿宋_GB2312" w:eastAsia="仿宋_GB2312"/>
              </w:rPr>
              <w:t>3）全面治理资产系统数据（按照财政文件资产数据治理要求）；</w:t>
            </w:r>
          </w:p>
          <w:p>
            <w:pPr>
              <w:pStyle w:val="null3"/>
            </w:pPr>
            <w:r>
              <w:rPr>
                <w:rFonts w:ascii="仿宋_GB2312" w:hAnsi="仿宋_GB2312" w:cs="仿宋_GB2312" w:eastAsia="仿宋_GB2312"/>
              </w:rPr>
              <w:t>（</w:t>
            </w:r>
            <w:r>
              <w:rPr>
                <w:rFonts w:ascii="仿宋_GB2312" w:hAnsi="仿宋_GB2312" w:cs="仿宋_GB2312" w:eastAsia="仿宋_GB2312"/>
              </w:rPr>
              <w:t>4）资产赋码工作；</w:t>
            </w:r>
          </w:p>
          <w:p>
            <w:pPr>
              <w:pStyle w:val="null3"/>
            </w:pPr>
            <w:r>
              <w:rPr>
                <w:rFonts w:ascii="仿宋_GB2312" w:hAnsi="仿宋_GB2312" w:cs="仿宋_GB2312" w:eastAsia="仿宋_GB2312"/>
              </w:rPr>
              <w:t>（</w:t>
            </w:r>
            <w:r>
              <w:rPr>
                <w:rFonts w:ascii="仿宋_GB2312" w:hAnsi="仿宋_GB2312" w:cs="仿宋_GB2312" w:eastAsia="仿宋_GB2312"/>
              </w:rPr>
              <w:t>5）编制《资产清查工作报告》《数据治理报告》《资产赋码总结报告》。</w:t>
            </w:r>
          </w:p>
          <w:p>
            <w:pPr>
              <w:pStyle w:val="null3"/>
            </w:pPr>
            <w:r>
              <w:rPr>
                <w:rFonts w:ascii="仿宋_GB2312" w:hAnsi="仿宋_GB2312" w:cs="仿宋_GB2312" w:eastAsia="仿宋_GB2312"/>
              </w:rPr>
              <w:t>五、商务要求（如服务期限、款项结算等）</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服务期限：从合同签订之日起至</w:t>
            </w:r>
            <w:r>
              <w:rPr>
                <w:rFonts w:ascii="仿宋_GB2312" w:hAnsi="仿宋_GB2312" w:cs="仿宋_GB2312" w:eastAsia="仿宋_GB2312"/>
              </w:rPr>
              <w:t>2027年3月31日。</w:t>
            </w:r>
          </w:p>
          <w:p>
            <w:pPr>
              <w:pStyle w:val="null3"/>
            </w:pPr>
            <w:r>
              <w:rPr>
                <w:rFonts w:ascii="仿宋_GB2312" w:hAnsi="仿宋_GB2312" w:cs="仿宋_GB2312" w:eastAsia="仿宋_GB2312"/>
              </w:rPr>
              <w:t>（二）付款方式：</w:t>
            </w:r>
          </w:p>
          <w:p>
            <w:pPr>
              <w:pStyle w:val="null3"/>
            </w:pPr>
            <w:r>
              <w:rPr>
                <w:rFonts w:ascii="仿宋_GB2312" w:hAnsi="仿宋_GB2312" w:cs="仿宋_GB2312" w:eastAsia="仿宋_GB2312"/>
              </w:rPr>
              <w:t>合同签订后</w:t>
            </w:r>
            <w:r>
              <w:rPr>
                <w:rFonts w:ascii="仿宋_GB2312" w:hAnsi="仿宋_GB2312" w:cs="仿宋_GB2312" w:eastAsia="仿宋_GB2312"/>
              </w:rPr>
              <w:t>30个日历天内，预付合同金额的40%款项，核心服务完成后，预付合同金额的50%款项，服务期满并经验收合格30个日历天内，卖方持《西安市市级单位政府采购合同履约验收单》原件及相关资料，办理剩余10%款项的支付手续。</w:t>
            </w:r>
          </w:p>
          <w:p>
            <w:pPr>
              <w:pStyle w:val="null3"/>
            </w:pPr>
            <w:r>
              <w:rPr>
                <w:rFonts w:ascii="仿宋_GB2312" w:hAnsi="仿宋_GB2312" w:cs="仿宋_GB2312" w:eastAsia="仿宋_GB2312"/>
              </w:rPr>
              <w:t>六、其他</w:t>
            </w:r>
          </w:p>
          <w:p>
            <w:pPr>
              <w:pStyle w:val="null3"/>
            </w:pPr>
            <w:r>
              <w:rPr>
                <w:rFonts w:ascii="仿宋_GB2312" w:hAnsi="仿宋_GB2312" w:cs="仿宋_GB2312" w:eastAsia="仿宋_GB2312"/>
              </w:rPr>
              <w:t>（一）进度要求</w:t>
            </w:r>
          </w:p>
          <w:p>
            <w:pPr>
              <w:pStyle w:val="null3"/>
            </w:pPr>
            <w:r>
              <w:rPr>
                <w:rFonts w:ascii="仿宋_GB2312" w:hAnsi="仿宋_GB2312" w:cs="仿宋_GB2312" w:eastAsia="仿宋_GB2312"/>
              </w:rPr>
              <w:t>合同生效后需在服务期限内完成全流程服务，项目实施遵循</w:t>
            </w:r>
            <w:r>
              <w:rPr>
                <w:rFonts w:ascii="仿宋_GB2312" w:hAnsi="仿宋_GB2312" w:cs="仿宋_GB2312" w:eastAsia="仿宋_GB2312"/>
              </w:rPr>
              <w:t>“谁使用、谁负责、谁清查”和“以账查物、以物对账、不重不漏”的实施原则进行，需按照准备阶段、实施阶段、汇总阶段等分步详细制定时间表和任务书。</w:t>
            </w:r>
          </w:p>
          <w:p>
            <w:pPr>
              <w:pStyle w:val="null3"/>
            </w:pPr>
            <w:r>
              <w:rPr>
                <w:rFonts w:ascii="仿宋_GB2312" w:hAnsi="仿宋_GB2312" w:cs="仿宋_GB2312" w:eastAsia="仿宋_GB2312"/>
              </w:rPr>
              <w:t>（二）成果交付要求</w:t>
            </w:r>
          </w:p>
          <w:p>
            <w:pPr>
              <w:pStyle w:val="null3"/>
            </w:pPr>
            <w:r>
              <w:rPr>
                <w:rFonts w:ascii="仿宋_GB2312" w:hAnsi="仿宋_GB2312" w:cs="仿宋_GB2312" w:eastAsia="仿宋_GB2312"/>
              </w:rPr>
              <w:t>1.实现账账、账实、账卡相符，确保资产信息的准确性与一致性。</w:t>
            </w:r>
          </w:p>
          <w:p>
            <w:pPr>
              <w:pStyle w:val="null3"/>
            </w:pPr>
            <w:r>
              <w:rPr>
                <w:rFonts w:ascii="仿宋_GB2312" w:hAnsi="仿宋_GB2312" w:cs="仿宋_GB2312" w:eastAsia="仿宋_GB2312"/>
              </w:rPr>
              <w:t>2.资产系统数据达到完整、准确、规范的标准，为资产管理提供可靠的数据支持。</w:t>
            </w:r>
          </w:p>
          <w:p>
            <w:pPr>
              <w:pStyle w:val="null3"/>
            </w:pPr>
            <w:r>
              <w:rPr>
                <w:rFonts w:ascii="仿宋_GB2312" w:hAnsi="仿宋_GB2312" w:cs="仿宋_GB2312" w:eastAsia="仿宋_GB2312"/>
              </w:rPr>
              <w:t>3.所有资产均完成逐一赋码并张贴资产大卡，构建完善的资产标识与管理体系。</w:t>
            </w:r>
          </w:p>
          <w:p>
            <w:pPr>
              <w:pStyle w:val="null3"/>
            </w:pPr>
            <w:r>
              <w:rPr>
                <w:rFonts w:ascii="仿宋_GB2312" w:hAnsi="仿宋_GB2312" w:cs="仿宋_GB2312" w:eastAsia="仿宋_GB2312"/>
              </w:rPr>
              <w:t>4.项目完结后，供应商需提供部门实物表、实物总表、账实相符表、盘亏表、盘盈表、待报废资产表、个人使用资产签字表、资产情况分析表等详细的各类资产数据及报表，全面呈现项目清查成果。</w:t>
            </w:r>
          </w:p>
          <w:p>
            <w:pPr>
              <w:pStyle w:val="null3"/>
            </w:pPr>
            <w:r>
              <w:rPr>
                <w:rFonts w:ascii="仿宋_GB2312" w:hAnsi="仿宋_GB2312" w:cs="仿宋_GB2312" w:eastAsia="仿宋_GB2312"/>
              </w:rPr>
              <w:t>5.提交《资产清查工作报告》，清晰、详尽地记录本年度资产清查工作从立项、实施到验收的全过程，内容涵盖资产账实相符、盘亏、盘盈、毁损、闲置、处置计划等关键信息。编制《数据治理报告》《资产赋码总结报告》。</w:t>
            </w:r>
          </w:p>
          <w:p>
            <w:pPr>
              <w:pStyle w:val="null3"/>
            </w:pPr>
            <w:r>
              <w:rPr>
                <w:rFonts w:ascii="仿宋_GB2312" w:hAnsi="仿宋_GB2312" w:cs="仿宋_GB2312" w:eastAsia="仿宋_GB2312"/>
              </w:rPr>
              <w:t>6.结合本次资产清查结果，提出具有针对性、可操作性的改进建议。</w:t>
            </w:r>
          </w:p>
          <w:p>
            <w:pPr>
              <w:pStyle w:val="null3"/>
            </w:pPr>
            <w:r>
              <w:rPr>
                <w:rFonts w:ascii="仿宋_GB2312" w:hAnsi="仿宋_GB2312" w:cs="仿宋_GB2312" w:eastAsia="仿宋_GB2312"/>
              </w:rPr>
              <w:t>（三）质量验收标准或规范</w:t>
            </w:r>
          </w:p>
          <w:p>
            <w:pPr>
              <w:pStyle w:val="null3"/>
            </w:pPr>
            <w:r>
              <w:rPr>
                <w:rFonts w:ascii="仿宋_GB2312" w:hAnsi="仿宋_GB2312" w:cs="仿宋_GB2312" w:eastAsia="仿宋_GB2312"/>
              </w:rPr>
              <w:t>1.现行国家有关法律、法规、规章制度等；</w:t>
            </w:r>
          </w:p>
          <w:p>
            <w:pPr>
              <w:pStyle w:val="null3"/>
            </w:pPr>
            <w:r>
              <w:rPr>
                <w:rFonts w:ascii="仿宋_GB2312" w:hAnsi="仿宋_GB2312" w:cs="仿宋_GB2312" w:eastAsia="仿宋_GB2312"/>
              </w:rPr>
              <w:t>2.现行行业标准；</w:t>
            </w:r>
          </w:p>
          <w:p>
            <w:pPr>
              <w:pStyle w:val="null3"/>
            </w:pPr>
            <w:r>
              <w:rPr>
                <w:rFonts w:ascii="仿宋_GB2312" w:hAnsi="仿宋_GB2312" w:cs="仿宋_GB2312" w:eastAsia="仿宋_GB2312"/>
              </w:rPr>
              <w:t>3.本项目服务合同；</w:t>
            </w:r>
          </w:p>
          <w:p>
            <w:pPr>
              <w:pStyle w:val="null3"/>
            </w:pPr>
            <w:r>
              <w:rPr>
                <w:rFonts w:ascii="仿宋_GB2312" w:hAnsi="仿宋_GB2312" w:cs="仿宋_GB2312" w:eastAsia="仿宋_GB2312"/>
              </w:rPr>
              <w:t>4.双方协商一致并经有关部门批准的变更文件。</w:t>
            </w:r>
          </w:p>
          <w:p>
            <w:pPr>
              <w:pStyle w:val="null3"/>
            </w:pPr>
            <w:r>
              <w:rPr>
                <w:rFonts w:ascii="仿宋_GB2312" w:hAnsi="仿宋_GB2312" w:cs="仿宋_GB2312" w:eastAsia="仿宋_GB2312"/>
              </w:rPr>
              <w:t>（四）违约责任</w:t>
            </w:r>
          </w:p>
          <w:p>
            <w:pPr>
              <w:pStyle w:val="null3"/>
            </w:pPr>
            <w:r>
              <w:rPr>
                <w:rFonts w:ascii="仿宋_GB2312" w:hAnsi="仿宋_GB2312" w:cs="仿宋_GB2312" w:eastAsia="仿宋_GB2312"/>
              </w:rPr>
              <w:t>1.未按招标文件、合同中要求的标准提供服务或标准不能满足政策要求的，服务方必须无条件改正，否则，采购人有权终止合同，并对供应方的违约行为报监管机构进行相应的处罚。</w:t>
            </w:r>
          </w:p>
          <w:p>
            <w:pPr>
              <w:pStyle w:val="null3"/>
            </w:pPr>
            <w:r>
              <w:rPr>
                <w:rFonts w:ascii="仿宋_GB2312" w:hAnsi="仿宋_GB2312" w:cs="仿宋_GB2312" w:eastAsia="仿宋_GB2312"/>
              </w:rPr>
              <w:t>2.数据治理达标率低于95%时，按差额比例扣减合同款。</w:t>
            </w:r>
          </w:p>
          <w:p>
            <w:pPr>
              <w:pStyle w:val="null3"/>
            </w:pPr>
            <w:r>
              <w:rPr>
                <w:rFonts w:ascii="仿宋_GB2312" w:hAnsi="仿宋_GB2312" w:cs="仿宋_GB2312" w:eastAsia="仿宋_GB2312"/>
              </w:rPr>
              <w:t>（五）附加条件</w:t>
            </w:r>
          </w:p>
          <w:p>
            <w:pPr>
              <w:pStyle w:val="null3"/>
            </w:pPr>
            <w:r>
              <w:rPr>
                <w:rFonts w:ascii="仿宋_GB2312" w:hAnsi="仿宋_GB2312" w:cs="仿宋_GB2312" w:eastAsia="仿宋_GB2312"/>
                <w:sz w:val="21"/>
              </w:rPr>
              <w:t>保密条款：供应商在提供服务过程中获悉的甲方秘密应无条件保守，因泄密造成甲方损失的，一切责任由供应商承担。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从合同签订之日起至2027年3月31日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西安铁路职业技术学院指定地点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1.现行国家有关法律、法规、规章制度等； 2.现行行业标准； 3.本项目服务合同； 4.双方协商一致并经有关部门批准的变更文件。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其他，核心服务完成后，达到付款条件起30个工作日内，支付合同总金额的50.0%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其他，服务期满并经验收合格，卖方持《西安市市级单位政府采购合同履约验收单》原件及相关资料，达到付款条件起30个工作日内，支付合同总金额的10.0%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1.未按招标文件、合同中要求的标准提供服务或标准不能满足政策要求的，服务方必须无条件改正，否则，采购人有权终止合同，并对供应方的违约行为报监管机构进行相应的处罚。 2.数据治理达标率低于95%时，按差额比例扣减合同款。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（1）供应商应自响应文件递交截止时间起至评标结束保持在线状态、如因自身原因导致未及时在系统中响应相关内容，供应商自行承担责任。 （2）成交人在领取成交通知书前将纸质版响应文件正本1份、副本1份、电子版2份（U盘）打印后提交至采购代理公司处，成交人应保持响应文件纸质版内容与线上提交的响应文件保持一致，否则将承担一切法律责任。 （3）定标环节采购人有权对响应文件承诺响应的内容进行复核，如有虚假响应，一经发现，取消成交资格并上报财政主管部门，列入政府采购黑名单。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对符合《政府采购促进中小企业发展管理办法》规定的小微企业（监狱企业视同小型、微型企业）的报价给予10%的扣除，用扣除后的价格参加评审。</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供应商为合法注册的法人、其他组织或自然人，具有独立承担民事责任的能力，提供统一社会信用代码的营业执照（或事业法人证）等证明文件，供应商为自然人的提供身份证。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提供声明文件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供应商具有依法缴纳税收的良好记录</w:t>
            </w:r>
          </w:p>
        </w:tc>
        <w:tc>
          <w:tcPr>
            <w:tcW w:type="dxa" w:w="3322"/>
          </w:tcPr>
          <w:p>
            <w:pPr>
              <w:pStyle w:val="null3"/>
            </w:pPr>
            <w:r>
              <w:rPr>
                <w:rFonts w:ascii="仿宋_GB2312" w:hAnsi="仿宋_GB2312" w:cs="仿宋_GB2312" w:eastAsia="仿宋_GB2312"/>
              </w:rPr>
              <w:t>提供缴费所属日期为投标截止时间前12个月内任一月份（投标截止时间当月不计入）的增值税（或企业所得税）缴费凭据或税务机关出具的完税证明/在法规范围内不需提供的应出具书面说明和证明文件；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供应商具有依法缴纳社会保障资金的良好记录</w:t>
            </w:r>
          </w:p>
        </w:tc>
        <w:tc>
          <w:tcPr>
            <w:tcW w:type="dxa" w:w="3322"/>
          </w:tcPr>
          <w:p>
            <w:pPr>
              <w:pStyle w:val="null3"/>
            </w:pPr>
            <w:r>
              <w:rPr>
                <w:rFonts w:ascii="仿宋_GB2312" w:hAnsi="仿宋_GB2312" w:cs="仿宋_GB2312" w:eastAsia="仿宋_GB2312"/>
              </w:rPr>
              <w:t>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法定代表人证明或授权委托书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供应商应授权合法的人员参加投标全过程，其中法定代表人直接参加投标的，须出具身份证，并与营业执照上信息一致。法定代表人授权代表参加采购活动的，须出具法定代表人授权书及授权代表身份证。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供应商未被列入信用中国失信被执行人、重大税收违法案件当事人名单及中国政府采购网政府采购严重违法失信行为记录名单。</w:t>
            </w:r>
          </w:p>
        </w:tc>
        <w:tc>
          <w:tcPr>
            <w:tcW w:type="dxa" w:w="3322"/>
          </w:tcPr>
          <w:p>
            <w:pPr>
              <w:pStyle w:val="null3"/>
            </w:pPr>
            <w:r>
              <w:rPr>
                <w:rFonts w:ascii="仿宋_GB2312" w:hAnsi="仿宋_GB2312" w:cs="仿宋_GB2312" w:eastAsia="仿宋_GB2312"/>
              </w:rPr>
              <w:t>供应商未被列入“信用中国”网站(http://www.creditchina.gov.cn)列入“失信被执行人、重大税收违法失信主体名单、政府采购严重违法失信行为记录名单”；未被列入中国政府采购网(http://www.ccgp.gov.cn)“政府采购严重违法失信行为记录名单”；（以供应商文件截图或评委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单位负责人为同一人或者存在控股、管理关系的不同单位，不得同时参加本项目投标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本项目不接受联合体磋商（响应主体为单一供应商，无需提供证明材料）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从合同签订之日起至2027年3月31日</w:t>
            </w:r>
          </w:p>
        </w:tc>
        <w:tc>
          <w:tcPr>
            <w:tcW w:type="dxa" w:w="1661"/>
          </w:tcPr>
          <w:p>
            <w:pPr>
              <w:pStyle w:val="null3"/>
            </w:pPr>
            <w:r>
              <w:rPr>
                <w:rFonts w:ascii="仿宋_GB2312" w:hAnsi="仿宋_GB2312" w:cs="仿宋_GB2312" w:eastAsia="仿宋_GB2312"/>
              </w:rPr>
              <w:t>响应函 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90个日历天</w:t>
            </w:r>
          </w:p>
        </w:tc>
        <w:tc>
          <w:tcPr>
            <w:tcW w:type="dxa" w:w="1661"/>
          </w:tcPr>
          <w:p>
            <w:pPr>
              <w:pStyle w:val="null3"/>
            </w:pPr>
            <w:r>
              <w:rPr>
                <w:rFonts w:ascii="仿宋_GB2312" w:hAnsi="仿宋_GB2312" w:cs="仿宋_GB2312" w:eastAsia="仿宋_GB2312"/>
              </w:rPr>
              <w:t>响应函 商务及技术偏离表.docx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2023年1月1日起至本项目响应文件递交截止时间止，承接过类似业绩，每提供一个得2分，最高得10分。未提供不得分。 注： ①类似业绩以中标通知书或合同为准； ②时间以中标通知书落款时间或合同签订日期为准。 ③合同需提供关键页（必须含封面、内容、签订时间、盖章签字页等信息）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1.项目负责人（4分） ①具有资产清查或数据治理相关项目经验，得1分，未提供不得分。 ②项目负责人具有以下有效证书：信息系统项目管理师、资产评估师、会计师、资产清查相关专业证书。每提供1个证书得1分，最高3分。 2.项目团队（7分） ①拟投入的专业工作人员数量（不含项目负责人）：≥15人，得3分；10-14人，得2分；不足10人，得0分。 ②团队人员中持有资产评估师、会计师、信息系统项目管理师、数据治理相关认证证书的，每提供一个相关证书得1分，最高4分。（每个人的证书不可累计） 注：相关项目经验以供应商出具的承诺函或相关证明材料为准；证书须在有效期内。</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评审内容：根据供应商针对本项目的总体服务，方案各部分内容全面详细、阐述条理清晰详尽、符合招标要求。方案内容包含 ①项目组织方案； ②信息安全保障方案； ③计划进度安排； ④系统调试方案； ⑤项目验收方案； ⑥项目团队配备方案 每项内容，有得1分，内容无缺陷再得3分，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保密制度及措施（保密承诺及责任追究机制）</w:t>
            </w:r>
          </w:p>
        </w:tc>
        <w:tc>
          <w:tcPr>
            <w:tcW w:type="dxa" w:w="2492"/>
          </w:tcPr>
          <w:p>
            <w:pPr>
              <w:pStyle w:val="null3"/>
            </w:pPr>
            <w:r>
              <w:rPr>
                <w:rFonts w:ascii="仿宋_GB2312" w:hAnsi="仿宋_GB2312" w:cs="仿宋_GB2312" w:eastAsia="仿宋_GB2312"/>
              </w:rPr>
              <w:t>（1）保密承诺及责任追究机制（4.5分） ①提供保密承诺书，得0.5分；未提供承诺书的，得0分。 ②在承诺书中或在单独提供的《保密责任追究制度》文件中，内容包括（a）保密义务：明确项目人员在服务过程中的具体保密义务范围（如不得复制、传播、泄露采购人提供的任何技术资料、运行数据、系统配置信息等）；（b）泄密责任：明确泄密行为的界定标准、责任追究方式（如内部处分、经济赔偿、移交司法机关等具体措施）及责任人认定规则。 每项内容有且无缺陷得2分，每存在1处缺陷扣0.5分，扣完为止。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保密制度及措施（保密培训制度）</w:t>
            </w:r>
          </w:p>
        </w:tc>
        <w:tc>
          <w:tcPr>
            <w:tcW w:type="dxa" w:w="2492"/>
          </w:tcPr>
          <w:p>
            <w:pPr>
              <w:pStyle w:val="null3"/>
            </w:pPr>
            <w:r>
              <w:rPr>
                <w:rFonts w:ascii="仿宋_GB2312" w:hAnsi="仿宋_GB2312" w:cs="仿宋_GB2312" w:eastAsia="仿宋_GB2312"/>
              </w:rPr>
              <w:t>（2）保密培训制度（4.5分） ①承诺对项目人员进行保密培训，得0.5分；未提供承诺书的，得0分。 ②供应商提供《项目人员保密培训实施方案》包括（a）培训内容（b）考核方式等；每项内容有且无缺陷得2分，每存在1处缺陷扣0.5分，扣完为止。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保密制度及措施（数据安全传输方案）</w:t>
            </w:r>
          </w:p>
        </w:tc>
        <w:tc>
          <w:tcPr>
            <w:tcW w:type="dxa" w:w="2492"/>
          </w:tcPr>
          <w:p>
            <w:pPr>
              <w:pStyle w:val="null3"/>
            </w:pPr>
            <w:r>
              <w:rPr>
                <w:rFonts w:ascii="仿宋_GB2312" w:hAnsi="仿宋_GB2312" w:cs="仿宋_GB2312" w:eastAsia="仿宋_GB2312"/>
              </w:rPr>
              <w:t>（3）数据安全传输方案（3分） 提供数据安全传输方案，明确传输加密方式，内容无缺陷得3分，每存在1处缺陷扣0.5分，扣完为止。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每提出一点在项目实施过程中存在的难点并提出解决措施及相应处理方案，得2分，最高6分。每存在1处缺陷扣0.5分，扣完为止。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针对本项目提供拟投入的设备清单，设备清单包含便携式计算机、清查采集平板、二维码打印机、RFID手持终端。 每种设备均提供购置发票或租赁合同扫描件，并附有设备图片，每有一项得1分，最高4分。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质量保障措施（节点控制）</w:t>
            </w:r>
          </w:p>
        </w:tc>
        <w:tc>
          <w:tcPr>
            <w:tcW w:type="dxa" w:w="2492"/>
          </w:tcPr>
          <w:p>
            <w:pPr>
              <w:pStyle w:val="null3"/>
            </w:pPr>
            <w:r>
              <w:rPr>
                <w:rFonts w:ascii="仿宋_GB2312" w:hAnsi="仿宋_GB2312" w:cs="仿宋_GB2312" w:eastAsia="仿宋_GB2312"/>
              </w:rPr>
              <w:t>（1）节点控制（4分） 明确质量控制节点数量：每有一个有效质量控制节点得1分，最高4分。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质量保障措施（数据治理达标率自检方案）</w:t>
            </w:r>
          </w:p>
        </w:tc>
        <w:tc>
          <w:tcPr>
            <w:tcW w:type="dxa" w:w="2492"/>
          </w:tcPr>
          <w:p>
            <w:pPr>
              <w:pStyle w:val="null3"/>
            </w:pPr>
            <w:r>
              <w:rPr>
                <w:rFonts w:ascii="仿宋_GB2312" w:hAnsi="仿宋_GB2312" w:cs="仿宋_GB2312" w:eastAsia="仿宋_GB2312"/>
              </w:rPr>
              <w:t>（2）数据治理达标率自检方案（8分） 自检标准明确为“达标率≥95%”，评委根据方案内容的完整性和可行性进行评审。包括①自检范围（覆盖哪些数据项）②自检方法（如何抽样或全量检测）③自检频率④不合格处置流程（如何整改及复检）；每项内容，有得1分，内容无缺陷得1分，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质量保障措施（整改方案）</w:t>
            </w:r>
          </w:p>
        </w:tc>
        <w:tc>
          <w:tcPr>
            <w:tcW w:type="dxa" w:w="2492"/>
          </w:tcPr>
          <w:p>
            <w:pPr>
              <w:pStyle w:val="null3"/>
            </w:pPr>
            <w:r>
              <w:rPr>
                <w:rFonts w:ascii="仿宋_GB2312" w:hAnsi="仿宋_GB2312" w:cs="仿宋_GB2312" w:eastAsia="仿宋_GB2312"/>
              </w:rPr>
              <w:t>（3）整改方案（6分） ①供应商提供《整改承诺书》，承诺在项目实施过程中或验收环节出现质量问题时，无条件接受采购人要求的整改时限并完成整改，得1分；未提供承诺书的，得0分。 ②供应商提供《质量问题整改方案》，内容包含（a）问题发现与上报机制（24小时内上报）（b）原因分析方法（c）整改措施制定流程（d）整改验收标准（整改后需经采购人确认）（e）预防复发机制；每项内容，有得0.5分，内容无缺陷得0.5分，每存在1处缺陷扣0.25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响应报价为评标基准价，其价格分为满分。其他供应商的价格分统一按照下列公式计算：响应报价得分=(评标基准价／响应报价)×15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