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版本号：SDZC2026--075.1B120260727001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2024年度非农建设补充耕地指标核定、2025年城市国土空间监测、永久基本农田储备库、国土变更调查及森林草原湿地调查监测项目(二次)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SDZC2026--075.1B1</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2024年度非农建设补充耕地指标核定、2025年城市国土空间监测、永久基本农田储备库、国土变更调查及森林草原湿地调查监测项目(二次)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SDZC2026--075.1B1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2024年度非农建设补充耕地指标核定、2025年城市国土空间监测、永久基本农田储备库、国土变更调查及森林草原湿地调查监测项目(二次)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2024年度非农建设补充耕地指标核定项目、三原县2025年度国土变更调查及森林草原湿地调查监测项目、三原县2025年城市国土空间监测项目、三原县建立永久基本农田储备库(永久基本农田地块调整和补划潜力摸底工作) 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采购包1（三原县2024年度非农建设补充耕地指标核定项目）：属于专门面向中小企业采购。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8、企业资质：投标人须具备行政主管部门颁发的测绘乙级（含乙级）及以上资质；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029-32368420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曹幸（03号工位）、姚文霄、王丽娇、魏蕾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符合陕自然资耕发[2025]78号文件的所有要求及其他省市相关标准要求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2024年度非农建设补充耕地指标核定项目、三原县2025年度国土变更调查及森林草原湿地调查监测项目、三原县2025年城市国土空间监测项目、三原县建立永久基本农田储备库(永久基本农田地块调整和补划潜力摸底工作) 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750,200.00</w:t>
      </w:r>
    </w:p>
    <w:p>
      <w:pPr>
        <w:pStyle w:val="null3"/>
      </w:pPr>
      <w:r>
        <w:rPr>
          <w:rFonts w:ascii="仿宋_GB2312" w:hAnsi="仿宋_GB2312" w:cs="仿宋_GB2312" w:eastAsia="仿宋_GB2312"/>
        </w:rPr>
        <w:t>采购包最高限价（元）: 750,200.00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三原县2024年度非农建设补充耕地指标核定项目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标的名称：三原县2024年度非农建设补充耕地指标核定项目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FF"/>
              </w:rPr>
              <w:t>服务内容及要求</w:t>
            </w:r>
          </w:p>
          <w:p>
            <w:pPr>
              <w:pStyle w:val="null3"/>
              <w:ind w:firstLine="482"/>
              <w:jc w:val="left"/>
            </w:pPr>
            <w:r>
              <w:rPr>
                <w:rFonts w:ascii="仿宋_GB2312" w:hAnsi="仿宋_GB2312" w:cs="仿宋_GB2312" w:eastAsia="仿宋_GB2312"/>
                <w:sz w:val="24"/>
                <w:b/>
                <w:color w:val="0000FF"/>
              </w:rPr>
              <w:t>一、工作目标：</w:t>
            </w:r>
            <w:r>
              <w:rPr>
                <w:rFonts w:ascii="仿宋_GB2312" w:hAnsi="仿宋_GB2312" w:cs="仿宋_GB2312" w:eastAsia="仿宋_GB2312"/>
                <w:sz w:val="24"/>
                <w:color w:val="0000FF"/>
              </w:rPr>
              <w:t>按照</w:t>
            </w:r>
            <w:r>
              <w:rPr>
                <w:rFonts w:ascii="仿宋_GB2312" w:hAnsi="仿宋_GB2312" w:cs="仿宋_GB2312" w:eastAsia="仿宋_GB2312"/>
                <w:sz w:val="24"/>
                <w:color w:val="0000FF"/>
              </w:rPr>
              <w:t>“县级初验、市级审核、省级复核”的程序，对三原县范围内各类实施主体依法依规开垦和恢复的耕地进行指标核定，形成合格的补充耕地指标，纳入耕地占补平衡管理，为陕西省高质量发展提供要素保障。</w:t>
            </w:r>
          </w:p>
          <w:p>
            <w:pPr>
              <w:pStyle w:val="null3"/>
              <w:ind w:firstLine="482"/>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工作内容</w:t>
            </w:r>
            <w:r>
              <w:rPr>
                <w:rFonts w:ascii="仿宋_GB2312" w:hAnsi="仿宋_GB2312" w:cs="仿宋_GB2312" w:eastAsia="仿宋_GB2312"/>
                <w:sz w:val="21"/>
                <w:color w:val="000000"/>
              </w:rPr>
              <w:t xml:space="preserve"> </w:t>
            </w:r>
          </w:p>
          <w:p>
            <w:pPr>
              <w:pStyle w:val="null3"/>
              <w:ind w:firstLine="480"/>
              <w:jc w:val="left"/>
            </w:pPr>
            <w:r>
              <w:rPr>
                <w:rFonts w:ascii="仿宋_GB2312" w:hAnsi="仿宋_GB2312" w:cs="仿宋_GB2312" w:eastAsia="仿宋_GB2312"/>
                <w:sz w:val="24"/>
                <w:color w:val="0000FF"/>
              </w:rPr>
              <w:t>须严格按照国家、省级相关技术规范及招标人要求，完成以下全部工作内容：</w:t>
            </w:r>
          </w:p>
          <w:p>
            <w:pPr>
              <w:pStyle w:val="null3"/>
              <w:ind w:firstLine="480"/>
              <w:jc w:val="left"/>
            </w:pPr>
            <w:r>
              <w:rPr>
                <w:rFonts w:ascii="仿宋_GB2312" w:hAnsi="仿宋_GB2312" w:cs="仿宋_GB2312" w:eastAsia="仿宋_GB2312"/>
                <w:sz w:val="24"/>
                <w:color w:val="0000FF"/>
              </w:rPr>
              <w:t xml:space="preserve">2.1 </w:t>
            </w:r>
            <w:r>
              <w:rPr>
                <w:rFonts w:ascii="仿宋_GB2312" w:hAnsi="仿宋_GB2312" w:cs="仿宋_GB2312" w:eastAsia="仿宋_GB2312"/>
                <w:sz w:val="24"/>
                <w:b/>
                <w:color w:val="0000FF"/>
              </w:rPr>
              <w:t>资料收集与处理：</w:t>
            </w:r>
            <w:r>
              <w:rPr>
                <w:rFonts w:ascii="仿宋_GB2312" w:hAnsi="仿宋_GB2312" w:cs="仿宋_GB2312" w:eastAsia="仿宋_GB2312"/>
                <w:sz w:val="24"/>
                <w:color w:val="0000FF"/>
              </w:rPr>
              <w:t>领取国家下发的基础底图，套合</w:t>
            </w:r>
            <w:r>
              <w:rPr>
                <w:rFonts w:ascii="仿宋_GB2312" w:hAnsi="仿宋_GB2312" w:cs="仿宋_GB2312" w:eastAsia="仿宋_GB2312"/>
                <w:sz w:val="24"/>
                <w:color w:val="0000FF"/>
              </w:rPr>
              <w:t>2024年度国土变更调查数据、坡度图、河道耕地数据等，并进行整理分析处理。</w:t>
            </w:r>
          </w:p>
          <w:p>
            <w:pPr>
              <w:pStyle w:val="null3"/>
              <w:ind w:firstLine="480"/>
              <w:jc w:val="left"/>
            </w:pPr>
            <w:r>
              <w:rPr>
                <w:rFonts w:ascii="仿宋_GB2312" w:hAnsi="仿宋_GB2312" w:cs="仿宋_GB2312" w:eastAsia="仿宋_GB2312"/>
                <w:sz w:val="24"/>
                <w:color w:val="0000FF"/>
              </w:rPr>
              <w:t xml:space="preserve">2.2 </w:t>
            </w:r>
            <w:r>
              <w:rPr>
                <w:rFonts w:ascii="仿宋_GB2312" w:hAnsi="仿宋_GB2312" w:cs="仿宋_GB2312" w:eastAsia="仿宋_GB2312"/>
                <w:sz w:val="24"/>
                <w:b/>
                <w:color w:val="0000FF"/>
              </w:rPr>
              <w:t>外业调查与举证：</w:t>
            </w:r>
            <w:r>
              <w:rPr>
                <w:rFonts w:ascii="仿宋_GB2312" w:hAnsi="仿宋_GB2312" w:cs="仿宋_GB2312" w:eastAsia="仿宋_GB2312"/>
                <w:sz w:val="24"/>
                <w:color w:val="0000FF"/>
              </w:rPr>
              <w:t>利用陕西自然资源调查监测云平台，对核定范围内的每个地块进行外业实地调查、拍照举证，做到逐地覆盖、照片可溯源，不得缺漏、补拍、造假。</w:t>
            </w:r>
          </w:p>
          <w:p>
            <w:pPr>
              <w:pStyle w:val="null3"/>
              <w:ind w:firstLine="480"/>
              <w:jc w:val="left"/>
            </w:pPr>
            <w:r>
              <w:rPr>
                <w:rFonts w:ascii="仿宋_GB2312" w:hAnsi="仿宋_GB2312" w:cs="仿宋_GB2312" w:eastAsia="仿宋_GB2312"/>
                <w:sz w:val="24"/>
                <w:color w:val="0000FF"/>
              </w:rPr>
              <w:t xml:space="preserve">2.3 </w:t>
            </w:r>
            <w:r>
              <w:rPr>
                <w:rFonts w:ascii="仿宋_GB2312" w:hAnsi="仿宋_GB2312" w:cs="仿宋_GB2312" w:eastAsia="仿宋_GB2312"/>
                <w:sz w:val="24"/>
                <w:b/>
                <w:color w:val="0000FF"/>
              </w:rPr>
              <w:t>内业审核与填报：</w:t>
            </w:r>
            <w:r>
              <w:rPr>
                <w:rFonts w:ascii="仿宋_GB2312" w:hAnsi="仿宋_GB2312" w:cs="仿宋_GB2312" w:eastAsia="仿宋_GB2312"/>
                <w:sz w:val="24"/>
                <w:color w:val="0000FF"/>
              </w:rPr>
              <w:t>利用上述平台对举证图斑进行内业审核、修改，并准确填报相关信息。</w:t>
            </w:r>
          </w:p>
          <w:p>
            <w:pPr>
              <w:pStyle w:val="null3"/>
              <w:ind w:firstLine="480"/>
              <w:jc w:val="left"/>
            </w:pPr>
            <w:r>
              <w:rPr>
                <w:rFonts w:ascii="仿宋_GB2312" w:hAnsi="仿宋_GB2312" w:cs="仿宋_GB2312" w:eastAsia="仿宋_GB2312"/>
                <w:sz w:val="24"/>
                <w:color w:val="0000FF"/>
              </w:rPr>
              <w:t xml:space="preserve">2.4 </w:t>
            </w:r>
            <w:r>
              <w:rPr>
                <w:rFonts w:ascii="仿宋_GB2312" w:hAnsi="仿宋_GB2312" w:cs="仿宋_GB2312" w:eastAsia="仿宋_GB2312"/>
                <w:sz w:val="24"/>
                <w:b/>
                <w:color w:val="0000FF"/>
              </w:rPr>
              <w:t>制作正射影像图：</w:t>
            </w:r>
            <w:r>
              <w:rPr>
                <w:rFonts w:ascii="仿宋_GB2312" w:hAnsi="仿宋_GB2312" w:cs="仿宋_GB2312" w:eastAsia="仿宋_GB2312"/>
                <w:sz w:val="24"/>
                <w:color w:val="0000FF"/>
              </w:rPr>
              <w:t>对每个核定地块进行航拍，制作并提交标识新增耕地位置的高清正射影像图（</w:t>
            </w:r>
            <w:r>
              <w:rPr>
                <w:rFonts w:ascii="仿宋_GB2312" w:hAnsi="仿宋_GB2312" w:cs="仿宋_GB2312" w:eastAsia="仿宋_GB2312"/>
                <w:sz w:val="24"/>
                <w:color w:val="0000FF"/>
              </w:rPr>
              <w:t>PDF格式）。</w:t>
            </w:r>
          </w:p>
          <w:p>
            <w:pPr>
              <w:pStyle w:val="null3"/>
              <w:ind w:firstLine="480"/>
              <w:jc w:val="left"/>
            </w:pPr>
            <w:r>
              <w:rPr>
                <w:rFonts w:ascii="仿宋_GB2312" w:hAnsi="仿宋_GB2312" w:cs="仿宋_GB2312" w:eastAsia="仿宋_GB2312"/>
                <w:sz w:val="24"/>
                <w:color w:val="0000FF"/>
              </w:rPr>
              <w:t xml:space="preserve">2.5 </w:t>
            </w:r>
            <w:r>
              <w:rPr>
                <w:rFonts w:ascii="仿宋_GB2312" w:hAnsi="仿宋_GB2312" w:cs="仿宋_GB2312" w:eastAsia="仿宋_GB2312"/>
                <w:sz w:val="24"/>
                <w:b/>
                <w:color w:val="0000FF"/>
              </w:rPr>
              <w:t>配合核查与整改：</w:t>
            </w:r>
            <w:r>
              <w:rPr>
                <w:rFonts w:ascii="仿宋_GB2312" w:hAnsi="仿宋_GB2312" w:cs="仿宋_GB2312" w:eastAsia="仿宋_GB2312"/>
                <w:sz w:val="24"/>
                <w:color w:val="0000FF"/>
              </w:rPr>
              <w:t>积极配合省、市、县三级自然资源和农业农村部门开展的核查工作，对核查中发现的问题图斑及时进行外业或内业整改，并修改完善数据成果。</w:t>
            </w:r>
          </w:p>
          <w:p>
            <w:pPr>
              <w:pStyle w:val="null3"/>
              <w:ind w:firstLine="480"/>
              <w:jc w:val="left"/>
            </w:pPr>
            <w:r>
              <w:rPr>
                <w:rFonts w:ascii="仿宋_GB2312" w:hAnsi="仿宋_GB2312" w:cs="仿宋_GB2312" w:eastAsia="仿宋_GB2312"/>
                <w:sz w:val="24"/>
                <w:color w:val="0000FF"/>
              </w:rPr>
              <w:t xml:space="preserve">2.6 </w:t>
            </w:r>
            <w:r>
              <w:rPr>
                <w:rFonts w:ascii="仿宋_GB2312" w:hAnsi="仿宋_GB2312" w:cs="仿宋_GB2312" w:eastAsia="仿宋_GB2312"/>
                <w:sz w:val="24"/>
                <w:b/>
                <w:color w:val="0000FF"/>
              </w:rPr>
              <w:t>报告编制与成果汇交：</w:t>
            </w:r>
            <w:r>
              <w:rPr>
                <w:rFonts w:ascii="仿宋_GB2312" w:hAnsi="仿宋_GB2312" w:cs="仿宋_GB2312" w:eastAsia="仿宋_GB2312"/>
                <w:sz w:val="24"/>
                <w:color w:val="0000FF"/>
              </w:rPr>
              <w:t>编制项目工作报告、费用预算报告等全套技术及管理成果，并按程序及时汇交至招标人及上级指定平台（陕西省耕地占补平衡监管平台）。</w:t>
            </w:r>
          </w:p>
          <w:p>
            <w:pPr>
              <w:pStyle w:val="null3"/>
              <w:ind w:firstLine="480"/>
              <w:jc w:val="left"/>
            </w:pPr>
            <w:r>
              <w:rPr>
                <w:rFonts w:ascii="仿宋_GB2312" w:hAnsi="仿宋_GB2312" w:cs="仿宋_GB2312" w:eastAsia="仿宋_GB2312"/>
                <w:sz w:val="24"/>
                <w:color w:val="0000FF"/>
              </w:rPr>
              <w:t xml:space="preserve">2.7 </w:t>
            </w:r>
            <w:r>
              <w:rPr>
                <w:rFonts w:ascii="仿宋_GB2312" w:hAnsi="仿宋_GB2312" w:cs="仿宋_GB2312" w:eastAsia="仿宋_GB2312"/>
                <w:sz w:val="24"/>
                <w:b/>
                <w:color w:val="0000FF"/>
              </w:rPr>
              <w:t>配合项目验收：</w:t>
            </w:r>
            <w:r>
              <w:rPr>
                <w:rFonts w:ascii="仿宋_GB2312" w:hAnsi="仿宋_GB2312" w:cs="仿宋_GB2312" w:eastAsia="仿宋_GB2312"/>
                <w:sz w:val="24"/>
                <w:color w:val="0000FF"/>
              </w:rPr>
              <w:t>准备验收材料，配合招标人组织的专家及上级部门验收工作。</w:t>
            </w:r>
          </w:p>
          <w:p>
            <w:pPr>
              <w:pStyle w:val="null3"/>
              <w:ind w:firstLine="480"/>
              <w:jc w:val="left"/>
            </w:pPr>
            <w:r>
              <w:rPr>
                <w:rFonts w:ascii="仿宋_GB2312" w:hAnsi="仿宋_GB2312" w:cs="仿宋_GB2312" w:eastAsia="仿宋_GB2312"/>
                <w:sz w:val="24"/>
                <w:color w:val="0000FF"/>
              </w:rPr>
              <w:t>2.8 严禁转包、分包该项目，非经招标人同意不得随意变更项目成员。</w:t>
            </w:r>
          </w:p>
          <w:p>
            <w:pPr>
              <w:pStyle w:val="null3"/>
              <w:ind w:firstLine="482"/>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技术标准与成果要求</w:t>
            </w:r>
            <w:r>
              <w:rPr>
                <w:rFonts w:ascii="仿宋_GB2312" w:hAnsi="仿宋_GB2312" w:cs="仿宋_GB2312" w:eastAsia="仿宋_GB2312"/>
                <w:sz w:val="21"/>
                <w:color w:val="000000"/>
              </w:rPr>
              <w:t xml:space="preserve"> </w:t>
            </w:r>
          </w:p>
          <w:p>
            <w:pPr>
              <w:pStyle w:val="null3"/>
              <w:ind w:firstLine="480"/>
              <w:jc w:val="left"/>
            </w:pPr>
            <w:r>
              <w:rPr>
                <w:rFonts w:ascii="仿宋_GB2312" w:hAnsi="仿宋_GB2312" w:cs="仿宋_GB2312" w:eastAsia="仿宋_GB2312"/>
                <w:sz w:val="24"/>
                <w:color w:val="0000FF"/>
              </w:rPr>
              <w:t>3.1 本项目执行《国土调查类项目支出标准(2023)》(自然资办函[2023]1289号)、《测绘类项目支出标准》（2023年）、《测绘生产成本费用定额计算细则》(财建[2009]17号)、《关于我省工程造价咨询服务收费管理有关问题的通知》（陕价行发〔2012〕72 号）、国家发改委发布了《关于进一步放开建设项目专</w:t>
            </w:r>
            <w:r>
              <w:rPr>
                <w:rFonts w:ascii="仿宋_GB2312" w:hAnsi="仿宋_GB2312" w:cs="仿宋_GB2312" w:eastAsia="仿宋_GB2312"/>
                <w:sz w:val="24"/>
                <w:color w:val="0000FF"/>
              </w:rPr>
              <w:t>业服务价格的通知》（发改价格〔</w:t>
            </w:r>
            <w:r>
              <w:rPr>
                <w:rFonts w:ascii="仿宋_GB2312" w:hAnsi="仿宋_GB2312" w:cs="仿宋_GB2312" w:eastAsia="仿宋_GB2312"/>
                <w:sz w:val="24"/>
                <w:color w:val="0000FF"/>
              </w:rPr>
              <w:t>2015〕299 号）等国家及行业现行有效标准。</w:t>
            </w:r>
          </w:p>
          <w:p>
            <w:pPr>
              <w:pStyle w:val="null3"/>
              <w:ind w:firstLine="480"/>
              <w:jc w:val="left"/>
            </w:pPr>
            <w:r>
              <w:rPr>
                <w:rFonts w:ascii="仿宋_GB2312" w:hAnsi="仿宋_GB2312" w:cs="仿宋_GB2312" w:eastAsia="仿宋_GB2312"/>
                <w:sz w:val="24"/>
                <w:color w:val="0000FF"/>
              </w:rPr>
              <w:t>3.2 最终成果必须符合陕自然资耕发[2025]78号文件的所有要求，确保通过市级审核和省级复核，如因中标单位原因导致未通过审核或符合，中标单位无偿返工至合格，由此产生的费用和损失由中标单位自行承担。</w:t>
            </w:r>
          </w:p>
          <w:p>
            <w:pPr>
              <w:pStyle w:val="null3"/>
              <w:ind w:firstLine="480"/>
              <w:jc w:val="left"/>
            </w:pPr>
            <w:r>
              <w:rPr>
                <w:rFonts w:ascii="仿宋_GB2312" w:hAnsi="仿宋_GB2312" w:cs="仿宋_GB2312" w:eastAsia="仿宋_GB2312"/>
                <w:sz w:val="24"/>
                <w:color w:val="0000FF"/>
              </w:rPr>
              <w:t>3.3 中标单位提交的成果包括：完整的矢量数据、举证信息、高清正射影像图、全套工作报告及表格、在监管平台填报的完整电子数据等。</w:t>
            </w:r>
          </w:p>
          <w:p>
            <w:pPr>
              <w:pStyle w:val="null3"/>
              <w:ind w:firstLine="480"/>
              <w:jc w:val="left"/>
            </w:pPr>
            <w:r>
              <w:rPr>
                <w:rFonts w:ascii="仿宋_GB2312" w:hAnsi="仿宋_GB2312" w:cs="仿宋_GB2312" w:eastAsia="仿宋_GB2312"/>
                <w:sz w:val="24"/>
                <w:color w:val="0000FF"/>
              </w:rPr>
              <w:t xml:space="preserve">3.4 </w:t>
            </w:r>
            <w:r>
              <w:rPr>
                <w:rFonts w:ascii="仿宋_GB2312" w:hAnsi="仿宋_GB2312" w:cs="仿宋_GB2312" w:eastAsia="仿宋_GB2312"/>
                <w:sz w:val="24"/>
                <w:color w:val="0000FF"/>
              </w:rPr>
              <w:t>中标单位</w:t>
            </w:r>
            <w:r>
              <w:rPr>
                <w:rFonts w:ascii="仿宋_GB2312" w:hAnsi="仿宋_GB2312" w:cs="仿宋_GB2312" w:eastAsia="仿宋_GB2312"/>
                <w:sz w:val="24"/>
                <w:color w:val="0000FF"/>
                <w:shd w:fill="FFFFFF" w:val="clear"/>
              </w:rPr>
              <w:t>为履行本合同而向</w:t>
            </w:r>
            <w:r>
              <w:rPr>
                <w:rFonts w:ascii="仿宋_GB2312" w:hAnsi="仿宋_GB2312" w:cs="仿宋_GB2312" w:eastAsia="仿宋_GB2312"/>
                <w:sz w:val="24"/>
                <w:color w:val="0000FF"/>
                <w:shd w:fill="FFFFFF" w:val="clear"/>
              </w:rPr>
              <w:t>招标人</w:t>
            </w:r>
            <w:r>
              <w:rPr>
                <w:rFonts w:ascii="仿宋_GB2312" w:hAnsi="仿宋_GB2312" w:cs="仿宋_GB2312" w:eastAsia="仿宋_GB2312"/>
                <w:sz w:val="24"/>
                <w:color w:val="0000FF"/>
                <w:shd w:fill="FFFFFF" w:val="clear"/>
              </w:rPr>
              <w:t>提交的最终成果文件（包括矢量数据、举证信息、正射影像图、工作报告等）的知识产权及所有权归属于</w:t>
            </w:r>
            <w:r>
              <w:rPr>
                <w:rFonts w:ascii="仿宋_GB2312" w:hAnsi="仿宋_GB2312" w:cs="仿宋_GB2312" w:eastAsia="仿宋_GB2312"/>
                <w:sz w:val="24"/>
                <w:color w:val="0000FF"/>
                <w:shd w:fill="FFFFFF" w:val="clear"/>
              </w:rPr>
              <w:t>招标人</w:t>
            </w:r>
            <w:r>
              <w:rPr>
                <w:rFonts w:ascii="仿宋_GB2312" w:hAnsi="仿宋_GB2312" w:cs="仿宋_GB2312" w:eastAsia="仿宋_GB2312"/>
                <w:sz w:val="24"/>
                <w:color w:val="0000FF"/>
                <w:shd w:fill="FFFFFF" w:val="clear"/>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合同签订之日起至省级复核通过为止。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陕西省咸阳市三原县行政区域内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最终成果必须符合陕自然资耕发[2025]78号文件的所有要求，确保通过市级审核和省级复核，如因中标单位原因导致未通过审核或符合，中标单位无偿返工至合格，由此产生的费用和损失由中标单位自行承担。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进度款，乙方完成全部外业举证、内业审核及正射影像图制作，并向甲方提交阶段成果报告，报市级初验合格后，达到付款条件起15个工作日内，支付合同总金额的40.0%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进度款，项目全部成果通过市级复核、监管平台备案、指标入库生效并通过甲方验收后，达到付款条件起15个工作日内，支付合同总金额的30.0%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进度款，项目全部成果通过省级复核、监管平台备案、指标入库生效并通过甲方验收后，达到付款条件起15个工作日内，支付合同总金额的30.0%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服务要求和标准，采购人有权终止合同，并对服务单位违约行为进行追究，同时按《中华人民共和国政府采购法》的有关规定进行处罚。 3.与本合同有关的一切争议，双方应当进行友好协商，协商不成的，双方均有权向甲方所在地有管辖权的人民法院提起诉讼。4、供应商应保证所有相关资质证书在项目实施期内持续有效。</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3.2服务内容及服务要求、3.3商务要求”均为实质性要求，不得负偏离。2、中标人在领取中标通知书时提供一正两副纸质投标文件。纸质投标文件采用书籍（胶装）方式装订成册，与电子投标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投标人须具备行政主管部门颁发的测绘乙级（含乙级）及以上资质；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投标分项报价表.docx 《拒绝政府采购领域商业贿赂承诺书》.docx 投标函 残疾人福利性单位声明函 服务响应偏离表.docx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服务响应及商务响应</w:t>
            </w:r>
          </w:p>
        </w:tc>
        <w:tc>
          <w:tcPr>
            <w:tcW w:type="dxa" w:w="3322"/>
          </w:tcPr>
          <w:p>
            <w:pPr>
              <w:pStyle w:val="null3"/>
            </w:pPr>
            <w:r>
              <w:rPr>
                <w:rFonts w:ascii="仿宋_GB2312" w:hAnsi="仿宋_GB2312" w:cs="仿宋_GB2312" w:eastAsia="仿宋_GB2312"/>
              </w:rPr>
              <w:t>对招标文件服务内容及要求、商务要求是否作出明确且实质性响应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总体工作思路</w:t>
            </w:r>
          </w:p>
        </w:tc>
        <w:tc>
          <w:tcPr>
            <w:tcW w:type="dxa" w:w="2492"/>
          </w:tcPr>
          <w:p>
            <w:pPr>
              <w:pStyle w:val="null3"/>
            </w:pPr>
            <w:r>
              <w:rPr>
                <w:rFonts w:ascii="仿宋_GB2312" w:hAnsi="仿宋_GB2312" w:cs="仿宋_GB2312" w:eastAsia="仿宋_GB2312"/>
              </w:rPr>
              <w:t>投标人编制针对本项目的总体工作思路，包括但不限于①项目需求理解；②工作实施思路、技术路线。 评审标准：投标人对项目背景、相关政策掌握全面，对项目总体认识深刻，项目需求定位准确，工作思路清晰，论述完整详细得4分。以上内容每缺少一项扣2分，每有任意一处缺陷扣0.5分；扣完为止。 注：缺陷是指内容不合理、内容仅有粗略表述不具体、内容表述前后不一致、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总体工作思路.docx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制定针对本项目的实施方案，包括但不限于①工作进度计划及措施；②成果交付时限及保证措施；③项目组织架构及人员职责划分；④工作组织协调措施；⑤拟投入的设备配置；⑥重难点分析及解决措施；⑦应急预案及措施等 评审标准：各项内容全面详细，相关措施具体可行，组织架构清晰，职责划分明确，拟投入设备专业齐全能满足项目需求，阐述条理清晰，计14分。 以上内容每缺少一项扣2分，每有任意一处缺陷扣0.5分；扣完为止。 注：缺陷是指内容不合理、内容仅有粗略表述不具体、内容表述前后不一致、内容逻辑混乱、内容存在采购人或项目名称或项目区域等明显错误、设备配置不足、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投标人制定针对本项目的质量保证方案，包括但不限于①质量控制方案及措施；②数据质量与成果交付质量保证；③质量问题整改方案及措施等。 评审标准：各项内容全面详细，相关保证措施具体可行，阐述条理清晰，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投标人制定针对本项目的保密措施，包括但不限于：①保密计划及方案；②数据保密制度等。 评审标准：各项内容全面详细，相关制度及计划具体可行，阐述条理清晰，计4分。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成果管理方案</w:t>
            </w:r>
          </w:p>
        </w:tc>
        <w:tc>
          <w:tcPr>
            <w:tcW w:type="dxa" w:w="2492"/>
          </w:tcPr>
          <w:p>
            <w:pPr>
              <w:pStyle w:val="null3"/>
            </w:pPr>
            <w:r>
              <w:rPr>
                <w:rFonts w:ascii="仿宋_GB2312" w:hAnsi="仿宋_GB2312" w:cs="仿宋_GB2312" w:eastAsia="仿宋_GB2312"/>
              </w:rPr>
              <w:t>投标人制定针对本项目的成果管理方案，包括但不限于①成果管理方法、②成果归档制度、③成果资料安全管理制度等。 评审标准：各项内容全面详细，方法具体可行，制度合理，阐述条理清晰，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投标人制定针对本项目的服务承诺，包括但不限于①廉洁履约及违约责任承诺；②对本项目实施、协调过程、成果审核及后续技术支持服务承诺；③针对本项目的合理化建议等。 评审标准：各项内容全面详细，承诺及措施具体可行，建议合理具体，阐述条理清晰，计6分。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项目组人员1：项目负责人</w:t>
            </w:r>
          </w:p>
        </w:tc>
        <w:tc>
          <w:tcPr>
            <w:tcW w:type="dxa" w:w="2492"/>
          </w:tcPr>
          <w:p>
            <w:pPr>
              <w:pStyle w:val="null3"/>
            </w:pPr>
            <w:r>
              <w:rPr>
                <w:rFonts w:ascii="仿宋_GB2312" w:hAnsi="仿宋_GB2312" w:cs="仿宋_GB2312" w:eastAsia="仿宋_GB2312"/>
              </w:rPr>
              <w:t>拟派项目负责人具有相关专业高级技术职称得4分，中级技术职称得2分。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项目组人员2、技术负责人</w:t>
            </w:r>
          </w:p>
        </w:tc>
        <w:tc>
          <w:tcPr>
            <w:tcW w:type="dxa" w:w="2492"/>
          </w:tcPr>
          <w:p>
            <w:pPr>
              <w:pStyle w:val="null3"/>
            </w:pPr>
            <w:r>
              <w:rPr>
                <w:rFonts w:ascii="仿宋_GB2312" w:hAnsi="仿宋_GB2312" w:cs="仿宋_GB2312" w:eastAsia="仿宋_GB2312"/>
              </w:rPr>
              <w:t>拟派技术负责人具有相关专业高级技术职称的得4分，中级技术职称得2分。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项目组人员3、团队人员1</w:t>
            </w:r>
          </w:p>
        </w:tc>
        <w:tc>
          <w:tcPr>
            <w:tcW w:type="dxa" w:w="2492"/>
          </w:tcPr>
          <w:p>
            <w:pPr>
              <w:pStyle w:val="null3"/>
            </w:pPr>
            <w:r>
              <w:rPr>
                <w:rFonts w:ascii="仿宋_GB2312" w:hAnsi="仿宋_GB2312" w:cs="仿宋_GB2312" w:eastAsia="仿宋_GB2312"/>
              </w:rPr>
              <w:t>拟投入本项目的团队人员中（除项目负责人及技术负责人外）每具有相关专业高级技术职称的1名得4分，中级技术职称一名得2分。本项满分6分。 注：须提供相关证书复印件。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项目组人员4、团队人员2</w:t>
            </w:r>
          </w:p>
        </w:tc>
        <w:tc>
          <w:tcPr>
            <w:tcW w:type="dxa" w:w="2492"/>
          </w:tcPr>
          <w:p>
            <w:pPr>
              <w:pStyle w:val="null3"/>
            </w:pPr>
            <w:r>
              <w:rPr>
                <w:rFonts w:ascii="仿宋_GB2312" w:hAnsi="仿宋_GB2312" w:cs="仿宋_GB2312" w:eastAsia="仿宋_GB2312"/>
              </w:rPr>
              <w:t>拟投入本项目的团队人员（除项目负责人及技术负责人外）具有土地类或测绘类或地理信息类或遥感科学与技术专业，每提供1人得2分，共10分。 注：提供专业相关证明材料。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投标人提供自2023年1月1日至今（以合同签订日期为准）同类项目的业绩合同，每份计2分，满分6分。 注：提供合同复印件并加盖投标人公章，合同须完整提供，提供不全的不予计分。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详见附件：总体工作思路.docx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详见附件：成果管理方案.docx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