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81E54">
      <w:pPr>
        <w:keepNext w:val="0"/>
        <w:keepLines w:val="0"/>
        <w:pageBreakBefore w:val="0"/>
        <w:widowControl w:val="0"/>
        <w:kinsoku/>
        <w:wordWrap/>
        <w:overflowPunct/>
        <w:topLinePunct w:val="0"/>
        <w:bidi w:val="0"/>
        <w:spacing w:line="440" w:lineRule="exact"/>
        <w:jc w:val="center"/>
        <w:textAlignment w:val="auto"/>
        <w:rPr>
          <w:rFonts w:hint="eastAsia" w:ascii="仿宋" w:hAnsi="仿宋" w:eastAsia="仿宋" w:cs="仿宋"/>
          <w:b/>
          <w:bCs/>
          <w:color w:val="auto"/>
          <w:sz w:val="36"/>
          <w:szCs w:val="36"/>
        </w:rPr>
      </w:pPr>
      <w:r>
        <w:rPr>
          <w:rFonts w:hint="eastAsia" w:ascii="仿宋" w:hAnsi="仿宋" w:eastAsia="仿宋" w:cs="仿宋"/>
          <w:b/>
          <w:bCs/>
          <w:color w:val="auto"/>
          <w:sz w:val="36"/>
          <w:szCs w:val="36"/>
        </w:rPr>
        <w:t>幼儿园委托管理合同</w:t>
      </w:r>
    </w:p>
    <w:p w14:paraId="21F0353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4"/>
          <w:szCs w:val="24"/>
        </w:rPr>
      </w:pPr>
    </w:p>
    <w:p w14:paraId="4DC5D27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w:t>
      </w:r>
    </w:p>
    <w:p w14:paraId="3C278CB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w:t>
      </w:r>
    </w:p>
    <w:p w14:paraId="4885074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根据《中华人民共和国民法典》及相关教育法律规定，现就雁塔区第</w:t>
      </w:r>
      <w:r>
        <w:rPr>
          <w:rFonts w:hint="eastAsia" w:ascii="仿宋" w:hAnsi="仿宋" w:eastAsia="仿宋" w:cs="仿宋"/>
          <w:sz w:val="24"/>
          <w:szCs w:val="24"/>
          <w:lang w:val="en-US" w:eastAsia="zh-CN"/>
        </w:rPr>
        <w:t>二十六</w:t>
      </w:r>
      <w:r>
        <w:rPr>
          <w:rFonts w:hint="eastAsia" w:ascii="仿宋" w:hAnsi="仿宋" w:eastAsia="仿宋" w:cs="仿宋"/>
          <w:sz w:val="24"/>
          <w:szCs w:val="24"/>
        </w:rPr>
        <w:t>幼儿园委托管理事宜，达成如下协议：</w:t>
      </w:r>
    </w:p>
    <w:p w14:paraId="59F8CB16">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一、幼儿园基本情况</w:t>
      </w:r>
    </w:p>
    <w:p w14:paraId="06268F4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1.名称：西安市雁塔区</w:t>
      </w:r>
      <w:r>
        <w:rPr>
          <w:rFonts w:hint="eastAsia" w:ascii="仿宋" w:hAnsi="仿宋" w:eastAsia="仿宋" w:cs="仿宋"/>
          <w:sz w:val="24"/>
          <w:szCs w:val="24"/>
          <w:lang w:val="en-US" w:eastAsia="zh-CN"/>
        </w:rPr>
        <w:t>二十六</w:t>
      </w:r>
      <w:r>
        <w:rPr>
          <w:rFonts w:hint="eastAsia" w:ascii="仿宋" w:hAnsi="仿宋" w:eastAsia="仿宋" w:cs="仿宋"/>
          <w:sz w:val="24"/>
          <w:szCs w:val="24"/>
        </w:rPr>
        <w:t>幼儿园</w:t>
      </w:r>
    </w:p>
    <w:p w14:paraId="4480885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2.地址：西安市</w:t>
      </w:r>
      <w:r>
        <w:rPr>
          <w:rFonts w:hint="eastAsia" w:ascii="仿宋" w:hAnsi="仿宋" w:eastAsia="仿宋" w:cs="仿宋"/>
          <w:sz w:val="24"/>
          <w:szCs w:val="24"/>
          <w:lang w:val="en-US" w:eastAsia="zh-CN"/>
        </w:rPr>
        <w:t>雁塔区西部大道以南融创西安宸院小区</w:t>
      </w:r>
      <w:r>
        <w:rPr>
          <w:rFonts w:hint="eastAsia" w:ascii="仿宋" w:hAnsi="仿宋" w:eastAsia="仿宋" w:cs="仿宋"/>
          <w:sz w:val="24"/>
          <w:szCs w:val="24"/>
        </w:rPr>
        <w:t xml:space="preserve">                           </w:t>
      </w:r>
    </w:p>
    <w:p w14:paraId="559F9BA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3.办园规模：</w:t>
      </w:r>
      <w:r>
        <w:rPr>
          <w:rFonts w:hint="eastAsia" w:ascii="仿宋" w:hAnsi="仿宋" w:eastAsia="仿宋" w:cs="仿宋"/>
          <w:sz w:val="24"/>
          <w:szCs w:val="24"/>
          <w:u w:val="single"/>
        </w:rPr>
        <w:t xml:space="preserve">   </w:t>
      </w:r>
      <w:r>
        <w:rPr>
          <w:rFonts w:hint="eastAsia" w:ascii="仿宋" w:hAnsi="仿宋" w:eastAsia="仿宋" w:cs="仿宋"/>
          <w:sz w:val="24"/>
          <w:szCs w:val="24"/>
        </w:rPr>
        <w:t>个班</w:t>
      </w:r>
    </w:p>
    <w:p w14:paraId="56B61CB0">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二、委托管理期限</w:t>
      </w:r>
    </w:p>
    <w:p w14:paraId="66CFEAF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委托管理期限自</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日起至</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日止。</w:t>
      </w:r>
    </w:p>
    <w:p w14:paraId="26310B9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因政策变化、不可抗因素致和合同约定终止委托的，委托管理合同 自行终止。</w:t>
      </w:r>
    </w:p>
    <w:p w14:paraId="1CE28286">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三、幼儿园组织架构</w:t>
      </w:r>
    </w:p>
    <w:p w14:paraId="774EEC0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1.幼儿园实行理事会领导下的园长负责制。</w:t>
      </w:r>
    </w:p>
    <w:p w14:paraId="2BEC2CA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2.幼儿园理事会由甲乙双方共同组成，成员共5人，其中甲方3 人，乙方2人。理事会的主要职责：审议幼儿园章程与发展规划，审核幼儿园预算、决算，聘任或解聘园长。决定幼儿园的重大问题。</w:t>
      </w:r>
    </w:p>
    <w:p w14:paraId="4FEB62A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幼儿园法定代表人、理事长由甲方委派。园长由乙方推荐，经甲方同意后履行聘任手续。园长主要职责：负责幼儿园教育教学和行政管理的组织实施工作，拟定幼儿园章程和发展规划，制定年度工作计划、财务预算和规章制度，提名副园长、组织教职员工招聘，负责教职工日常管理，执行理事会决议。</w:t>
      </w:r>
    </w:p>
    <w:p w14:paraId="56D3D79E">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四、双方权利和义务</w:t>
      </w:r>
    </w:p>
    <w:p w14:paraId="16BDA05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1.甲方权利、义务</w:t>
      </w:r>
    </w:p>
    <w:p w14:paraId="1DD6B35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1.1甲方履行政府行政管理和行业管理职责，依法依规对幼儿园进行监督管理。</w:t>
      </w:r>
    </w:p>
    <w:p w14:paraId="7D781C3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1.2甲方根据合同约定向幼儿园拨付财政补助资金，并会同财政局对幼儿园的财政补助资金支出使用情况进行监督检查。</w:t>
      </w:r>
    </w:p>
    <w:p w14:paraId="395D441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1.3甲方负责核定幼儿园每年招生计划。</w:t>
      </w:r>
    </w:p>
    <w:p w14:paraId="50111F9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1.4甲方每年对幼儿园的办园情况进行年度考核。</w:t>
      </w:r>
    </w:p>
    <w:p w14:paraId="6170BCD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1.5甲方对幼儿园教职工编制数进行核定。</w:t>
      </w:r>
    </w:p>
    <w:p w14:paraId="0D1243F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1.6甲方对幼儿园资产的使用情况进行监管，不定期与乙方清查核对资产、审核报损、报废的资产等，并对幼儿园资产使用情况进行审核。</w:t>
      </w:r>
    </w:p>
    <w:p w14:paraId="418945E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2.乙方权利、义务</w:t>
      </w:r>
    </w:p>
    <w:p w14:paraId="50C246E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2.1乙方负责幼儿园日常运营管理。负责组建幼儿园管理团队， 招聘教职员工。乙方需与幼儿园教职工建立劳动关系，乙方应依法依规支付工资和缴纳社会保险。</w:t>
      </w:r>
    </w:p>
    <w:p w14:paraId="7623A66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2.2乙方应保证幼儿园符合《教育法》《学前教育法》《幼儿园管理条例》《幼儿园工作规程》《劳动法》等相关法律法规，建立健全规章制度，规范办园行为；配齐各岗位人员，优化人员管理考核机制和师资培养培训机制，积极开展园本研修；坚持以幼儿为本，科学有序地开展保育教育活动。</w:t>
      </w:r>
    </w:p>
    <w:p w14:paraId="17CAC6D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2.3乙方在管理幼儿园期间，要不断提升幼儿园办园质量，积极参加省市区各类评优活动且获得奖项。</w:t>
      </w:r>
    </w:p>
    <w:p w14:paraId="17C7DEE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2.4乙方应依法建立幼儿园财务、会计制度和资产管理制度，并按照《会计法》相关规定设置会计账簿。伙食费按上级有关规定执行，幼儿园伙食费用独立核算，收支平衡，定期向家长公布，接受家长监督。</w:t>
      </w:r>
    </w:p>
    <w:p w14:paraId="10428CC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2.5幼儿园收取的保教费和甲方拨付园方的补助资金，必须全部 用于由乙方管理的</w:t>
      </w:r>
      <w:r>
        <w:rPr>
          <w:rFonts w:hint="eastAsia" w:ascii="仿宋" w:hAnsi="仿宋" w:eastAsia="仿宋" w:cs="仿宋"/>
          <w:sz w:val="24"/>
          <w:szCs w:val="24"/>
          <w:u w:val="single"/>
        </w:rPr>
        <w:t xml:space="preserve">              </w:t>
      </w:r>
      <w:r>
        <w:rPr>
          <w:rFonts w:hint="eastAsia" w:ascii="仿宋" w:hAnsi="仿宋" w:eastAsia="仿宋" w:cs="仿宋"/>
          <w:sz w:val="24"/>
          <w:szCs w:val="24"/>
        </w:rPr>
        <w:t>运转的人员支出、公用支出及改善办园条件支出，并健全账务账簿。不得用于对外投资、出借、违规 发放其他人员费用、随意提取或转出补助资金及偿还债务。乙方违反补助资金用途，甲方有权解除合同并要求乙方承担赔偿损失等法 律责任。</w:t>
      </w:r>
    </w:p>
    <w:p w14:paraId="26CB5BA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2.6乙方在委托管理幼儿园期间因故意或过失致使幼儿园遭受的一切损失(包含经济损失、名誉等),由乙方承担并赔偿全部损失，包含直接损失和间接损失。</w:t>
      </w:r>
    </w:p>
    <w:p w14:paraId="72634FE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2.7乙方在履行合同过程中，严禁弄虚作假、分包转包委托管理权、冒领财政补助资金及其他违法违规行为。</w:t>
      </w:r>
    </w:p>
    <w:p w14:paraId="1DD2C4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2.8乙方法定代表人和控股股东变更必须经过甲方同意，否则，甲方有权解除本合同。</w:t>
      </w:r>
    </w:p>
    <w:p w14:paraId="51534DD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2.9乙方在受委托管理幼儿园期间，不得以幼儿园名义对外缔结与保育教育无关的合约。未经财政部门审批，不得以幼儿园名义形成债务。</w:t>
      </w:r>
    </w:p>
    <w:p w14:paraId="3D7808A4">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五、幼儿园资产管理</w:t>
      </w:r>
    </w:p>
    <w:p w14:paraId="03A555B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1.幼儿园土地、房屋、附属设施、装饰装修及设施设备等资产均属甲方所有。</w:t>
      </w:r>
    </w:p>
    <w:p w14:paraId="2E323DD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2.乙方在委托管理期间，幼儿园使用财政资金购置的资产，所有权归幼儿园所有，乙方不能在此资产上设定权利负担。</w:t>
      </w:r>
    </w:p>
    <w:p w14:paraId="008CDBB9">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六、幼儿园经费管理</w:t>
      </w:r>
    </w:p>
    <w:p w14:paraId="7A56E36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1.幼儿园委托管理期间，经费由向群众依法收费和政府财政补助 共同保障。</w:t>
      </w:r>
    </w:p>
    <w:p w14:paraId="703CFB8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2.政府财政补助资金分为日常运转经费和管理服务费两部分，甲方将财政补助资金拨付至幼儿园账户，乙方及幼儿园按照相关财务管理制度执行。</w:t>
      </w:r>
    </w:p>
    <w:p w14:paraId="2F84EC3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3.日常运转经费包含但不限于幼儿园的办公经费、设备维护费、 人员工资、社会保险、新增资产采购费、物业费、水电气暖费等与运营管理幼儿园有关的全部成本费用。</w:t>
      </w:r>
    </w:p>
    <w:p w14:paraId="4AECF99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3.1</w:t>
      </w:r>
      <w:r>
        <w:rPr>
          <w:rFonts w:hint="eastAsia" w:ascii="仿宋" w:hAnsi="仿宋" w:eastAsia="仿宋" w:cs="仿宋"/>
          <w:color w:val="auto"/>
          <w:sz w:val="24"/>
          <w:szCs w:val="24"/>
          <w:lang w:val="en-US" w:eastAsia="zh-CN"/>
        </w:rPr>
        <w:t>日常运转经费每学期开学3月、9月起逐月拨付，共10个月。管理服务费按照年度考核结果拨付；考核为合格等次全额拨付；基本合格等次拨付一半；不合格等次不予拨付，同时甲方有权解除合同。招标文件其他付款约定与此条款不一致的，以此处为准。</w:t>
      </w:r>
    </w:p>
    <w:p w14:paraId="5DEB6DE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kern w:val="2"/>
          <w:sz w:val="24"/>
          <w:szCs w:val="24"/>
          <w:lang w:val="en-US" w:eastAsia="zh-CN" w:bidi="ar-SA"/>
        </w:rPr>
        <w:t>4.</w:t>
      </w:r>
      <w:r>
        <w:rPr>
          <w:rFonts w:hint="eastAsia" w:ascii="仿宋" w:hAnsi="仿宋" w:eastAsia="仿宋" w:cs="仿宋"/>
          <w:color w:val="auto"/>
          <w:sz w:val="24"/>
          <w:szCs w:val="24"/>
        </w:rPr>
        <w:t>区政府补助资金按照财政资金使用程序，每年分十次拨付。</w:t>
      </w:r>
    </w:p>
    <w:p w14:paraId="7065C22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5.幼儿园按照相应等级公办园保教费标准收取保教费及其他代收费用，伙食费依据相关规定收取。</w:t>
      </w:r>
    </w:p>
    <w:p w14:paraId="7AC58B72">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七、违约责任</w:t>
      </w:r>
    </w:p>
    <w:p w14:paraId="1A4C58F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1.在合同期内乙方若出现不按照核定教职工数及任职资格配备各类人员、不按招生计划招生等办园行为不规范情况且拒不整改的，甲方将核减下一年度财政补助资金。</w:t>
      </w:r>
    </w:p>
    <w:p w14:paraId="0DFF156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2.乙方出现下列情形之一，甲方有权解除本合同，并要求乙方承担因乙方责任造成的损失，乙方自收到甲方书面解除通知之日起本合同解除。</w:t>
      </w:r>
    </w:p>
    <w:p w14:paraId="019DCF2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2.1乙方服务能力丧失，无法正常管理幼儿园的。</w:t>
      </w:r>
    </w:p>
    <w:p w14:paraId="2924626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2.2乙方提供虚假信息，编造承接能力的。</w:t>
      </w:r>
    </w:p>
    <w:p w14:paraId="593C377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2.3乙方服务质量下降，收到甲方提出书面整改通知后乙方整改 效果不明显或拒不整改的。</w:t>
      </w:r>
    </w:p>
    <w:p w14:paraId="1282D0E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2.4乙方年度考核不合格的。</w:t>
      </w:r>
    </w:p>
    <w:p w14:paraId="165AAD2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2.5乙方管理过程中存在违法违规行为的。</w:t>
      </w:r>
    </w:p>
    <w:p w14:paraId="6EAD22A6">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2.6乙方违反公办园收费管理政策收取费用，且拒不整改的。</w:t>
      </w:r>
    </w:p>
    <w:p w14:paraId="1DAF83A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2.7乙方违反财政资金使用规范，套取挪用财政资金的。</w:t>
      </w:r>
    </w:p>
    <w:p w14:paraId="2A6AF10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2.8乙方违反教育方针，违背教育规律，侵害幼儿身心健康发展，且拒不整改的。</w:t>
      </w:r>
    </w:p>
    <w:p w14:paraId="3D812F49">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八、合同的终止</w:t>
      </w:r>
    </w:p>
    <w:p w14:paraId="75F1722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1.本合同合作期限届满，本合同的权利义务关系终止。若双方均同意续签委托管理合同，可以另行签订协议。</w:t>
      </w:r>
    </w:p>
    <w:p w14:paraId="11EC477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2.在本合同履行过程中，发生不可抗力或国家(地方)政策调整导致本合同不能履行的，本合同终止，各方均不承担违约责任；终止后事宜，合同各方另行协商。</w:t>
      </w:r>
      <w:bookmarkStart w:id="0" w:name="_GoBack"/>
      <w:bookmarkEnd w:id="0"/>
    </w:p>
    <w:p w14:paraId="32BE120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3.合同终止后，如未续签合同，乙方应立即撤离，所有资产移交甲方。</w:t>
      </w:r>
    </w:p>
    <w:p w14:paraId="644D8FEC">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九、纠纷的解决</w:t>
      </w:r>
    </w:p>
    <w:p w14:paraId="4826DF6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本合同在履行过程中发生争议，由各方协商解决，协商不成的，可以向甲方所在地人民法院提起诉讼。</w:t>
      </w:r>
    </w:p>
    <w:p w14:paraId="5C8894A8">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十、监督</w:t>
      </w:r>
    </w:p>
    <w:p w14:paraId="1ABE5B4D">
      <w:pPr>
        <w:keepNext w:val="0"/>
        <w:keepLines w:val="0"/>
        <w:pageBreakBefore w:val="0"/>
        <w:widowControl/>
        <w:kinsoku/>
        <w:wordWrap/>
        <w:overflowPunct/>
        <w:topLinePunct w:val="0"/>
        <w:autoSpaceDE/>
        <w:autoSpaceDN/>
        <w:bidi w:val="0"/>
        <w:adjustRightInd/>
        <w:snapToGrid/>
        <w:spacing w:after="0" w:line="440" w:lineRule="exact"/>
        <w:ind w:firstLine="480" w:firstLineChars="200"/>
        <w:textAlignment w:val="auto"/>
        <w:rPr>
          <w:rStyle w:val="13"/>
          <w:rFonts w:hint="eastAsia" w:ascii="仿宋" w:hAnsi="仿宋" w:eastAsia="仿宋" w:cs="仿宋"/>
          <w:b w:val="0"/>
          <w:bCs w:val="0"/>
          <w:kern w:val="0"/>
          <w:sz w:val="24"/>
          <w:szCs w:val="24"/>
          <w:lang w:val="en-US" w:eastAsia="zh-CN" w:bidi="ar"/>
        </w:rPr>
      </w:pPr>
      <w:r>
        <w:rPr>
          <w:rStyle w:val="13"/>
          <w:rFonts w:hint="eastAsia" w:ascii="仿宋" w:hAnsi="仿宋" w:eastAsia="仿宋" w:cs="仿宋"/>
          <w:b w:val="0"/>
          <w:bCs w:val="0"/>
          <w:kern w:val="0"/>
          <w:sz w:val="24"/>
          <w:szCs w:val="24"/>
          <w:lang w:val="en-US" w:eastAsia="zh-CN" w:bidi="ar"/>
        </w:rPr>
        <w:t>幼儿园各项工作接受雁塔区教育局的监督和指导。</w:t>
      </w:r>
    </w:p>
    <w:p w14:paraId="11CDD056">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rPr>
        <w:t>、其他事宜</w:t>
      </w:r>
    </w:p>
    <w:p w14:paraId="255EFFC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本合同未尽事宜，由甲乙方友好协商，并签订补充合同，补充合同与本合同具有同等效力。</w:t>
      </w:r>
    </w:p>
    <w:p w14:paraId="6FB4775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二</w:t>
      </w:r>
      <w:r>
        <w:rPr>
          <w:rFonts w:hint="eastAsia" w:ascii="仿宋" w:hAnsi="仿宋" w:eastAsia="仿宋" w:cs="仿宋"/>
          <w:b/>
          <w:bCs/>
          <w:sz w:val="24"/>
          <w:szCs w:val="24"/>
        </w:rPr>
        <w:t>、合同的生效</w:t>
      </w:r>
    </w:p>
    <w:p w14:paraId="4B3BEB0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本合同经甲、乙</w:t>
      </w:r>
      <w:r>
        <w:rPr>
          <w:rFonts w:hint="eastAsia" w:ascii="仿宋" w:hAnsi="仿宋" w:eastAsia="仿宋" w:cs="仿宋"/>
          <w:sz w:val="24"/>
          <w:szCs w:val="24"/>
          <w:lang w:val="en-US" w:eastAsia="zh-CN"/>
        </w:rPr>
        <w:t>方及监督单位三</w:t>
      </w:r>
      <w:r>
        <w:rPr>
          <w:rFonts w:hint="eastAsia" w:ascii="仿宋" w:hAnsi="仿宋" w:eastAsia="仿宋" w:cs="仿宋"/>
          <w:sz w:val="24"/>
          <w:szCs w:val="24"/>
        </w:rPr>
        <w:t>方签字盖章后生效。</w:t>
      </w:r>
    </w:p>
    <w:p w14:paraId="6326632B">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十</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、本合同一式肆份，甲方、乙方各执贰份。</w:t>
      </w:r>
    </w:p>
    <w:p w14:paraId="3687733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(以下无正文)</w:t>
      </w:r>
    </w:p>
    <w:p w14:paraId="1026FEC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甲方：</w:t>
      </w:r>
    </w:p>
    <w:p w14:paraId="24AE429F">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221F064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5970905</wp:posOffset>
                </wp:positionH>
                <wp:positionV relativeFrom="paragraph">
                  <wp:posOffset>105410</wp:posOffset>
                </wp:positionV>
                <wp:extent cx="59690" cy="635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9690" cy="63500"/>
                        </a:xfrm>
                        <a:prstGeom prst="rect">
                          <a:avLst/>
                        </a:prstGeom>
                        <a:noFill/>
                        <a:ln>
                          <a:noFill/>
                        </a:ln>
                      </wps:spPr>
                      <wps:txbx>
                        <w:txbxContent>
                          <w:p w14:paraId="4847CD0B">
                            <w:pPr>
                              <w:spacing w:before="19" w:line="160" w:lineRule="auto"/>
                              <w:ind w:left="20"/>
                              <w:rPr>
                                <w:rFonts w:ascii="宋体" w:hAnsi="宋体" w:eastAsia="宋体" w:cs="宋体"/>
                                <w:sz w:val="6"/>
                                <w:szCs w:val="6"/>
                              </w:rPr>
                            </w:pPr>
                            <w:r>
                              <w:rPr>
                                <w:rFonts w:ascii="宋体" w:hAnsi="宋体" w:eastAsia="宋体" w:cs="宋体"/>
                                <w:sz w:val="6"/>
                                <w:szCs w:val="6"/>
                              </w:rPr>
                              <w:t>一</w:t>
                            </w:r>
                          </w:p>
                        </w:txbxContent>
                      </wps:txbx>
                      <wps:bodyPr vert="eaVert" lIns="0" tIns="0" rIns="0" bIns="0" upright="1"/>
                    </wps:wsp>
                  </a:graphicData>
                </a:graphic>
              </wp:anchor>
            </w:drawing>
          </mc:Choice>
          <mc:Fallback>
            <w:pict>
              <v:shape id="_x0000_s1026" o:spid="_x0000_s1026" o:spt="202" type="#_x0000_t202" style="position:absolute;left:0pt;margin-left:470.15pt;margin-top:8.3pt;height:5pt;width:4.7pt;z-index:251659264;mso-width-relative:page;mso-height-relative:page;" filled="f" stroked="f" coordsize="21600,21600" o:gfxdata="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cxxwI1gAAAAkBAAAPAAAAAAAAAAEAIAAAACIAAABkcnMvZG93bnJldi54bWxQ&#10;SwECFAAUAAAACACHTuJA2yFF88ABAAB9AwAADgAAAAAAAAABACAAAAAlAQAAZHJzL2Uyb0RvYy54&#10;bWxQSwUGAAAAAAYABgBZAQAAVwUAAAAA&#10;">
                <v:fill on="f" focussize="0,0"/>
                <v:stroke on="f"/>
                <v:imagedata o:title=""/>
                <o:lock v:ext="edit" aspectratio="f"/>
                <v:textbox inset="0mm,0mm,0mm,0mm" style="layout-flow:vertical-ideographic;">
                  <w:txbxContent>
                    <w:p w14:paraId="4847CD0B">
                      <w:pPr>
                        <w:spacing w:before="19" w:line="160" w:lineRule="auto"/>
                        <w:ind w:left="20"/>
                        <w:rPr>
                          <w:rFonts w:ascii="宋体" w:hAnsi="宋体" w:eastAsia="宋体" w:cs="宋体"/>
                          <w:sz w:val="6"/>
                          <w:szCs w:val="6"/>
                        </w:rPr>
                      </w:pPr>
                      <w:r>
                        <w:rPr>
                          <w:rFonts w:ascii="宋体" w:hAnsi="宋体" w:eastAsia="宋体" w:cs="宋体"/>
                          <w:sz w:val="6"/>
                          <w:szCs w:val="6"/>
                        </w:rPr>
                        <w:t>一</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5967730</wp:posOffset>
                </wp:positionH>
                <wp:positionV relativeFrom="paragraph">
                  <wp:posOffset>252730</wp:posOffset>
                </wp:positionV>
                <wp:extent cx="53975" cy="584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3975" cy="58420"/>
                        </a:xfrm>
                        <a:prstGeom prst="rect">
                          <a:avLst/>
                        </a:prstGeom>
                        <a:noFill/>
                        <a:ln>
                          <a:noFill/>
                        </a:ln>
                      </wps:spPr>
                      <wps:txbx>
                        <w:txbxContent>
                          <w:p w14:paraId="2B056E46">
                            <w:pPr>
                              <w:spacing w:before="20" w:line="44" w:lineRule="exact"/>
                              <w:ind w:left="20"/>
                              <w:rPr>
                                <w:rFonts w:ascii="宋体" w:hAnsi="宋体" w:eastAsia="宋体" w:cs="宋体"/>
                                <w:sz w:val="6"/>
                                <w:szCs w:val="6"/>
                              </w:rPr>
                            </w:pPr>
                            <w:r>
                              <w:rPr>
                                <w:rFonts w:ascii="宋体" w:hAnsi="宋体" w:eastAsia="宋体" w:cs="宋体"/>
                                <w:spacing w:val="14"/>
                                <w:w w:val="126"/>
                                <w:position w:val="-1"/>
                                <w:sz w:val="6"/>
                                <w:szCs w:val="6"/>
                              </w:rPr>
                              <w:t>4</w:t>
                            </w:r>
                          </w:p>
                        </w:txbxContent>
                      </wps:txbx>
                      <wps:bodyPr vert="eaVert" lIns="0" tIns="0" rIns="0" bIns="0" upright="1"/>
                    </wps:wsp>
                  </a:graphicData>
                </a:graphic>
              </wp:anchor>
            </w:drawing>
          </mc:Choice>
          <mc:Fallback>
            <w:pict>
              <v:shape id="_x0000_s1026" o:spid="_x0000_s1026" o:spt="202" type="#_x0000_t202" style="position:absolute;left:0pt;margin-left:469.9pt;margin-top:19.9pt;height:4.6pt;width:4.25pt;z-index:251660288;mso-width-relative:page;mso-height-relative:page;" filled="f" stroked="f" coordsize="21600,21600" o:gfxdata="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OJgNwHWAAAACQEAAA8AAAAAAAAAAQAgAAAAIgAAAGRycy9kb3ducmV2Lnht&#10;bFBLAQIUABQAAAAIAIdO4kAoMW1lwgEAAH0DAAAOAAAAAAAAAAEAIAAAACUBAABkcnMvZTJvRG9j&#10;LnhtbFBLBQYAAAAABgAGAFkBAABZBQAAAAA=&#10;">
                <v:fill on="f" focussize="0,0"/>
                <v:stroke on="f"/>
                <v:imagedata o:title=""/>
                <o:lock v:ext="edit" aspectratio="f"/>
                <v:textbox inset="0mm,0mm,0mm,0mm" style="layout-flow:vertical-ideographic;">
                  <w:txbxContent>
                    <w:p w14:paraId="2B056E46">
                      <w:pPr>
                        <w:spacing w:before="20" w:line="44" w:lineRule="exact"/>
                        <w:ind w:left="20"/>
                        <w:rPr>
                          <w:rFonts w:ascii="宋体" w:hAnsi="宋体" w:eastAsia="宋体" w:cs="宋体"/>
                          <w:sz w:val="6"/>
                          <w:szCs w:val="6"/>
                        </w:rPr>
                      </w:pPr>
                      <w:r>
                        <w:rPr>
                          <w:rFonts w:ascii="宋体" w:hAnsi="宋体" w:eastAsia="宋体" w:cs="宋体"/>
                          <w:spacing w:val="14"/>
                          <w:w w:val="126"/>
                          <w:position w:val="-1"/>
                          <w:sz w:val="6"/>
                          <w:szCs w:val="6"/>
                        </w:rPr>
                        <w:t>4</w:t>
                      </w:r>
                    </w:p>
                  </w:txbxContent>
                </v:textbox>
              </v:shape>
            </w:pict>
          </mc:Fallback>
        </mc:AlternateContent>
      </w:r>
      <w:r>
        <w:rPr>
          <w:rFonts w:hint="eastAsia" w:ascii="仿宋" w:hAnsi="仿宋" w:eastAsia="仿宋" w:cs="仿宋"/>
          <w:sz w:val="24"/>
          <w:szCs w:val="24"/>
        </w:rPr>
        <w:t>联系方式：</w:t>
      </w:r>
    </w:p>
    <w:p w14:paraId="1904500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乙方：</w:t>
      </w:r>
    </w:p>
    <w:p w14:paraId="2D6F999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2BAE311B">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联系方式：</w:t>
      </w:r>
    </w:p>
    <w:p w14:paraId="56F2670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签订日期：</w:t>
      </w:r>
    </w:p>
    <w:p w14:paraId="20476B77">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监督单位：</w:t>
      </w:r>
    </w:p>
    <w:p w14:paraId="7CCA4BE8">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2BC24AE3">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联系方式：</w:t>
      </w:r>
    </w:p>
    <w:p w14:paraId="65C25051">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签订日期：</w:t>
      </w:r>
    </w:p>
    <w:p w14:paraId="6C2992E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pPr>
      <w:r>
        <w:rPr>
          <w:rFonts w:hint="eastAsia" w:ascii="仿宋" w:hAnsi="仿宋" w:eastAsia="仿宋" w:cs="仿宋"/>
          <w:b/>
          <w:bCs/>
          <w:sz w:val="24"/>
          <w:szCs w:val="24"/>
          <w:u w:val="single"/>
        </w:rPr>
        <w:t>本合同为参考格式，最终合同将结合《招标文件》要求《投标文件》承诺及采购人要求综合制定</w:t>
      </w:r>
      <w:r>
        <w:rPr>
          <w:rFonts w:hint="eastAsia" w:ascii="仿宋" w:hAnsi="仿宋" w:eastAsia="仿宋" w:cs="仿宋"/>
          <w:b/>
          <w:bCs/>
          <w:sz w:val="24"/>
          <w:szCs w:val="24"/>
          <w:u w:val="single"/>
          <w:lang w:eastAsia="zh-CN"/>
        </w:rPr>
        <w:t>。</w:t>
      </w:r>
    </w:p>
    <w:sectPr>
      <w:pgSz w:w="11906" w:h="16838"/>
      <w:pgMar w:top="1474" w:right="1701" w:bottom="158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DF7AC3"/>
    <w:rsid w:val="169B59B9"/>
    <w:rsid w:val="1F6C3242"/>
    <w:rsid w:val="22194FE5"/>
    <w:rsid w:val="2AAD7CF1"/>
    <w:rsid w:val="2F29064A"/>
    <w:rsid w:val="31CA1417"/>
    <w:rsid w:val="33802EC6"/>
    <w:rsid w:val="40DF7AC3"/>
    <w:rsid w:val="460D67FC"/>
    <w:rsid w:val="47AF5B61"/>
    <w:rsid w:val="513F68D6"/>
    <w:rsid w:val="644D58C6"/>
    <w:rsid w:val="68E50A0B"/>
    <w:rsid w:val="6A4E2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4"/>
      <w:lang w:val="en-US" w:eastAsia="zh-CN" w:bidi="ar-SA"/>
    </w:rPr>
  </w:style>
  <w:style w:type="paragraph" w:styleId="2">
    <w:name w:val="heading 4"/>
    <w:basedOn w:val="1"/>
    <w:next w:val="1"/>
    <w:semiHidden/>
    <w:unhideWhenUsed/>
    <w:qFormat/>
    <w:uiPriority w:val="0"/>
    <w:pPr>
      <w:keepNext/>
      <w:keepLines/>
      <w:widowControl w:val="0"/>
      <w:suppressLineNumbers w:val="0"/>
      <w:spacing w:before="80" w:beforeAutospacing="0" w:after="40" w:afterAutospacing="0"/>
      <w:ind w:left="0" w:right="0"/>
      <w:jc w:val="both"/>
      <w:outlineLvl w:val="3"/>
    </w:pPr>
    <w:rPr>
      <w:rFonts w:ascii="等线" w:hAnsi="等线" w:eastAsia="等线" w:cs="Times New Roman"/>
      <w:color w:val="2F5496"/>
      <w:kern w:val="2"/>
      <w:sz w:val="28"/>
      <w:szCs w:val="28"/>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unhideWhenUsed/>
    <w:qFormat/>
    <w:uiPriority w:val="0"/>
  </w:style>
  <w:style w:type="paragraph" w:styleId="4">
    <w:name w:val="Body Text Indent"/>
    <w:basedOn w:val="1"/>
    <w:qFormat/>
    <w:uiPriority w:val="0"/>
    <w:pPr>
      <w:spacing w:after="120"/>
      <w:ind w:left="420" w:leftChars="200"/>
    </w:pPr>
  </w:style>
  <w:style w:type="paragraph" w:styleId="5">
    <w:name w:val="Body Text First Indent 2"/>
    <w:basedOn w:val="4"/>
    <w:qFormat/>
    <w:uiPriority w:val="0"/>
    <w:pPr>
      <w:ind w:firstLine="420" w:firstLineChars="200"/>
    </w:pPr>
  </w:style>
  <w:style w:type="table" w:styleId="7">
    <w:name w:val="Table Grid"/>
    <w:basedOn w:val="6"/>
    <w:qFormat/>
    <w:uiPriority w:val="0"/>
    <w:pPr>
      <w:keepNext w:val="0"/>
      <w:keepLines w:val="0"/>
      <w:widowControl w:val="0"/>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
    <w:name w:val="null3"/>
    <w:hidden/>
    <w:qFormat/>
    <w:uiPriority w:val="0"/>
    <w:rPr>
      <w:rFonts w:hint="eastAsia" w:asciiTheme="minorHAnsi" w:hAnsiTheme="minorHAnsi" w:eastAsiaTheme="minorEastAsia" w:cstheme="minorBidi"/>
      <w:lang w:val="en-US" w:eastAsia="zh-Hans"/>
    </w:rPr>
  </w:style>
  <w:style w:type="paragraph" w:customStyle="1" w:styleId="10">
    <w:name w:val="标书正文1"/>
    <w:basedOn w:val="1"/>
    <w:autoRedefine/>
    <w:qFormat/>
    <w:uiPriority w:val="0"/>
    <w:pPr>
      <w:autoSpaceDE w:val="0"/>
      <w:autoSpaceDN w:val="0"/>
      <w:spacing w:line="520" w:lineRule="exact"/>
      <w:ind w:firstLine="640" w:firstLineChars="200"/>
      <w:jc w:val="left"/>
    </w:pPr>
    <w:rPr>
      <w:rFonts w:ascii="仿宋" w:hAnsi="仿宋" w:eastAsia="仿宋" w:cs="仿宋"/>
      <w:kern w:val="0"/>
      <w:sz w:val="22"/>
      <w:lang w:val="zh-CN" w:bidi="zh-CN"/>
    </w:rPr>
  </w:style>
  <w:style w:type="paragraph" w:customStyle="1" w:styleId="11">
    <w:name w:val=" Char Char4 Char Char Char Char"/>
    <w:basedOn w:val="1"/>
    <w:qFormat/>
    <w:uiPriority w:val="0"/>
    <w:pPr>
      <w:spacing w:line="440" w:lineRule="atLeast"/>
      <w:ind w:firstLine="482" w:firstLineChars="200"/>
    </w:pPr>
    <w:rPr>
      <w:b/>
      <w:color w:val="000000"/>
      <w:sz w:val="24"/>
      <w:szCs w:val="24"/>
    </w:rPr>
  </w:style>
  <w:style w:type="paragraph" w:customStyle="1" w:styleId="12">
    <w:name w:val="Char Char4 Char Char Char Char"/>
    <w:basedOn w:val="1"/>
    <w:qFormat/>
    <w:uiPriority w:val="0"/>
    <w:pPr>
      <w:spacing w:line="440" w:lineRule="atLeast"/>
      <w:ind w:firstLine="482" w:firstLineChars="200"/>
    </w:pPr>
    <w:rPr>
      <w:b/>
      <w:color w:val="000000"/>
      <w:sz w:val="24"/>
    </w:rPr>
  </w:style>
  <w:style w:type="character" w:customStyle="1" w:styleId="13">
    <w:name w:val="font2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2572</Words>
  <Characters>2642</Characters>
  <Lines>0</Lines>
  <Paragraphs>0</Paragraphs>
  <TotalTime>0</TotalTime>
  <ScaleCrop>false</ScaleCrop>
  <LinksUpToDate>false</LinksUpToDate>
  <CharactersWithSpaces>2719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2025-06-06T01:35:00Z</dcterms:created>
  <dc:creator>JYZB</dc:creator>
  <cp:lastModifiedBy>JYZB</cp:lastModifiedBy>
  <dcterms:modified xsi:type="dcterms:W3CDTF">2026-08-05T11:06:26Z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9CEEBEAA9E9946CB9CE6B879DEBF456A_11</vt:lpwstr>
  </property>
  <property fmtid="{D5CDD505-2E9C-101B-9397-08002B2CF9AE}" pid="4" name="KSOTemplateDocerSaveRecord">
    <vt:lpwstr>eyJoZGlkIjoiNDU1NTZmYzFiNDc2MjU2MmUyODZiZjA1Yzk0MWFlYmYiLCJ1c2VySWQiOiIyNDIxOTA0MzAifQ==</vt:lpwstr>
  </property>
</Properties>
</file>