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版本号：政采-省本级-2026-0352920260520001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水利科技全领域专业知识库体系研究与应用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政采-省本级-2026-03529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水利科技全领域专业知识库体系研究与应用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政采-省本级-2026-03529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水利科技全领域专业知识库体系研究与应用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国家和陕西省实际，从需求出发，确定项目研究内容，建立陕西省水利科技全领域专业知识库体系，根据主题划分领域和丛书，重点在节水、水旱灾害防御、城乡供水安全、水保治理和水利水电工程等方面进行陕西水利科普作品开发和创作，引导全社会了解水利、关心水利、支持水利、参与水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5、没有重大违法记录：参加政府采购活动前三年内，在经营活动中没有重大违法记录书面声明并加盖公章。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西安市碑林区兴庆路36号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联系人：曹女士</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国家和陕西省实际，从需求出发，确定项目研究内容，建立陕西省水利科技全领域专业知识库体系，根据主题划分领域和丛书，重点在节水、水旱灾害防御、城乡供水安全、水保治理和水利水电工程等方面进行陕西水利科普作品开发和创作，引导全社会了解水利、关心水利、支持水利、参与水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水利科技全领域专业知识库体系研究与应用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标的名称：水利科技全领域专业知识库体系研究与应用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一、主要工作内容</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 xml:space="preserve"> 根据国务院、水利部、共青团、科协等关于加强新时代进一步科学技术普及工作、加强水利科普工作的指导意见和实施意见要求，围绕水安全战略需求和社会公众对水利科普的实际需求，深入贯彻落实国家创新驱动发展战略，通过建立陕西省水利科技全领域专业知识库体系，推动水利科技创新与科学普及协同发展。</w:t>
            </w:r>
          </w:p>
          <w:p>
            <w:pPr>
              <w:pStyle w:val="null3"/>
            </w:pPr>
            <w:r>
              <w:rPr>
                <w:rFonts w:ascii="仿宋_GB2312" w:hAnsi="仿宋_GB2312" w:cs="仿宋_GB2312" w:eastAsia="仿宋_GB2312"/>
                <w:sz w:val="21"/>
              </w:rPr>
              <w:t>二、</w:t>
            </w:r>
            <w:r>
              <w:rPr>
                <w:rFonts w:ascii="仿宋_GB2312" w:hAnsi="仿宋_GB2312" w:cs="仿宋_GB2312" w:eastAsia="仿宋_GB2312"/>
                <w:sz w:val="21"/>
              </w:rPr>
              <w:t>项目技术难点和创新点</w:t>
            </w:r>
          </w:p>
          <w:p>
            <w:pPr>
              <w:pStyle w:val="null3"/>
            </w:pPr>
            <w:r>
              <w:rPr>
                <w:rFonts w:ascii="仿宋_GB2312" w:hAnsi="仿宋_GB2312" w:cs="仿宋_GB2312" w:eastAsia="仿宋_GB2312"/>
                <w:sz w:val="21"/>
              </w:rPr>
              <w:t xml:space="preserve">       技术难点：</w:t>
            </w:r>
          </w:p>
          <w:p>
            <w:pPr>
              <w:pStyle w:val="null3"/>
            </w:pPr>
            <w:r>
              <w:rPr>
                <w:rFonts w:ascii="仿宋_GB2312" w:hAnsi="仿宋_GB2312" w:cs="仿宋_GB2312" w:eastAsia="仿宋_GB2312"/>
                <w:sz w:val="21"/>
              </w:rPr>
              <w:t xml:space="preserve">       (1)  从不同科普对象出发，以水利科普与实际生活相结合，整理分析水利科技专业知识库的内容；</w:t>
            </w:r>
          </w:p>
          <w:p>
            <w:pPr>
              <w:pStyle w:val="null3"/>
            </w:pPr>
            <w:r>
              <w:rPr>
                <w:rFonts w:ascii="仿宋_GB2312" w:hAnsi="仿宋_GB2312" w:cs="仿宋_GB2312" w:eastAsia="仿宋_GB2312"/>
                <w:sz w:val="21"/>
              </w:rPr>
              <w:t xml:space="preserve">       (2)  采用不同层次的科普方式，面向不同的主题，提高社会公众对水利科普丛书的兴趣。</w:t>
            </w:r>
          </w:p>
          <w:p>
            <w:pPr>
              <w:pStyle w:val="null3"/>
            </w:pPr>
            <w:r>
              <w:rPr>
                <w:rFonts w:ascii="仿宋_GB2312" w:hAnsi="仿宋_GB2312" w:cs="仿宋_GB2312" w:eastAsia="仿宋_GB2312"/>
                <w:sz w:val="21"/>
              </w:rPr>
              <w:t xml:space="preserve">       创新点：</w:t>
            </w:r>
          </w:p>
          <w:p>
            <w:pPr>
              <w:pStyle w:val="null3"/>
            </w:pPr>
            <w:r>
              <w:rPr>
                <w:rFonts w:ascii="仿宋_GB2312" w:hAnsi="仿宋_GB2312" w:cs="仿宋_GB2312" w:eastAsia="仿宋_GB2312"/>
                <w:sz w:val="21"/>
              </w:rPr>
              <w:t xml:space="preserve">      （1）转变思路，以人为本，从实际需求出发，让全社会了解水利、关心水利、支持水利、参与水利；</w:t>
            </w:r>
          </w:p>
          <w:p>
            <w:pPr>
              <w:pStyle w:val="null3"/>
            </w:pPr>
            <w:r>
              <w:rPr>
                <w:rFonts w:ascii="仿宋_GB2312" w:hAnsi="仿宋_GB2312" w:cs="仿宋_GB2312" w:eastAsia="仿宋_GB2312"/>
                <w:sz w:val="21"/>
              </w:rPr>
              <w:t xml:space="preserve">      （2）面向不同的主题，采用不同的方式，让水利科技专业知识从常识性到通俗性，再到专业性，提供不同层次的科普服务。</w:t>
            </w:r>
          </w:p>
          <w:p>
            <w:pPr>
              <w:pStyle w:val="null3"/>
            </w:pPr>
            <w:r>
              <w:rPr>
                <w:rFonts w:ascii="仿宋_GB2312" w:hAnsi="仿宋_GB2312" w:cs="仿宋_GB2312" w:eastAsia="仿宋_GB2312"/>
                <w:sz w:val="21"/>
              </w:rPr>
              <w:t>三、</w:t>
            </w:r>
            <w:r>
              <w:rPr>
                <w:rFonts w:ascii="仿宋_GB2312" w:hAnsi="仿宋_GB2312" w:cs="仿宋_GB2312" w:eastAsia="仿宋_GB2312"/>
                <w:sz w:val="21"/>
              </w:rPr>
              <w:t>主要成果递交</w:t>
            </w:r>
          </w:p>
          <w:p>
            <w:pPr>
              <w:pStyle w:val="null3"/>
              <w:ind w:firstLine="480"/>
              <w:jc w:val="both"/>
            </w:pPr>
            <w:r>
              <w:rPr>
                <w:rFonts w:ascii="仿宋_GB2312" w:hAnsi="仿宋_GB2312" w:cs="仿宋_GB2312" w:eastAsia="仿宋_GB2312"/>
                <w:sz w:val="21"/>
              </w:rPr>
              <w:t>（1）结合陕西水安全战略保障和社会公众实际需求，重点出版水旱灾害防御、城乡供水安全、水保治理和水利水电工程系列丛书；</w:t>
            </w:r>
          </w:p>
          <w:p>
            <w:pPr>
              <w:pStyle w:val="null3"/>
              <w:ind w:firstLine="480"/>
              <w:jc w:val="both"/>
            </w:pPr>
            <w:r>
              <w:rPr>
                <w:rFonts w:ascii="仿宋_GB2312" w:hAnsi="仿宋_GB2312" w:cs="仿宋_GB2312" w:eastAsia="仿宋_GB2312"/>
                <w:sz w:val="21"/>
              </w:rPr>
              <w:t>（2）按照陕西水利科普丛书统一的标准，完成陕西水利科普书籍的编纂和出版工作。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合同签订后首次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 服务质量不能满足技术要求，采购人有权终止合同，并对供方违约行为进行追究，同时按《中华人民共和国政府采购法》的有 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本项目实际服务期限以“水利科技全领域专业知识库体系研究与应用”合同为准。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。2025年1月至今新成立公司须提供银行资信证明或新成立以来的财务报表，至少包括资产负债表、利润表、现金流量表。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符合“第七章响应文件格式”的要求</w:t>
            </w:r>
          </w:p>
        </w:tc>
        <w:tc>
          <w:tcPr>
            <w:tcW w:type="dxa" w:w="1661"/>
          </w:tcPr>
          <w:p>
            <w:pPr>
              <w:pStyle w:val="null3"/>
            </w:pPr>
            <w:r>
              <w:rPr>
                <w:rFonts w:ascii="仿宋_GB2312" w:hAnsi="仿宋_GB2312" w:cs="仿宋_GB2312" w:eastAsia="仿宋_GB2312"/>
              </w:rPr>
              <w:t>人员配备.docx 中小企业声明函 授权委托书.docx 报价表 商务应答表.docx 响应文件封面 供应商认为有必要说明的事宜（如有）.docx 供应商应提交的相关资格证明材料.docx 承揽的类似项目情况表.docx 残疾人福利性单位声明函 标的清单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授权委托书.docx 中小企业声明函 残疾人福利性单位声明函 标的清单 报价表 商务应答表.docx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每项完全满足评审标准得4分，有缺陷或者不满足扣2分，缺项不得分；3、项目组成员每具有高级（含高级）以上职称得0.5分，最多得1分； 4、项目负责人具有高级（含高级）以上职称得1分。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注：应附合同协议书或中标（成交）通知书或立项文件或成果文件（如论文、课题、专利等）复印件。类似项目业绩指自2022年5月1日至投标截止日前承揽过类似项目。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给予相关供应商的合理时间一般不少于30分钟并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