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版本号：SXLC2026-ZC-CS007.1B120260830002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镇安县2025年城市更新5个片区老旧小区改造项目天然气中压管道安装工程(二次)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SXLC2026-ZC-CS007.1B1</w:t>
      </w:r>
      <w:r>
        <w:br/>
      </w:r>
      <w:r>
        <w:br/>
      </w:r>
      <w:r>
        <w:br/>
      </w:r>
    </w:p>
    <w:p>
      <w:pPr>
        <w:pStyle w:val="null3"/>
        <w:jc w:val="center"/>
        <w:outlineLvl w:val="2"/>
      </w:pPr>
      <w:r>
        <w:rPr>
          <w:rFonts w:ascii="仿宋_GB2312" w:hAnsi="仿宋_GB2312" w:cs="仿宋_GB2312" w:eastAsia="仿宋_GB2312"/>
          <w:sz w:val="28"/>
          <w:b/>
        </w:rPr>
        <w:t>镇安县棚户区改造办公室</w:t>
      </w:r>
    </w:p>
    <w:p>
      <w:pPr>
        <w:pStyle w:val="null3"/>
        <w:jc w:val="center"/>
        <w:outlineLvl w:val="2"/>
      </w:pPr>
      <w:r>
        <w:rPr>
          <w:rFonts w:ascii="仿宋_GB2312" w:hAnsi="仿宋_GB2312" w:cs="仿宋_GB2312" w:eastAsia="仿宋_GB2312"/>
          <w:sz w:val="28"/>
          <w:b/>
        </w:rPr>
        <w:t>陕西隆成工程项目管理有限公司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陕西隆成工程项目管理有限公司</w:t>
      </w:r>
      <w:r>
        <w:rPr>
          <w:rFonts w:ascii="仿宋_GB2312" w:hAnsi="仿宋_GB2312" w:cs="仿宋_GB2312" w:eastAsia="仿宋_GB2312"/>
        </w:rPr>
        <w:t>（以下简称“代理机构”）受</w:t>
      </w:r>
      <w:r>
        <w:rPr>
          <w:rFonts w:ascii="仿宋_GB2312" w:hAnsi="仿宋_GB2312" w:cs="仿宋_GB2312" w:eastAsia="仿宋_GB2312"/>
        </w:rPr>
        <w:t>镇安县棚户区改造办公室</w:t>
      </w:r>
      <w:r>
        <w:rPr>
          <w:rFonts w:ascii="仿宋_GB2312" w:hAnsi="仿宋_GB2312" w:cs="仿宋_GB2312" w:eastAsia="仿宋_GB2312"/>
        </w:rPr>
        <w:t>委托，拟对</w:t>
      </w:r>
      <w:r>
        <w:rPr>
          <w:rFonts w:ascii="仿宋_GB2312" w:hAnsi="仿宋_GB2312" w:cs="仿宋_GB2312" w:eastAsia="仿宋_GB2312"/>
        </w:rPr>
        <w:t>镇安县2025年城市更新5个片区老旧小区改造项目天然气中压管道安装工程(二次)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SXLC2026-ZC-CS007.1B1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镇安县2025年城市更新5个片区老旧小区改造项目天然气中压管道安装工程(二次)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镇安县2025年城市更新5个片区老旧小区改造项目天然气中压管道安装工程主要内容：管道开挖、回填、道路恢复等土建工程；管道安装及检测等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采购包1（镇安县2025年城市更新5个片区老旧小区改造项目天然气中压管道安装工程）：属于专门面向中小企业采购。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资质及项目负责人要求：供应商须具备市政公用工程施工总承包三级及以上资质、特种设备生产许可证，许可项目：公用管道安装（GB1）和有效的企业安全生产许可证；拟派项目负责人具备市政公用工程专业二级建造师及以上执业资格，具备有效的安全生产考核合格证书，且未担任其他在建工程的项目经理；供应商须在项⽬电⼦化交易系统中按要求提供证明资料并进⾏电⼦签章</w:t>
      </w:r>
    </w:p>
    <w:p>
      <w:pPr>
        <w:pStyle w:val="null3"/>
      </w:pPr>
      <w:r>
        <w:rPr>
          <w:rFonts w:ascii="仿宋_GB2312" w:hAnsi="仿宋_GB2312" w:cs="仿宋_GB2312" w:eastAsia="仿宋_GB2312"/>
        </w:rPr>
        <w:t>3、基本信息要求：投标⼈资质及项⽬经理的基本信息应在“陕西建设⽹ （http://js.shaanxi.gov.cn/）陕西省建筑市场监管与诚信信息发布平台”可查询或在 “陕西省住房和城乡建设厅（http：//js.shaanxi.gov.cn/）”可查询（提供相关⽹站截图）；供应商须在项目电子化交易系统中按要求提供证明资料并进行电子签章</w:t>
      </w:r>
    </w:p>
    <w:p>
      <w:pPr>
        <w:pStyle w:val="null3"/>
      </w:pPr>
      <w:r>
        <w:rPr>
          <w:rFonts w:ascii="仿宋_GB2312" w:hAnsi="仿宋_GB2312" w:cs="仿宋_GB2312" w:eastAsia="仿宋_GB2312"/>
        </w:rPr>
        <w:t>4、税收缴纳记录：提供已缴纳近一年内任意三个月的纳税或完税证明（任意税种）扫描件，依法免税的应提供相关证明。纳税证明或完税证明上应有代收机构或税务机关的公章或业务专用章。（注：①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5、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6、履约能力：供应商应具有履行合同所必需的设备和专业技术能力；供应商须在项⽬电⼦化交易系统中按要求提供证明资料并进⾏电⼦签章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7、无重大违法记录：供应商在参加政府采购活动前3年内，在经营活动中没有重大违法记录；供应商须在项⽬电⼦化交易系统中按要求提供证明资料并进⾏电⼦签章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8、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9、中⼩企业声明函：本项⽬专⻔⾯向中⼩企业采购，需提供中⼩企业声明；供应商须在项⽬电⼦化交易系统中按要求提供证明资料并进⾏电⼦签章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镇安县棚户区改造办公室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镇安县永安路33号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13992451239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镇安县永乐街道办镇城社区后街28号邑品府邸综合办公楼11层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陈泓铭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17386932996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采购包1：1,602,224.86元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开户名称：陕西隆成工程项目管理有限公司</w:t>
            </w:r>
          </w:p>
          <w:p>
            <w:pPr>
              <w:pStyle w:val="null3"/>
            </w:pPr>
            <w:r>
              <w:rPr>
                <w:rFonts w:ascii="仿宋_GB2312" w:hAnsi="仿宋_GB2312" w:cs="仿宋_GB2312" w:eastAsia="仿宋_GB2312"/>
              </w:rPr>
              <w:t>开户银行：陕西镇安农村商业银行股份有限公司营业部</w:t>
            </w:r>
          </w:p>
          <w:p>
            <w:pPr>
              <w:pStyle w:val="null3"/>
            </w:pPr>
            <w:r>
              <w:rPr>
                <w:rFonts w:ascii="仿宋_GB2312" w:hAnsi="仿宋_GB2312" w:cs="仿宋_GB2312" w:eastAsia="仿宋_GB2312"/>
              </w:rPr>
              <w:t>银行账号：2708062801201000093407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镇安县棚户区改造办公室</w:t>
      </w:r>
      <w:r>
        <w:rPr>
          <w:rFonts w:ascii="仿宋_GB2312" w:hAnsi="仿宋_GB2312" w:cs="仿宋_GB2312" w:eastAsia="仿宋_GB2312"/>
        </w:rPr>
        <w:t>和</w:t>
      </w:r>
      <w:r>
        <w:rPr>
          <w:rFonts w:ascii="仿宋_GB2312" w:hAnsi="仿宋_GB2312" w:cs="仿宋_GB2312" w:eastAsia="仿宋_GB2312"/>
        </w:rPr>
        <w:t>陕西隆成工程项目管理有限公司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镇安县棚户区改造办公室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镇安县棚户区改造办公室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发包人提供的图纸、招标文件等资料知识产权归发包人所有，承包人仅可用于本项目施工，未经发包人书面许可不得转借、复制或用于其他项目。 2. 承包人提交的竣工资料、施工成果文件知识产权归发包人所有，发包人享有永久使用权。 3. 承包人施工中所使用专利、新工艺、专有技术产生的一切使用费，均包含在合同价款内；如发生第三方知识产权侵权纠纷，全部责任与损失由承包人承担。 4. 未经发包人书面同意，承包人不得将本项目资料、影像成果用于宣传、展览等其他用途。</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分为商务、技术两部分。商务上承包人全面履行合同及投标承诺，无转包违法分包，工期、计量计价、农民工工资发放等均符合约定；技术上工程实体质量、各项功能性试验达标，竣工资料齐全，达到通气投运条件。全部内容满足要求即为履约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联系人：陈泓铭</w:t>
      </w:r>
    </w:p>
    <w:p>
      <w:pPr>
        <w:pStyle w:val="null3"/>
      </w:pPr>
      <w:r>
        <w:rPr>
          <w:rFonts w:ascii="仿宋_GB2312" w:hAnsi="仿宋_GB2312" w:cs="仿宋_GB2312" w:eastAsia="仿宋_GB2312"/>
        </w:rPr>
        <w:t>联系电话：17386932996</w:t>
      </w:r>
    </w:p>
    <w:p>
      <w:pPr>
        <w:pStyle w:val="null3"/>
      </w:pPr>
      <w:r>
        <w:rPr>
          <w:rFonts w:ascii="仿宋_GB2312" w:hAnsi="仿宋_GB2312" w:cs="仿宋_GB2312" w:eastAsia="仿宋_GB2312"/>
        </w:rPr>
        <w:t>地址：镇安县永乐街道办镇城社区后街28号邑品府邸综合办公楼11层</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1,602,224.86</w:t>
      </w:r>
    </w:p>
    <w:p>
      <w:pPr>
        <w:pStyle w:val="null3"/>
      </w:pPr>
      <w:r>
        <w:rPr>
          <w:rFonts w:ascii="仿宋_GB2312" w:hAnsi="仿宋_GB2312" w:cs="仿宋_GB2312" w:eastAsia="仿宋_GB2312"/>
        </w:rPr>
        <w:t>采购包最高限价（元）: 1,602,224.86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镇安县2025年城市更新5个片区老旧小区改造项目天然气中压管道安装工程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1,602,224.86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标的名称：镇安县2025年城市更新5个片区老旧小区改造项目天然气中压管道安装工程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工期：90日历日；</w:t>
            </w:r>
          </w:p>
          <w:p>
            <w:pPr>
              <w:pStyle w:val="null3"/>
            </w:pPr>
            <w:r>
              <w:rPr>
                <w:rFonts w:ascii="仿宋_GB2312" w:hAnsi="仿宋_GB2312" w:cs="仿宋_GB2312" w:eastAsia="仿宋_GB2312"/>
              </w:rPr>
              <w:t>工程质量：符合国家现行行业规范合格标准，满足设计要求。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供应商针对本项⽬的其他工程施工要求，必须达到国家及⾏业现⾏技术规范标准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领取成交通知书时，向采购代理机构提供⼀正两副纸质投标⽂件及电⼦版1份（签字盖章扫描PDF格式，U盘），需与陕西省政府采购电⼦化系统中响应⽂件内容⼀致。地址：陕西省商洛市镇安县永乐街道办镇城社区后街28号邑品府邸综合办公楼11层； ⼆、供应商的磋商报价是供应商响应磋商项⽬要求的全部⼯作内容的价格体现，包括供应商完成本项⽬所需的直接费、间接费、利润、税⾦及其他相关的⼀切费⽤。包括但不限于：施⼯设备费、⼈⼯费、管理费、材料与设备费、安装费、维护费、保险费、税⾦、利润、政策性规费、⻛险、责任等与本项⽬有关的⼀切费⽤。在提供服务的过程中的任何遗漏，均由成交供应商免费提供，采购⼈将不再⽀付任何费⽤。 三、合格供应商少于3家的处理：1.评审过程中，若出现合格供应商只有2家时，符合《政府采购竞争性磋商采购⽅式管理暂⾏办法》第3条第4项情形的，或者本项⽬为政府购买服务指导性⽬录中的，可以继续进⾏；只有1家时，采购⼈应依法重新组织采购活动。2.评审过程中，除符合第1条规定情形外，若出现合格供应商少于3家时，采购⼈应依法重新组织采购活动。 四、恶意质疑、投诉的法律后果：1.对捏造事实、提供虚假材料进⾏质疑、投诉的⾏为将予以严肃处理：《政府采购质疑和投诉办法》（财政部令第94号）规定，投诉⼈在全国范围内⼗⼆个⽉内三次以上投诉查⽆实据的，由财政部⻔列⼊不良⾏为记录名单。对于捏造事实或提供虚假材料或以⾮法⼿段取得证明材料（证据来源的合法性存在明显疑问，投诉⼈⽆法证明其取得⽅式合法的，视为以⾮法⼿段取得证明材料）进⾏投诉的，属于虚假、恶意投诉，由财政部⻔列⼊不良⾏为记录名单，并禁⽌其⼀⾄三年内参加政府采购活动。2.对捏造事实诬告陷害他⼈、诽谤他⼈的法律适⽤：（1）《中华⼈⺠共和国刑法》第243条【诬告陷害罪】捏造事实诬告陷害他⼈，意图使他⼈受刑事追究，情节严重的，处三年以下有期徒刑、拘役或者管制；造成严重后果的，处三年以上⼗年以下有期徒刑。（2）《中华⼈⺠共和国刑法》 第246条【侮辱罪、诽谤罪】以暴⼒或者其他⽅法公然侮辱他⼈或者捏造事实诽谤他⼈，情节严重的，处三年以下有期徒刑、 拘役、管制或者剥夺政治权利。 五、关于采购⽂件⼀次报价出现下列情况的，不需要供应商澄清，按以下原则处理：1.报价中的⼤写⾦额和⼩写⾦额不⼀致的，以⼤写⾦额为准，但⼤写⾦额出现⽂字错误，导致⾦额⽆法判断的除外；2.单价⾦额⼩数点或者百分⽐有明显错位的，应以总价为准，并修改单价；3.总价⾦额与按单价汇总⾦额不⼀致的，以单价汇总⾦额计算结果 为准。同时出现两种以上不⼀致的，按照前款规定的顺序修正。修正后的报价经加盖供应商（法定名称）电⼦印章后产⽣约束⼒，供应商不确认的，其报价⽆效。 六、最终报价如出现异常低价，执⾏财库〔2026〕2号《关于推动解决政府采购异常低价问题的通知》，磋商⼩组可在最后报价审查表中审核是否通过审查。 七、本项⽬需要落实的政府采购政策：需落实的政府采购政策：（1）《财政部司法部关于政府采购支持监狱企业发展有关问题的通知》（财库[2014]68号）；（2）《关于政府采购优先购买福利性企业产品和服务的意见》（陕民发（2015）1号）；（3）《财政部关于在政府采购活动中查询及使用信用记录有关问题的通知》（财库〔2016〕125号）；（4） 《三部门联合发布关于促进残疾人就业政府采购政策的通知》（财库[2017]141号）；（5）《陕西省中小企业政府采购信用融资办法》（陕财办采[2018]23号）；（6）《财政部发展改革委生态环境部市场监管总局关于调整优化节能产品、环境标志产品政府采购执行机制的通知》（财库[2019]9号）；（7）《政府采购促进中小企业发展管理办法》的通知（财库[2020]46号）；（8）《财政部 农业农村部 国家乡村振兴局关于运用政府采购政策支持乡村产业振兴的通知》（财库〔2021〕19 号）；（9）《财政部关于进一步加大政府采购支持中小企业力度的通知》（财库[2022]19号)；（10）其他需要落实的政府采购政策。 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资质及项目负责人要求</w:t>
            </w:r>
          </w:p>
        </w:tc>
        <w:tc>
          <w:tcPr>
            <w:tcW w:type="dxa" w:w="3322"/>
          </w:tcPr>
          <w:p>
            <w:pPr>
              <w:pStyle w:val="null3"/>
            </w:pPr>
            <w:r>
              <w:rPr>
                <w:rFonts w:ascii="仿宋_GB2312" w:hAnsi="仿宋_GB2312" w:cs="仿宋_GB2312" w:eastAsia="仿宋_GB2312"/>
              </w:rPr>
              <w:t>供应商须具备市政公用工程施工总承包三级及以上资质、特种设备生产许可证，许可项目：公用管道安装（GB1）和有效的企业安全生产许可证；拟派项目负责人具备市政公用工程专业二级建造师及以上执业资格，具备有效的安全生产考核合格证书，且未担任其他在建工程的项目经理；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投标⼈资质及项⽬经理的基本信息应在“陕西建设⽹ （http://js.shaanxi.gov.cn/）陕西省建筑市场监管与诚信信息发布平台”可查询或在 “陕西省住房和城乡建设厅（http：//js.shaanxi.gov.cn/）”可查询（提供相关⽹站截图）；供应商须在项目电子化交易系统中按要求提供证明资料并进行电子签章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不得提交选择性报价，且磋商报价不超过采购预算金额或最高限价。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确保工程质量技术组织措施</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确保安全生产技术措施</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确保文明施工技术组织措施</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确保环境保护技术组织措施</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确保工期技术组织措施</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施工重难点分析及专项应对方案</w:t>
            </w:r>
          </w:p>
        </w:tc>
        <w:tc>
          <w:tcPr>
            <w:tcW w:type="dxa" w:w="2492"/>
          </w:tcPr>
          <w:p>
            <w:pPr>
              <w:pStyle w:val="null3"/>
            </w:pPr>
            <w:r>
              <w:rPr>
                <w:rFonts w:ascii="仿宋_GB2312" w:hAnsi="仿宋_GB2312" w:cs="仿宋_GB2312" w:eastAsia="仿宋_GB2312"/>
              </w:rPr>
              <w:t>完整性：方案架构齐全，各项内容叙述完整、资料详实（1分） 可实施性：匹配施工现场实际条件，作业流程、管理流程清晰可落地（1分） 针对性：结合本工程地质、规模、施工工艺等独有特征编制，适配性强（1分） 过程管控举措：设置全过程管控节点、管理要求、查验方式，具备常态化管控手段，非空洞模板文字（1分) 未提供对应章节本项不得分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提供1份得2分，最高得10分。 注：项目业绩指2023年09月08日及以后类似项目业绩，以合同签订时间为准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小组将在满足采购需求前提下，要求供应商在规定的时间内提交报价。如果磋商小组认为必要时，将进行多轮报价。供应商最后提交的报价将作为磋商响应报价计分的依据。为保护采购当事人合法权益，促进充分竞争，结合市场价及项目实际情况等因素预算出最高限价。采购人最后磋商响应报价不得超过最高限价，否则将被取消参与磋商资格，不能成为成交候选人。 磋商响应报价分值计算： 满足磋商文件要求且最后报价最低的供应商的价格为磋商基准价，其价格分为满分。其他供应商的价格分统一按照下列公式计算：磋商报价得分=（磋商基准价/最后磋商报价）×50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