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版本号：ZD0526-009ZGX20260601001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2026年度兴隆街道城市道路保洁、绿化养护及公厕管理服务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ZD0526-009ZGX</w:t>
      </w:r>
      <w:r>
        <w:br/>
      </w:r>
      <w:r>
        <w:br/>
      </w:r>
      <w:r>
        <w:br/>
      </w:r>
    </w:p>
    <w:p>
      <w:pPr>
        <w:pStyle w:val="null3"/>
        <w:jc w:val="center"/>
        <w:outlineLvl w:val="2"/>
      </w:pPr>
      <w:r>
        <w:rPr>
          <w:rFonts w:ascii="仿宋_GB2312" w:hAnsi="仿宋_GB2312" w:cs="仿宋_GB2312" w:eastAsia="仿宋_GB2312"/>
          <w:sz w:val="28"/>
          <w:b/>
        </w:rPr>
        <w:t>西安市长安区兴隆街道办事处</w:t>
      </w:r>
    </w:p>
    <w:p>
      <w:pPr>
        <w:pStyle w:val="null3"/>
        <w:jc w:val="center"/>
        <w:outlineLvl w:val="2"/>
      </w:pPr>
      <w:r>
        <w:rPr>
          <w:rFonts w:ascii="仿宋_GB2312" w:hAnsi="仿宋_GB2312" w:cs="仿宋_GB2312" w:eastAsia="仿宋_GB2312"/>
          <w:sz w:val="28"/>
          <w:b/>
        </w:rPr>
        <w:t>正大方略工程咨询有限公司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正大方略工程咨询有限公司</w:t>
      </w:r>
      <w:r>
        <w:rPr>
          <w:rFonts w:ascii="仿宋_GB2312" w:hAnsi="仿宋_GB2312" w:cs="仿宋_GB2312" w:eastAsia="仿宋_GB2312"/>
        </w:rPr>
        <w:t>（以下简称“代理机构”）受</w:t>
      </w:r>
      <w:r>
        <w:rPr>
          <w:rFonts w:ascii="仿宋_GB2312" w:hAnsi="仿宋_GB2312" w:cs="仿宋_GB2312" w:eastAsia="仿宋_GB2312"/>
        </w:rPr>
        <w:t>西安市长安区兴隆街道办事处</w:t>
      </w:r>
      <w:r>
        <w:rPr>
          <w:rFonts w:ascii="仿宋_GB2312" w:hAnsi="仿宋_GB2312" w:cs="仿宋_GB2312" w:eastAsia="仿宋_GB2312"/>
        </w:rPr>
        <w:t>委托，拟对</w:t>
      </w:r>
      <w:r>
        <w:rPr>
          <w:rFonts w:ascii="仿宋_GB2312" w:hAnsi="仿宋_GB2312" w:cs="仿宋_GB2312" w:eastAsia="仿宋_GB2312"/>
        </w:rPr>
        <w:t>2026年度兴隆街道城市道路保洁、绿化养护及公厕管理服务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ZD0526-009ZGX</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2026年度兴隆街道城市道路保洁、绿化养护及公厕管理服务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兴隆街办辖区共计81条清扫保洁道路，总面积3283399.36㎡；71条绿化养护道路，总面积1030053.21㎡；公厕41座。</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西安市长安区兴隆街道办事处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西安市高新区兴隆街道办事处（原三星拆迁指挥部）</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张卫有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029-81130800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正大方略工程咨询有限公司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陕西省西安市雁塔区南二环东段22号凯森盛世1号A座27层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唐一萌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029-89181345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丁丽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采购包1：16,466,676.24元</w:t>
            </w:r>
          </w:p>
          <w:p>
            <w:pPr>
              <w:pStyle w:val="null3"/>
            </w:pPr>
            <w:r>
              <w:rPr>
                <w:rFonts w:ascii="仿宋_GB2312" w:hAnsi="仿宋_GB2312" w:cs="仿宋_GB2312" w:eastAsia="仿宋_GB2312"/>
              </w:rPr>
              <w:t>采购包2：10,079,200.09元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代理服务费收费标准：根据《招标代理服务收费管理暂行办法》（计价格[2002]1980号）以及《关于进一步放开建设项目专项业务服务价格的通知》（发改价格[2015]299号）规定的标准收取。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西安市长安区兴隆街道办事处</w:t>
      </w:r>
      <w:r>
        <w:rPr>
          <w:rFonts w:ascii="仿宋_GB2312" w:hAnsi="仿宋_GB2312" w:cs="仿宋_GB2312" w:eastAsia="仿宋_GB2312"/>
        </w:rPr>
        <w:t>和</w:t>
      </w:r>
      <w:r>
        <w:rPr>
          <w:rFonts w:ascii="仿宋_GB2312" w:hAnsi="仿宋_GB2312" w:cs="仿宋_GB2312" w:eastAsia="仿宋_GB2312"/>
        </w:rPr>
        <w:t>正大方略工程咨询有限公司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西安市长安区兴隆街道办事处</w:t>
      </w:r>
      <w:r>
        <w:rPr>
          <w:rFonts w:ascii="仿宋_GB2312" w:hAnsi="仿宋_GB2312" w:cs="仿宋_GB2312" w:eastAsia="仿宋_GB2312"/>
        </w:rPr>
        <w:t>负责解释。除上述招标文件内容，其他内容由</w:t>
      </w:r>
      <w:r>
        <w:rPr>
          <w:rFonts w:ascii="仿宋_GB2312" w:hAnsi="仿宋_GB2312" w:cs="仿宋_GB2312" w:eastAsia="仿宋_GB2312"/>
        </w:rPr>
        <w:t>正大方略工程咨询有限公司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西安市长安区兴隆街道办事处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正大方略工程咨询有限公司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符合相关验收法律规范和甲方验收标准要求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符合相关验收法律规范和甲方验收标准要求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联系人：唐一萌</w:t>
      </w:r>
    </w:p>
    <w:p>
      <w:pPr>
        <w:pStyle w:val="null3"/>
      </w:pPr>
      <w:r>
        <w:rPr>
          <w:rFonts w:ascii="仿宋_GB2312" w:hAnsi="仿宋_GB2312" w:cs="仿宋_GB2312" w:eastAsia="仿宋_GB2312"/>
        </w:rPr>
        <w:t>联系电话：029-89181345</w:t>
      </w:r>
    </w:p>
    <w:p>
      <w:pPr>
        <w:pStyle w:val="null3"/>
      </w:pPr>
      <w:r>
        <w:rPr>
          <w:rFonts w:ascii="仿宋_GB2312" w:hAnsi="仿宋_GB2312" w:cs="仿宋_GB2312" w:eastAsia="仿宋_GB2312"/>
        </w:rPr>
        <w:t>地址：陕西省西安市雁塔区南二环东段22号凯森盛世1号A座27层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兴隆街办辖区共计81条清扫保洁道路，总面积3283399.36㎡；71条绿化养护道路，总面积1030053.21㎡；公厕41座。</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16,466,676.24</w:t>
      </w:r>
    </w:p>
    <w:p>
      <w:pPr>
        <w:pStyle w:val="null3"/>
      </w:pPr>
      <w:r>
        <w:rPr>
          <w:rFonts w:ascii="仿宋_GB2312" w:hAnsi="仿宋_GB2312" w:cs="仿宋_GB2312" w:eastAsia="仿宋_GB2312"/>
        </w:rPr>
        <w:t>采购包最高限价（元）: 16,466,676.24</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城市道路保洁绿化养护及公厕管理服务（一标段）</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16,466,676.24</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10,079,200.09</w:t>
      </w:r>
    </w:p>
    <w:p>
      <w:pPr>
        <w:pStyle w:val="null3"/>
      </w:pPr>
      <w:r>
        <w:rPr>
          <w:rFonts w:ascii="仿宋_GB2312" w:hAnsi="仿宋_GB2312" w:cs="仿宋_GB2312" w:eastAsia="仿宋_GB2312"/>
        </w:rPr>
        <w:t>采购包最高限价（元）: 10,079,200.09</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城市道路保洁绿化养护及公厕管理服务（二标段）</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10,079,200.09</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标的名称：城市道路保洁绿化养护及公厕管理服务（一标段）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一、服务内容</w:t>
            </w:r>
            <w:r>
              <w:br/>
            </w:r>
            <w:r>
              <w:rPr>
                <w:rFonts w:ascii="仿宋_GB2312" w:hAnsi="仿宋_GB2312" w:cs="仿宋_GB2312" w:eastAsia="仿宋_GB2312"/>
              </w:rPr>
              <w:t xml:space="preserve"> （一）保洁服务内容</w:t>
            </w:r>
            <w:r>
              <w:br/>
            </w:r>
            <w:r>
              <w:rPr>
                <w:rFonts w:ascii="仿宋_GB2312" w:hAnsi="仿宋_GB2312" w:cs="仿宋_GB2312" w:eastAsia="仿宋_GB2312"/>
              </w:rPr>
              <w:t xml:space="preserve"> 1、甲方需提供环卫作业车辆（洒水车）供乙方使用，使用期间一切运营费用由乙方承担。乙方需提供市容环卫作业车辆（其中清洗车辆，洗扫车辆）；垃圾车辆，使用期间一切运营费用由乙方承担。</w:t>
            </w:r>
            <w:r>
              <w:br/>
            </w:r>
            <w:r>
              <w:rPr>
                <w:rFonts w:ascii="仿宋_GB2312" w:hAnsi="仿宋_GB2312" w:cs="仿宋_GB2312" w:eastAsia="仿宋_GB2312"/>
              </w:rPr>
              <w:t xml:space="preserve"> 2、承包区域内所有市政道路红线内（含人行道、快慢行车道、绿化带等）的清扫、保洁、洒水、冲洗及清扫保洁产生垃圾的收集清运工作（含大件垃圾清运，除建筑垃圾外）。</w:t>
            </w:r>
            <w:r>
              <w:br/>
            </w:r>
            <w:r>
              <w:rPr>
                <w:rFonts w:ascii="仿宋_GB2312" w:hAnsi="仿宋_GB2312" w:cs="仿宋_GB2312" w:eastAsia="仿宋_GB2312"/>
              </w:rPr>
              <w:t xml:space="preserve"> 3、承包区域可视范围内的道路隔车带、公共绿地、树坑的环卫保洁、垃圾收集及野广告清理工作。</w:t>
            </w:r>
            <w:r>
              <w:br/>
            </w:r>
            <w:r>
              <w:rPr>
                <w:rFonts w:ascii="仿宋_GB2312" w:hAnsi="仿宋_GB2312" w:cs="仿宋_GB2312" w:eastAsia="仿宋_GB2312"/>
              </w:rPr>
              <w:t xml:space="preserve"> 4、承包区域内果皮箱、保洁工具箱、灭烟柱的保洁清洗及周边垃圾收集，道路可视范围内另行散落生活垃圾的手机，路牌、灯杆等市政设施的保洁、野广告清除等工作。</w:t>
            </w:r>
            <w:r>
              <w:br/>
            </w:r>
            <w:r>
              <w:rPr>
                <w:rFonts w:ascii="仿宋_GB2312" w:hAnsi="仿宋_GB2312" w:cs="仿宋_GB2312" w:eastAsia="仿宋_GB2312"/>
              </w:rPr>
              <w:t xml:space="preserve"> 5、区域内冬季清雪除冰及后续清运处理工作。</w:t>
            </w:r>
            <w:r>
              <w:br/>
            </w:r>
            <w:r>
              <w:rPr>
                <w:rFonts w:ascii="仿宋_GB2312" w:hAnsi="仿宋_GB2312" w:cs="仿宋_GB2312" w:eastAsia="仿宋_GB2312"/>
              </w:rPr>
              <w:t xml:space="preserve"> 6、清除因不可抗力造成的垃圾抛洒、暴雨洪水造成的积水垃等（包括交通事故）。</w:t>
            </w:r>
            <w:r>
              <w:br/>
            </w:r>
            <w:r>
              <w:rPr>
                <w:rFonts w:ascii="仿宋_GB2312" w:hAnsi="仿宋_GB2312" w:cs="仿宋_GB2312" w:eastAsia="仿宋_GB2312"/>
              </w:rPr>
              <w:t xml:space="preserve"> 7、贯彻落实高新区精细化管理，大气污染治理等工作要求。</w:t>
            </w:r>
            <w:r>
              <w:br/>
            </w:r>
            <w:r>
              <w:rPr>
                <w:rFonts w:ascii="仿宋_GB2312" w:hAnsi="仿宋_GB2312" w:cs="仿宋_GB2312" w:eastAsia="仿宋_GB2312"/>
              </w:rPr>
              <w:t xml:space="preserve"> 8、所有渠道投诉处理。</w:t>
            </w:r>
            <w:r>
              <w:br/>
            </w:r>
            <w:r>
              <w:rPr>
                <w:rFonts w:ascii="仿宋_GB2312" w:hAnsi="仿宋_GB2312" w:cs="仿宋_GB2312" w:eastAsia="仿宋_GB2312"/>
              </w:rPr>
              <w:t xml:space="preserve"> 9、甲方安排的其他工作。</w:t>
            </w:r>
            <w:r>
              <w:br/>
            </w:r>
            <w:r>
              <w:rPr>
                <w:rFonts w:ascii="仿宋_GB2312" w:hAnsi="仿宋_GB2312" w:cs="仿宋_GB2312" w:eastAsia="仿宋_GB2312"/>
              </w:rPr>
              <w:t xml:space="preserve"> （二）公厕服务内容</w:t>
            </w:r>
            <w:r>
              <w:br/>
            </w:r>
            <w:r>
              <w:rPr>
                <w:rFonts w:ascii="仿宋_GB2312" w:hAnsi="仿宋_GB2312" w:cs="仿宋_GB2312" w:eastAsia="仿宋_GB2312"/>
              </w:rPr>
              <w:t xml:space="preserve"> 1、辖区内41座公共卫生间的管理工作，包含看护、保洁、小型维修养护、清污、水电费缴纳等。</w:t>
            </w:r>
            <w:r>
              <w:br/>
            </w:r>
            <w:r>
              <w:rPr>
                <w:rFonts w:ascii="仿宋_GB2312" w:hAnsi="仿宋_GB2312" w:cs="仿宋_GB2312" w:eastAsia="仿宋_GB2312"/>
              </w:rPr>
              <w:t xml:space="preserve"> 2、所有渠道投诉处理。</w:t>
            </w:r>
            <w:r>
              <w:br/>
            </w:r>
            <w:r>
              <w:rPr>
                <w:rFonts w:ascii="仿宋_GB2312" w:hAnsi="仿宋_GB2312" w:cs="仿宋_GB2312" w:eastAsia="仿宋_GB2312"/>
              </w:rPr>
              <w:t xml:space="preserve"> 3、贯彻落实高新区公厕保洁等相关工作要求。</w:t>
            </w:r>
            <w:r>
              <w:br/>
            </w:r>
            <w:r>
              <w:rPr>
                <w:rFonts w:ascii="仿宋_GB2312" w:hAnsi="仿宋_GB2312" w:cs="仿宋_GB2312" w:eastAsia="仿宋_GB2312"/>
              </w:rPr>
              <w:t xml:space="preserve"> 4、甲方安排的其它工作。</w:t>
            </w:r>
            <w:r>
              <w:br/>
            </w:r>
            <w:r>
              <w:rPr>
                <w:rFonts w:ascii="仿宋_GB2312" w:hAnsi="仿宋_GB2312" w:cs="仿宋_GB2312" w:eastAsia="仿宋_GB2312"/>
              </w:rPr>
              <w:t xml:space="preserve"> （三）绿化服务内容</w:t>
            </w:r>
            <w:r>
              <w:br/>
            </w:r>
            <w:r>
              <w:rPr>
                <w:rFonts w:ascii="仿宋_GB2312" w:hAnsi="仿宋_GB2312" w:cs="仿宋_GB2312" w:eastAsia="仿宋_GB2312"/>
              </w:rPr>
              <w:t xml:space="preserve"> 1、承包区域内浇水、施肥、修剪、整形、除杂草、苗木补植、病虫害防治、病媒防治、松土、高台土清理（按照规定落土低于稻芽10cm）、绿地植物冲洗、绿地清掏（冲洗清掏符合治污减霾要求）及保洁、绿化养护作业产生的垃圾清理。</w:t>
            </w:r>
            <w:r>
              <w:br/>
            </w:r>
            <w:r>
              <w:rPr>
                <w:rFonts w:ascii="仿宋_GB2312" w:hAnsi="仿宋_GB2312" w:cs="仿宋_GB2312" w:eastAsia="仿宋_GB2312"/>
              </w:rPr>
              <w:t xml:space="preserve"> 2、承包区域内公共设施的维护与保养。</w:t>
            </w:r>
            <w:r>
              <w:br/>
            </w:r>
            <w:r>
              <w:rPr>
                <w:rFonts w:ascii="仿宋_GB2312" w:hAnsi="仿宋_GB2312" w:cs="仿宋_GB2312" w:eastAsia="仿宋_GB2312"/>
              </w:rPr>
              <w:t xml:space="preserve"> 3、精细化管理、大气污染、病媒防治、投诉、12345市民热线投诉的处理等。</w:t>
            </w:r>
            <w:r>
              <w:br/>
            </w:r>
            <w:r>
              <w:rPr>
                <w:rFonts w:ascii="仿宋_GB2312" w:hAnsi="仿宋_GB2312" w:cs="仿宋_GB2312" w:eastAsia="仿宋_GB2312"/>
              </w:rPr>
              <w:t xml:space="preserve"> 4、采取相应养护措施维护现有绿化苗木长势良好，并保障区域内道路绿化区域不出现缺株断垄、死苗留置、黄土裸露等现象。</w:t>
            </w:r>
            <w:r>
              <w:br/>
            </w:r>
            <w:r>
              <w:rPr>
                <w:rFonts w:ascii="仿宋_GB2312" w:hAnsi="仿宋_GB2312" w:cs="仿宋_GB2312" w:eastAsia="仿宋_GB2312"/>
              </w:rPr>
              <w:t xml:space="preserve"> 5、冬季清除积雪积冰工作，夏季抗旱防汛工作，冬季落叶清掏、落土、修剪、冬灌工作。</w:t>
            </w:r>
            <w:r>
              <w:br/>
            </w:r>
            <w:r>
              <w:rPr>
                <w:rFonts w:ascii="仿宋_GB2312" w:hAnsi="仿宋_GB2312" w:cs="仿宋_GB2312" w:eastAsia="仿宋_GB2312"/>
              </w:rPr>
              <w:t xml:space="preserve"> 6、清除整理因不可抗力造成的倒树、断枝、垃圾抛洒、暴雨洪水造成的积水垃圾等（包括交通事故）。</w:t>
            </w:r>
            <w:r>
              <w:br/>
            </w:r>
            <w:r>
              <w:rPr>
                <w:rFonts w:ascii="仿宋_GB2312" w:hAnsi="仿宋_GB2312" w:cs="仿宋_GB2312" w:eastAsia="仿宋_GB2312"/>
              </w:rPr>
              <w:t xml:space="preserve"> 7、甲方安排的其它工作。</w:t>
            </w:r>
          </w:p>
          <w:p>
            <w:pPr>
              <w:pStyle w:val="null3"/>
            </w:pPr>
            <w:r>
              <w:rPr>
                <w:rFonts w:ascii="仿宋_GB2312" w:hAnsi="仿宋_GB2312" w:cs="仿宋_GB2312" w:eastAsia="仿宋_GB2312"/>
                <w:b/>
              </w:rPr>
              <w:t>各标段划分详见附件“2026清扫保洁道路明细”、“2026年公厕明细”、“2026绿化养护道路明细”</w:t>
            </w:r>
          </w:p>
          <w:p>
            <w:pPr>
              <w:pStyle w:val="null3"/>
            </w:pPr>
            <w:r>
              <w:rPr>
                <w:rFonts w:ascii="仿宋_GB2312" w:hAnsi="仿宋_GB2312" w:cs="仿宋_GB2312" w:eastAsia="仿宋_GB2312"/>
              </w:rPr>
              <w:t>二、服务期限：365天</w:t>
            </w:r>
          </w:p>
          <w:p>
            <w:pPr>
              <w:pStyle w:val="null3"/>
            </w:pPr>
            <w:r>
              <w:rPr>
                <w:rFonts w:ascii="仿宋_GB2312" w:hAnsi="仿宋_GB2312" w:cs="仿宋_GB2312" w:eastAsia="仿宋_GB2312"/>
              </w:rPr>
              <w:t>三、服务质量：符合相关验收法律规范和甲方验收标准要求</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标的名称：城市道路保洁绿化养护及公厕管理服务（二标段）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一、服务内容</w:t>
            </w:r>
            <w:r>
              <w:br/>
            </w:r>
            <w:r>
              <w:rPr>
                <w:rFonts w:ascii="仿宋_GB2312" w:hAnsi="仿宋_GB2312" w:cs="仿宋_GB2312" w:eastAsia="仿宋_GB2312"/>
              </w:rPr>
              <w:t xml:space="preserve"> （一）保洁服务内容</w:t>
            </w:r>
            <w:r>
              <w:br/>
            </w:r>
            <w:r>
              <w:rPr>
                <w:rFonts w:ascii="仿宋_GB2312" w:hAnsi="仿宋_GB2312" w:cs="仿宋_GB2312" w:eastAsia="仿宋_GB2312"/>
              </w:rPr>
              <w:t xml:space="preserve"> 1、甲方需提供环卫作业车辆（洒水车）供乙方使用，使用期间一切运营费用由乙方承担。乙方需提供市容环卫作业车辆（其中清洗车辆，洗扫车辆）；垃圾车辆，使用期间一切运营费用由乙方承担。</w:t>
            </w:r>
            <w:r>
              <w:br/>
            </w:r>
            <w:r>
              <w:rPr>
                <w:rFonts w:ascii="仿宋_GB2312" w:hAnsi="仿宋_GB2312" w:cs="仿宋_GB2312" w:eastAsia="仿宋_GB2312"/>
              </w:rPr>
              <w:t xml:space="preserve"> 2、承包区域内所有市政道路红线内（含人行道、快慢行车道、绿化带等）的清扫、保洁、洒水、冲洗及清扫保洁产生垃圾的收集清运工作（含大件垃圾清运，除建筑垃圾外）。</w:t>
            </w:r>
            <w:r>
              <w:br/>
            </w:r>
            <w:r>
              <w:rPr>
                <w:rFonts w:ascii="仿宋_GB2312" w:hAnsi="仿宋_GB2312" w:cs="仿宋_GB2312" w:eastAsia="仿宋_GB2312"/>
              </w:rPr>
              <w:t xml:space="preserve"> 3、承包区域可视范围内的道路隔车带、公共绿地、树坑的环卫保洁、垃圾收集及野广告清理工作。</w:t>
            </w:r>
            <w:r>
              <w:br/>
            </w:r>
            <w:r>
              <w:rPr>
                <w:rFonts w:ascii="仿宋_GB2312" w:hAnsi="仿宋_GB2312" w:cs="仿宋_GB2312" w:eastAsia="仿宋_GB2312"/>
              </w:rPr>
              <w:t xml:space="preserve"> 4、承包区域内果皮箱、保洁工具箱、灭烟柱的保洁清洗及周边垃圾收集，道路可视范围内另行散落生活垃圾的手机，路牌、灯杆等市政设施的保洁、野广告清除等工作。</w:t>
            </w:r>
            <w:r>
              <w:br/>
            </w:r>
            <w:r>
              <w:rPr>
                <w:rFonts w:ascii="仿宋_GB2312" w:hAnsi="仿宋_GB2312" w:cs="仿宋_GB2312" w:eastAsia="仿宋_GB2312"/>
              </w:rPr>
              <w:t xml:space="preserve"> 5、区域内冬季清雪除冰及后续清运处理工作。</w:t>
            </w:r>
            <w:r>
              <w:br/>
            </w:r>
            <w:r>
              <w:rPr>
                <w:rFonts w:ascii="仿宋_GB2312" w:hAnsi="仿宋_GB2312" w:cs="仿宋_GB2312" w:eastAsia="仿宋_GB2312"/>
              </w:rPr>
              <w:t xml:space="preserve"> 6、清除因不可抗力造成的垃圾抛洒、暴雨洪水造成的积水垃等（包括交通事故）。</w:t>
            </w:r>
            <w:r>
              <w:br/>
            </w:r>
            <w:r>
              <w:rPr>
                <w:rFonts w:ascii="仿宋_GB2312" w:hAnsi="仿宋_GB2312" w:cs="仿宋_GB2312" w:eastAsia="仿宋_GB2312"/>
              </w:rPr>
              <w:t xml:space="preserve"> 7、贯彻落实高新区精细化管理，大气污染治理等工作要求。</w:t>
            </w:r>
            <w:r>
              <w:br/>
            </w:r>
            <w:r>
              <w:rPr>
                <w:rFonts w:ascii="仿宋_GB2312" w:hAnsi="仿宋_GB2312" w:cs="仿宋_GB2312" w:eastAsia="仿宋_GB2312"/>
              </w:rPr>
              <w:t xml:space="preserve"> 8、所有渠道投诉处理。</w:t>
            </w:r>
            <w:r>
              <w:br/>
            </w:r>
            <w:r>
              <w:rPr>
                <w:rFonts w:ascii="仿宋_GB2312" w:hAnsi="仿宋_GB2312" w:cs="仿宋_GB2312" w:eastAsia="仿宋_GB2312"/>
              </w:rPr>
              <w:t xml:space="preserve"> 9、甲方安排的其他工作。</w:t>
            </w:r>
            <w:r>
              <w:br/>
            </w:r>
            <w:r>
              <w:rPr>
                <w:rFonts w:ascii="仿宋_GB2312" w:hAnsi="仿宋_GB2312" w:cs="仿宋_GB2312" w:eastAsia="仿宋_GB2312"/>
              </w:rPr>
              <w:t xml:space="preserve"> （二）公厕服务内容</w:t>
            </w:r>
            <w:r>
              <w:br/>
            </w:r>
            <w:r>
              <w:rPr>
                <w:rFonts w:ascii="仿宋_GB2312" w:hAnsi="仿宋_GB2312" w:cs="仿宋_GB2312" w:eastAsia="仿宋_GB2312"/>
              </w:rPr>
              <w:t xml:space="preserve"> 1、辖区内41座公共卫生间的管理工作，包含看护、保洁、小型维修养护、清污、水电费缴纳等。</w:t>
            </w:r>
            <w:r>
              <w:br/>
            </w:r>
            <w:r>
              <w:rPr>
                <w:rFonts w:ascii="仿宋_GB2312" w:hAnsi="仿宋_GB2312" w:cs="仿宋_GB2312" w:eastAsia="仿宋_GB2312"/>
              </w:rPr>
              <w:t xml:space="preserve"> 2、所有渠道投诉处理。</w:t>
            </w:r>
            <w:r>
              <w:br/>
            </w:r>
            <w:r>
              <w:rPr>
                <w:rFonts w:ascii="仿宋_GB2312" w:hAnsi="仿宋_GB2312" w:cs="仿宋_GB2312" w:eastAsia="仿宋_GB2312"/>
              </w:rPr>
              <w:t xml:space="preserve"> 3、贯彻落实高新区公厕保洁等相关工作要求。</w:t>
            </w:r>
            <w:r>
              <w:br/>
            </w:r>
            <w:r>
              <w:rPr>
                <w:rFonts w:ascii="仿宋_GB2312" w:hAnsi="仿宋_GB2312" w:cs="仿宋_GB2312" w:eastAsia="仿宋_GB2312"/>
              </w:rPr>
              <w:t xml:space="preserve"> 4、甲方安排的其它工作。</w:t>
            </w:r>
            <w:r>
              <w:br/>
            </w:r>
            <w:r>
              <w:rPr>
                <w:rFonts w:ascii="仿宋_GB2312" w:hAnsi="仿宋_GB2312" w:cs="仿宋_GB2312" w:eastAsia="仿宋_GB2312"/>
              </w:rPr>
              <w:t xml:space="preserve"> （三）绿化服务内容</w:t>
            </w:r>
            <w:r>
              <w:br/>
            </w:r>
            <w:r>
              <w:rPr>
                <w:rFonts w:ascii="仿宋_GB2312" w:hAnsi="仿宋_GB2312" w:cs="仿宋_GB2312" w:eastAsia="仿宋_GB2312"/>
              </w:rPr>
              <w:t xml:space="preserve"> 1、承包区域内浇水、施肥、修剪、整形、除杂草、苗木补植、病虫害防治、病媒防治、松土、高台土清理（按照规定落土低于稻芽10cm）、绿地植物冲洗、绿地清掏（冲洗清掏符合治污减霾要求）及保洁、绿化养护作业产生的垃圾清理。</w:t>
            </w:r>
            <w:r>
              <w:br/>
            </w:r>
            <w:r>
              <w:rPr>
                <w:rFonts w:ascii="仿宋_GB2312" w:hAnsi="仿宋_GB2312" w:cs="仿宋_GB2312" w:eastAsia="仿宋_GB2312"/>
              </w:rPr>
              <w:t xml:space="preserve"> 2、承包区域内公共设施的维护与保养。</w:t>
            </w:r>
            <w:r>
              <w:br/>
            </w:r>
            <w:r>
              <w:rPr>
                <w:rFonts w:ascii="仿宋_GB2312" w:hAnsi="仿宋_GB2312" w:cs="仿宋_GB2312" w:eastAsia="仿宋_GB2312"/>
              </w:rPr>
              <w:t xml:space="preserve"> 3、精细化管理、大气污染、病媒防治、投诉、12345市民热线投诉的处理等。</w:t>
            </w:r>
            <w:r>
              <w:br/>
            </w:r>
            <w:r>
              <w:rPr>
                <w:rFonts w:ascii="仿宋_GB2312" w:hAnsi="仿宋_GB2312" w:cs="仿宋_GB2312" w:eastAsia="仿宋_GB2312"/>
              </w:rPr>
              <w:t xml:space="preserve"> 4、采取相应养护措施维护现有绿化苗木长势良好，并保障区域内道路绿化区域不出现缺株断垄、死苗留置、黄土裸露等现象。</w:t>
            </w:r>
            <w:r>
              <w:br/>
            </w:r>
            <w:r>
              <w:rPr>
                <w:rFonts w:ascii="仿宋_GB2312" w:hAnsi="仿宋_GB2312" w:cs="仿宋_GB2312" w:eastAsia="仿宋_GB2312"/>
              </w:rPr>
              <w:t xml:space="preserve"> 5、冬季清除积雪积冰工作，夏季抗旱防汛工作，冬季落叶清掏、落土、修剪、冬灌工作。</w:t>
            </w:r>
            <w:r>
              <w:br/>
            </w:r>
            <w:r>
              <w:rPr>
                <w:rFonts w:ascii="仿宋_GB2312" w:hAnsi="仿宋_GB2312" w:cs="仿宋_GB2312" w:eastAsia="仿宋_GB2312"/>
              </w:rPr>
              <w:t xml:space="preserve"> 6、清除整理因不可抗力造成的倒树、断枝、垃圾抛洒、暴雨洪水造成的积水垃圾等（包括交通事故）。</w:t>
            </w:r>
            <w:r>
              <w:br/>
            </w:r>
            <w:r>
              <w:rPr>
                <w:rFonts w:ascii="仿宋_GB2312" w:hAnsi="仿宋_GB2312" w:cs="仿宋_GB2312" w:eastAsia="仿宋_GB2312"/>
              </w:rPr>
              <w:t xml:space="preserve"> 7、甲方安排的其它工作。</w:t>
            </w:r>
          </w:p>
          <w:p>
            <w:pPr>
              <w:pStyle w:val="null3"/>
            </w:pPr>
            <w:r>
              <w:rPr>
                <w:rFonts w:ascii="仿宋_GB2312" w:hAnsi="仿宋_GB2312" w:cs="仿宋_GB2312" w:eastAsia="仿宋_GB2312"/>
                <w:b/>
              </w:rPr>
              <w:t>各标段划分详见附件“2026清扫保洁道路明细”、“2026年公厕明细”、“2026绿化养护道路明细”</w:t>
            </w:r>
          </w:p>
          <w:p>
            <w:pPr>
              <w:pStyle w:val="null3"/>
            </w:pPr>
            <w:r>
              <w:rPr>
                <w:rFonts w:ascii="仿宋_GB2312" w:hAnsi="仿宋_GB2312" w:cs="仿宋_GB2312" w:eastAsia="仿宋_GB2312"/>
              </w:rPr>
              <w:t>二、服务期限：365天</w:t>
            </w:r>
          </w:p>
          <w:p>
            <w:pPr>
              <w:pStyle w:val="null3"/>
            </w:pPr>
            <w:r>
              <w:rPr>
                <w:rFonts w:ascii="仿宋_GB2312" w:hAnsi="仿宋_GB2312" w:cs="仿宋_GB2312" w:eastAsia="仿宋_GB2312"/>
              </w:rPr>
              <w:t>三、服务质量：符合相关验收法律规范和甲方验收标准要求</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按招标文件及合同要求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按招标文件及合同要求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按招标文件及合同要求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按招标文件及合同要求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按招标文件及合同要求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按招标文件及合同要求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365天</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365天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按采购人要求</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按合同约定及采购人要求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按合同约定及采购人要求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进度款，付款条件说明： 1、结算依据：道路清扫保洁的质量标准、绿化养护管理标准及工作程序、考核打分、评分结果作为当月付款结算的依据。 2、结算方式:合同款按月支付，当月承包费用考核完毕后，次月办理支付手续。 3、道路保洁按照承包单价*当月实际清扫保洁面积+公共卫生间养护单价*当月实际养护个数+考核扣款=当月承包养护费用，绿化养护按照合同单价*实际养护面积+苗木补栽费用+考核扣款=当月承包费用。 4、每月初根据上月考核得分和实际清扫保洁面积、绿化养护面积及公厕养护个数计算应付合同价款。对于新增加的道路保洁面积、绿化养护面积及公厕养护个数，以市政管理部门移交单或变更单为依据，由兴隆街办、承包公司双方项目管理主要负责人现场共同实测签字确认，核定增加的保洁养护人员数量，最终以双方共同签字同意并按本合同约定单价追加承包费用，详见每月“费用结算单并予以注明。 5、乙方单位对“费用结算单”领取确认后，根据结算单金额开具合法的正式发票交西安高新区兴隆街办办理结算手续，由兴隆街办负责支付，达到付款条件起30个工作日内，支付合同总金额的100.0%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进度款，付款条件说明： 1、结算依据：道路清扫保洁的质量标准、绿化养护管理标准及工作程序、考核打分、评分结果作为当月付款结算的依据。 2、结算方式:合同款按月支付，当月承包费用考核完毕后，次月办理支付手续。 3、道路保洁按照承包单价*当月实际清扫保洁面积+公共卫生间养护单价*当月实际养护个数+考核扣款=当月承包养护费用，绿化养护按照合同单价*实际养护面积+苗木补栽费用+考核扣款=当月承包费用。 4、每月初根据上月考核得分和实际清扫保洁面积、绿化养护面积及公厕养护个数计算应付合同价款。对于新增加的道路保洁面积、绿化养护面积及公厕养护个数，以市政管理部门移交单或变更单为依据，由兴隆街办、承包公司双方项目管理主要负责人现场共同实测签字确认，核定增加的保洁养护人员数量，最终以双方共同签字同意并按本合同约定单价追加承包费用，详见每月“费用结算单并予以注明。 5、乙方单位对“费用结算单”领取确认后，根据结算单金额开具合法的正式发票交西安高新区兴隆街办办理结算手续，由兴隆街办负责支付，达到付款条件起30个工作日内，支付合同总金额的100.0%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按合同约定及采购人要求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按合同约定及采购人要求</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1.允许投标人兼投，不允许投标人兼中，只允许投标人中其中一个标段。本项目评标顺序为一标段、二标段。例：若投标人在一标段被推荐为第一中标候选人，则在二标段中将不被推荐为中标候选人。 2.为保障政府采购电子化交易平台项目实施，供应商需要在线提交所有通过电子化交易平台实施的政府采购项目的投标文件，中标供应商领取中标通知书时线须提交投标文件4套、电子版(U盘2套）。纸质投标文件应与电子响应文件保持一致。 3.本项目所属行业： 《工业和信息化部、国家统计局、国家发展和改革委员会、财政部关于印发中小企业划型标准规定的通知》（工信部联企业[2011]300 号）中，（三）其他未列明行业。从业人员300人以下的为中小微型企业。其中，从业人员100人及以上的为中型企业；从业人员10人及以上的为小型企业；从业人员10人以下的为微型企业。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应具有独立承担民事责任的能力，提供供应商的营业执照等证明文件，自然人的身份证明等；2.法定代表人（单位负责人）参加投标的，提供本人身份证复印件；法定代表人（单位负责人）授权他人参加投标的，提供法定代表人（单位负责人）委托授权书并提供在本单位的社保证明（近3个月内任意一个月）。 3.提供《基本资格条件承诺函》。 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提供《基本资格条件承诺函》。</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应具有独立承担民事责任的能力，提供供应商的营业执照等证明文件，自然人的身份证明等；2.法定代表人（单位负责人）参加投标的，提供本人身份证复印件；法定代表人（单位负责人）授权他人参加投标的，提供法定代表人（单位负责人）委托授权书并提供在本单位的社保证明（近3个月内任意一个月）。 3.提供《基本资格条件承诺函》。 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提供《基本资格条件承诺函》。</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评标委员会认为供应商的报价明显低于其他实质性响应的供应商报价，有可能影响服务质量或者不能诚信履约的，应当要求其在合理的时间内提供书面说明，必要时提交相关证明材料；供应商不能证明其报价合理性的，评标委员会应当将其作为无效响应处理。 2.供应商通过项目电子化交易系统在评标委员会要求的合理时间内提交说明，否则无效。 异常低价投标审查程序： 在评审中出现下列情形之一的，评标委员会应当启动异常低价投标审查程序：（1）投标报价低于全部通过符合性审查供应商投标报价平均值50%的，即投标报价&lt;全部通过符合性审查供应商投标报价平均值×50%；（2）投标报价低于通过符合性审查的次低报价供应商投标报价50%的，即投标报价&lt;通过符合性审查的次低报价供应商投标报价×50%；（3）投标报价低于采购项目最高限价50%的，即投标报价&lt;采购项目最高限价×50%；（4）评标委员会基于专业判断，认为供应商报价过低，有可能影响产品质量或者不能诚信履约的其他情形。相关法律法规对投标人报价有规定的，从其规定。评标委员会启动异常低价投标审查后，属于前述异常低价投标审查程序的启动第1项至第4项情形的，应当要求相关投标人在评审现场对投标价格作出解释，提供项目具体成本测算等与报价合理性相关的书面说明及必要的证明材料，包括但不限于原材料成本、人工成本、制造费用等，评标委员会应当给予相关投标人的合理时间，一般不少于30分钟。其中，属于第3项情形，投标人已随投标文件一并提交相关书面说明及必要的证明材料的，在评审现场可不再重复提交。评标委员会依据专业经验，参考同类项目中标（成交）价格、类似产品市场价格水平、行业人工费用标准、国家有关部门指导行业协会发布的行业平均成本等情况，对报价合理性进行判断。投标人不能提供书面说明、证明材料，或者提供的书面说明、证明材料不能证明其报价合理性的，评标委员会应当将其作为无效投标处理。异常低价投标审查的启动原因、审查意见和审查结果应当在评审报告中记录，并随投标人提供的相关书面说明及证明材料，以及评标委员会有关互联网浏览、查询历史一并归档。在评标过程中，发现评标委员会未按规定对异常低价开展审查的，采购人、采购代理机构应当予以纠正，拒不改正的，应当及时报告同级财政部门。 评标委员会未按规定对异常低价开展审查的，财政部门依法予以纠正并追究评审专家的法律责任。</w:t>
            </w:r>
          </w:p>
        </w:tc>
        <w:tc>
          <w:tcPr>
            <w:tcW w:type="dxa" w:w="1661"/>
          </w:tcPr>
          <w:p>
            <w:pPr>
              <w:pStyle w:val="null3"/>
            </w:pPr>
            <w:r>
              <w:rPr>
                <w:rFonts w:ascii="仿宋_GB2312" w:hAnsi="仿宋_GB2312" w:cs="仿宋_GB2312" w:eastAsia="仿宋_GB2312"/>
              </w:rPr>
              <w:t>开标一览表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投标文件的签署、盖章满足招标文件要求</w:t>
            </w:r>
          </w:p>
        </w:tc>
        <w:tc>
          <w:tcPr>
            <w:tcW w:type="dxa" w:w="1661"/>
          </w:tcPr>
          <w:p>
            <w:pPr>
              <w:pStyle w:val="null3"/>
            </w:pPr>
            <w:r>
              <w:rPr>
                <w:rFonts w:ascii="仿宋_GB2312" w:hAnsi="仿宋_GB2312" w:cs="仿宋_GB2312" w:eastAsia="仿宋_GB2312"/>
              </w:rPr>
              <w:t>开标一览表 合同条款偏离表 封皮 中小企业声明函 其他承诺 技术、服务及其他商务要求应答表 报价表 投标人应提交的相关资格证明材料 业绩的相关证明材料 投标函 技术方案响应说明 残疾人福利性单位声明函 标的清单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投标报价未超过最高限价</w:t>
            </w:r>
          </w:p>
        </w:tc>
        <w:tc>
          <w:tcPr>
            <w:tcW w:type="dxa" w:w="1661"/>
          </w:tcPr>
          <w:p>
            <w:pPr>
              <w:pStyle w:val="null3"/>
            </w:pPr>
            <w:r>
              <w:rPr>
                <w:rFonts w:ascii="仿宋_GB2312" w:hAnsi="仿宋_GB2312" w:cs="仿宋_GB2312" w:eastAsia="仿宋_GB2312"/>
              </w:rPr>
              <w:t>开标一览表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服务质量</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服务标准与服务要求</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合同条款偏离表 技术方案响应说明 技术、服务及其他商务要求应答表</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评标委员会认为供应商的报价明显低于其他实质性响应的供应商报价，有可能影响服务质量或者不能诚信履约的，应当要求其在合理的时间内提供书面说明，必要时提交相关证明材料；供应商不能证明其报价合理性的，评标委员会应当将其作为无效响应处理。 2.供应商通过项目电子化交易系统在评标委员会要求的合理时间内提交说明，否则无效。 异常低价投标审查程序： 在评审中出现下列情形之一的，评标委员会应当启动异常低价投标审查程序：（1）投标报价低于全部通过符合性审查供应商投标报价平均值50%的，即投标报价&lt;全部通过符合性审查供应商投标报价平均值×50%；（2）投标报价低于通过符合性审查的次低报价供应商投标报价50%的，即投标报价&lt;通过符合性审查的次低报价供应商投标报价×50%；（3）投标报价低于采购项目最高限价50%的，即投标报价&lt;采购项目最高限价×50%；（4）评标委员会基于专业判断，认为供应商报价过低，有可能影响产品质量或者不能诚信履约的其他情形。相关法律法规对投标人报价有规定的，从其规定。评标委员会启动异常低价投标审查后，属于前述异常低价投标审查程序的启动第1项至第4项情形的，应当要求相关投标人在评审现场对投标价格作出解释，提供项目具体成本测算等与报价合理性相关的书面说明及必要的证明材料，包括但不限于原材料成本、人工成本、制造费用等，评标委员会应当给予相关投标人的合理时间，一般不少于30分钟。其中，属于第3项情形，投标人已随投标文件一并提交相关书面说明及必要的证明材料的，在评审现场可不再重复提交。评标委员会依据专业经验，参考同类项目中标（成交）价格、类似产品市场价格水平、行业人工费用标准、国家有关部门指导行业协会发布的行业平均成本等情况，对报价合理性进行判断。投标人不能提供书面说明、证明材料，或者提供的书面说明、证明材料不能证明其报价合理性的，评标委员会应当将其作为无效投标处理。异常低价投标审查的启动原因、审查意见和审查结果应当在评审报告中记录，并随投标人提供的相关书面说明及证明材料，以及评标委员会有关互联网浏览、查询历史一并归档。在评标过程中，发现评标委员会未按规定对异常低价开展审查的，采购人、采购代理机构应当予以纠正，拒不改正的，应当及时报告同级财政部门。 评标委员会未按规定对异常低价开展审查的，财政部门依法予以纠正并追究评审专家的法律责任。</w:t>
            </w:r>
          </w:p>
        </w:tc>
        <w:tc>
          <w:tcPr>
            <w:tcW w:type="dxa" w:w="1661"/>
          </w:tcPr>
          <w:p>
            <w:pPr>
              <w:pStyle w:val="null3"/>
            </w:pPr>
            <w:r>
              <w:rPr>
                <w:rFonts w:ascii="仿宋_GB2312" w:hAnsi="仿宋_GB2312" w:cs="仿宋_GB2312" w:eastAsia="仿宋_GB2312"/>
              </w:rPr>
              <w:t>开标一览表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投标文件的签署、盖章满足招标文件要求</w:t>
            </w:r>
          </w:p>
        </w:tc>
        <w:tc>
          <w:tcPr>
            <w:tcW w:type="dxa" w:w="1661"/>
          </w:tcPr>
          <w:p>
            <w:pPr>
              <w:pStyle w:val="null3"/>
            </w:pPr>
            <w:r>
              <w:rPr>
                <w:rFonts w:ascii="仿宋_GB2312" w:hAnsi="仿宋_GB2312" w:cs="仿宋_GB2312" w:eastAsia="仿宋_GB2312"/>
              </w:rPr>
              <w:t>开标一览表 合同条款偏离表 封皮 中小企业声明函 其他承诺 技术、服务及其他商务要求应答表 报价表 投标人应提交的相关资格证明材料 业绩的相关证明材料 投标函 技术方案响应说明 残疾人福利性单位声明函 标的清单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投标报价未超过最高限价</w:t>
            </w:r>
          </w:p>
        </w:tc>
        <w:tc>
          <w:tcPr>
            <w:tcW w:type="dxa" w:w="1661"/>
          </w:tcPr>
          <w:p>
            <w:pPr>
              <w:pStyle w:val="null3"/>
            </w:pPr>
            <w:r>
              <w:rPr>
                <w:rFonts w:ascii="仿宋_GB2312" w:hAnsi="仿宋_GB2312" w:cs="仿宋_GB2312" w:eastAsia="仿宋_GB2312"/>
              </w:rPr>
              <w:t>开标一览表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服务质量</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服务标准与服务要求</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合同条款偏离表 技术方案响应说明 技术、服务及其他商务要求应答表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道路保洁方案的可操作性</w:t>
            </w:r>
          </w:p>
        </w:tc>
        <w:tc>
          <w:tcPr>
            <w:tcW w:type="dxa" w:w="2492"/>
          </w:tcPr>
          <w:p>
            <w:pPr>
              <w:pStyle w:val="null3"/>
            </w:pPr>
            <w:r>
              <w:rPr>
                <w:rFonts w:ascii="仿宋_GB2312" w:hAnsi="仿宋_GB2312" w:cs="仿宋_GB2312" w:eastAsia="仿宋_GB2312"/>
              </w:rPr>
              <w:t>根据方案内容完整，描述清晰，且能针对性满足本项目得（3,5]分；方案内容较完整，描述简单，可行性一般，基本满足本项目得（1,3]分；方案内容笼统，描述简单，可行性不强得[0,1]分。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技术方案响应说明</w:t>
            </w:r>
          </w:p>
        </w:tc>
      </w:tr>
      <w:tr>
        <w:tc>
          <w:tcPr>
            <w:tcW w:type="dxa" w:w="831"/>
            <w:vMerge/>
          </w:tcPr>
          <w:p/>
        </w:tc>
        <w:tc>
          <w:tcPr>
            <w:tcW w:type="dxa" w:w="1661"/>
          </w:tcPr>
          <w:p>
            <w:pPr>
              <w:pStyle w:val="null3"/>
            </w:pPr>
            <w:r>
              <w:rPr>
                <w:rFonts w:ascii="仿宋_GB2312" w:hAnsi="仿宋_GB2312" w:cs="仿宋_GB2312" w:eastAsia="仿宋_GB2312"/>
              </w:rPr>
              <w:t>绿化养护方案的可操作性</w:t>
            </w:r>
          </w:p>
        </w:tc>
        <w:tc>
          <w:tcPr>
            <w:tcW w:type="dxa" w:w="2492"/>
          </w:tcPr>
          <w:p>
            <w:pPr>
              <w:pStyle w:val="null3"/>
            </w:pPr>
            <w:r>
              <w:rPr>
                <w:rFonts w:ascii="仿宋_GB2312" w:hAnsi="仿宋_GB2312" w:cs="仿宋_GB2312" w:eastAsia="仿宋_GB2312"/>
              </w:rPr>
              <w:t>根据绿化养护承包区内环境设施的维护管理及措施方案等内容完整且切实可行，描述清晰，且能针对性满足本项目得（3,5]分；方案内容较完整，描述一般，可操作性一般，基本能够满足本项目得（1,3]分；方案内容较简单，描述简单，可操作性较差得[0,1]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技术方案响应说明</w:t>
            </w:r>
          </w:p>
        </w:tc>
      </w:tr>
      <w:tr>
        <w:tc>
          <w:tcPr>
            <w:tcW w:type="dxa" w:w="831"/>
            <w:vMerge/>
          </w:tcPr>
          <w:p/>
        </w:tc>
        <w:tc>
          <w:tcPr>
            <w:tcW w:type="dxa" w:w="1661"/>
          </w:tcPr>
          <w:p>
            <w:pPr>
              <w:pStyle w:val="null3"/>
            </w:pPr>
            <w:r>
              <w:rPr>
                <w:rFonts w:ascii="仿宋_GB2312" w:hAnsi="仿宋_GB2312" w:cs="仿宋_GB2312" w:eastAsia="仿宋_GB2312"/>
              </w:rPr>
              <w:t>公厕维护方案的可操作性</w:t>
            </w:r>
          </w:p>
        </w:tc>
        <w:tc>
          <w:tcPr>
            <w:tcW w:type="dxa" w:w="2492"/>
          </w:tcPr>
          <w:p>
            <w:pPr>
              <w:pStyle w:val="null3"/>
            </w:pPr>
            <w:r>
              <w:rPr>
                <w:rFonts w:ascii="仿宋_GB2312" w:hAnsi="仿宋_GB2312" w:cs="仿宋_GB2312" w:eastAsia="仿宋_GB2312"/>
              </w:rPr>
              <w:t>充分了解本项目采购需求及高新区相关政策要求，能够针对本项目公厕维护做出完整可行的方案，且描述清晰（3,5]分；对本项目采购需求及高新区相关政策要求了解较为充分，维护方案内容较为完整，描述简单得（1,3]分；对本项目采购需求及高新区相关政策要求不够了解，维护方案内容较差，描述不清晰得[0,1]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技术方案响应说明</w:t>
            </w:r>
          </w:p>
        </w:tc>
      </w:tr>
      <w:tr>
        <w:tc>
          <w:tcPr>
            <w:tcW w:type="dxa" w:w="831"/>
            <w:vMerge/>
          </w:tcPr>
          <w:p/>
        </w:tc>
        <w:tc>
          <w:tcPr>
            <w:tcW w:type="dxa" w:w="1661"/>
          </w:tcPr>
          <w:p>
            <w:pPr>
              <w:pStyle w:val="null3"/>
            </w:pPr>
            <w:r>
              <w:rPr>
                <w:rFonts w:ascii="仿宋_GB2312" w:hAnsi="仿宋_GB2312" w:cs="仿宋_GB2312" w:eastAsia="仿宋_GB2312"/>
              </w:rPr>
              <w:t>针对本项目配备的设施设备及物品</w:t>
            </w:r>
          </w:p>
        </w:tc>
        <w:tc>
          <w:tcPr>
            <w:tcW w:type="dxa" w:w="2492"/>
          </w:tcPr>
          <w:p>
            <w:pPr>
              <w:pStyle w:val="null3"/>
            </w:pPr>
            <w:r>
              <w:rPr>
                <w:rFonts w:ascii="仿宋_GB2312" w:hAnsi="仿宋_GB2312" w:cs="仿宋_GB2312" w:eastAsia="仿宋_GB2312"/>
              </w:rPr>
              <w:t>配备情况及物品完整能充分满足本项目需求得（3,5]分；配备情况及措施一般，基本能满足本项目需求得（1,3]分；配备情况不够充足，措施较差得[0,1]分。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技术方案响应说明</w:t>
            </w:r>
          </w:p>
        </w:tc>
      </w:tr>
      <w:tr>
        <w:tc>
          <w:tcPr>
            <w:tcW w:type="dxa" w:w="831"/>
            <w:vMerge/>
          </w:tcPr>
          <w:p/>
        </w:tc>
        <w:tc>
          <w:tcPr>
            <w:tcW w:type="dxa" w:w="1661"/>
          </w:tcPr>
          <w:p>
            <w:pPr>
              <w:pStyle w:val="null3"/>
            </w:pPr>
            <w:r>
              <w:rPr>
                <w:rFonts w:ascii="仿宋_GB2312" w:hAnsi="仿宋_GB2312" w:cs="仿宋_GB2312" w:eastAsia="仿宋_GB2312"/>
              </w:rPr>
              <w:t>针对本项目配备的专业工作车辆及设施设备车辆管理、维护的保障措施</w:t>
            </w:r>
          </w:p>
        </w:tc>
        <w:tc>
          <w:tcPr>
            <w:tcW w:type="dxa" w:w="2492"/>
          </w:tcPr>
          <w:p>
            <w:pPr>
              <w:pStyle w:val="null3"/>
            </w:pPr>
            <w:r>
              <w:rPr>
                <w:rFonts w:ascii="仿宋_GB2312" w:hAnsi="仿宋_GB2312" w:cs="仿宋_GB2312" w:eastAsia="仿宋_GB2312"/>
              </w:rPr>
              <w:t>配备情况及措施完整能充分满足本项目需求得（3,5]分；配备情况及措施一般，基本能满足本项目需求得（1,3]分；配备情况不够充足，措施较差得[0,1]分。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技术方案响应说明</w:t>
            </w:r>
          </w:p>
        </w:tc>
      </w:tr>
      <w:tr>
        <w:tc>
          <w:tcPr>
            <w:tcW w:type="dxa" w:w="831"/>
            <w:vMerge/>
          </w:tcPr>
          <w:p/>
        </w:tc>
        <w:tc>
          <w:tcPr>
            <w:tcW w:type="dxa" w:w="1661"/>
          </w:tcPr>
          <w:p>
            <w:pPr>
              <w:pStyle w:val="null3"/>
            </w:pPr>
            <w:r>
              <w:rPr>
                <w:rFonts w:ascii="仿宋_GB2312" w:hAnsi="仿宋_GB2312" w:cs="仿宋_GB2312" w:eastAsia="仿宋_GB2312"/>
              </w:rPr>
              <w:t>出现紧急情况或故障时维修人员的响应保障措施、清洁及保洁的保障措施</w:t>
            </w:r>
          </w:p>
        </w:tc>
        <w:tc>
          <w:tcPr>
            <w:tcW w:type="dxa" w:w="2492"/>
          </w:tcPr>
          <w:p>
            <w:pPr>
              <w:pStyle w:val="null3"/>
            </w:pPr>
            <w:r>
              <w:rPr>
                <w:rFonts w:ascii="仿宋_GB2312" w:hAnsi="仿宋_GB2312" w:cs="仿宋_GB2312" w:eastAsia="仿宋_GB2312"/>
              </w:rPr>
              <w:t>能够保证在出现紧急情况或故障时第一时间响应且做出应对，措施完整可靠得（3,5]分；在出现紧急情况或故障时积极响应，保障措施内容较完整可行得（1,3]分；在出现紧急情况或故障时响应性较差，保障措施不够充分得[0,1]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技术方案响应说明</w:t>
            </w:r>
          </w:p>
        </w:tc>
      </w:tr>
      <w:tr>
        <w:tc>
          <w:tcPr>
            <w:tcW w:type="dxa" w:w="831"/>
            <w:vMerge/>
          </w:tcPr>
          <w:p/>
        </w:tc>
        <w:tc>
          <w:tcPr>
            <w:tcW w:type="dxa" w:w="1661"/>
          </w:tcPr>
          <w:p>
            <w:pPr>
              <w:pStyle w:val="null3"/>
            </w:pPr>
            <w:r>
              <w:rPr>
                <w:rFonts w:ascii="仿宋_GB2312" w:hAnsi="仿宋_GB2312" w:cs="仿宋_GB2312" w:eastAsia="仿宋_GB2312"/>
              </w:rPr>
              <w:t>绿化养护管理制度完善，程序规范，责任明确，具有可操作性</w:t>
            </w:r>
          </w:p>
        </w:tc>
        <w:tc>
          <w:tcPr>
            <w:tcW w:type="dxa" w:w="2492"/>
          </w:tcPr>
          <w:p>
            <w:pPr>
              <w:pStyle w:val="null3"/>
            </w:pPr>
            <w:r>
              <w:rPr>
                <w:rFonts w:ascii="仿宋_GB2312" w:hAnsi="仿宋_GB2312" w:cs="仿宋_GB2312" w:eastAsia="仿宋_GB2312"/>
              </w:rPr>
              <w:t>根据管理制度内容完整，描述清晰，且能针对性满足项目得（3,5]分；管理制度内容较完整，描述简单，可行性一般，基本满足项目得（1,3]分；管理制度内容笼统，描述简单，可行性不强得[0,1]分。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技术方案响应说明</w:t>
            </w:r>
          </w:p>
        </w:tc>
      </w:tr>
      <w:tr>
        <w:tc>
          <w:tcPr>
            <w:tcW w:type="dxa" w:w="831"/>
            <w:vMerge/>
          </w:tcPr>
          <w:p/>
        </w:tc>
        <w:tc>
          <w:tcPr>
            <w:tcW w:type="dxa" w:w="1661"/>
          </w:tcPr>
          <w:p>
            <w:pPr>
              <w:pStyle w:val="null3"/>
            </w:pPr>
            <w:r>
              <w:rPr>
                <w:rFonts w:ascii="仿宋_GB2312" w:hAnsi="仿宋_GB2312" w:cs="仿宋_GB2312" w:eastAsia="仿宋_GB2312"/>
              </w:rPr>
              <w:t>绿化养护技术方案结合季节变化，考虑各类园林植物特性，养护计划周密，措施有效，有病虫害防治方案</w:t>
            </w:r>
          </w:p>
        </w:tc>
        <w:tc>
          <w:tcPr>
            <w:tcW w:type="dxa" w:w="2492"/>
          </w:tcPr>
          <w:p>
            <w:pPr>
              <w:pStyle w:val="null3"/>
            </w:pPr>
            <w:r>
              <w:rPr>
                <w:rFonts w:ascii="仿宋_GB2312" w:hAnsi="仿宋_GB2312" w:cs="仿宋_GB2312" w:eastAsia="仿宋_GB2312"/>
              </w:rPr>
              <w:t>根据技术方案内容完整，描述清晰，且能针对性满足项目得（3,5]分；技术方案内容较完整，描述简单，可行性一般，基本满足项目得（1,3]分；技术方案内容笼统，描述简单，可行性不强得[0,1]分。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技术方案响应说明</w:t>
            </w:r>
          </w:p>
        </w:tc>
      </w:tr>
      <w:tr>
        <w:tc>
          <w:tcPr>
            <w:tcW w:type="dxa" w:w="831"/>
            <w:vMerge/>
          </w:tcPr>
          <w:p/>
        </w:tc>
        <w:tc>
          <w:tcPr>
            <w:tcW w:type="dxa" w:w="1661"/>
          </w:tcPr>
          <w:p>
            <w:pPr>
              <w:pStyle w:val="null3"/>
            </w:pPr>
            <w:r>
              <w:rPr>
                <w:rFonts w:ascii="仿宋_GB2312" w:hAnsi="仿宋_GB2312" w:cs="仿宋_GB2312" w:eastAsia="仿宋_GB2312"/>
              </w:rPr>
              <w:t>健全的内部管理制度及风险控制制度</w:t>
            </w:r>
          </w:p>
        </w:tc>
        <w:tc>
          <w:tcPr>
            <w:tcW w:type="dxa" w:w="2492"/>
          </w:tcPr>
          <w:p>
            <w:pPr>
              <w:pStyle w:val="null3"/>
            </w:pPr>
            <w:r>
              <w:rPr>
                <w:rFonts w:ascii="仿宋_GB2312" w:hAnsi="仿宋_GB2312" w:cs="仿宋_GB2312" w:eastAsia="仿宋_GB2312"/>
              </w:rPr>
              <w:t>有健全可行的内部管理制度及风险控制制度得（2.5,5]分；制度内容笼统，描述简单，可行性一般得[0,2.5]分。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技术方案响应说明</w:t>
            </w:r>
          </w:p>
        </w:tc>
      </w:tr>
      <w:tr>
        <w:tc>
          <w:tcPr>
            <w:tcW w:type="dxa" w:w="831"/>
            <w:vMerge/>
          </w:tcPr>
          <w:p/>
        </w:tc>
        <w:tc>
          <w:tcPr>
            <w:tcW w:type="dxa" w:w="1661"/>
          </w:tcPr>
          <w:p>
            <w:pPr>
              <w:pStyle w:val="null3"/>
            </w:pPr>
            <w:r>
              <w:rPr>
                <w:rFonts w:ascii="仿宋_GB2312" w:hAnsi="仿宋_GB2312" w:cs="仿宋_GB2312" w:eastAsia="仿宋_GB2312"/>
              </w:rPr>
              <w:t>人员配备与管理方案，各岗位人员的配置完整</w:t>
            </w:r>
          </w:p>
        </w:tc>
        <w:tc>
          <w:tcPr>
            <w:tcW w:type="dxa" w:w="2492"/>
          </w:tcPr>
          <w:p>
            <w:pPr>
              <w:pStyle w:val="null3"/>
            </w:pPr>
            <w:r>
              <w:rPr>
                <w:rFonts w:ascii="仿宋_GB2312" w:hAnsi="仿宋_GB2312" w:cs="仿宋_GB2312" w:eastAsia="仿宋_GB2312"/>
              </w:rPr>
              <w:t>根据内容完整，描述清晰，且能针对性满足项目得（2.5,5]分；内容笼统，描述简单，可行性不强得[0,2.5]分。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技术方案响应说明</w:t>
            </w:r>
          </w:p>
        </w:tc>
      </w:tr>
      <w:tr>
        <w:tc>
          <w:tcPr>
            <w:tcW w:type="dxa" w:w="831"/>
            <w:vMerge/>
          </w:tcPr>
          <w:p/>
        </w:tc>
        <w:tc>
          <w:tcPr>
            <w:tcW w:type="dxa" w:w="1661"/>
          </w:tcPr>
          <w:p>
            <w:pPr>
              <w:pStyle w:val="null3"/>
            </w:pPr>
            <w:r>
              <w:rPr>
                <w:rFonts w:ascii="仿宋_GB2312" w:hAnsi="仿宋_GB2312" w:cs="仿宋_GB2312" w:eastAsia="仿宋_GB2312"/>
              </w:rPr>
              <w:t>投标人针对本项目所配人员经过严格培训，具备执行能力，能够有效实施养护管理工作</w:t>
            </w:r>
          </w:p>
        </w:tc>
        <w:tc>
          <w:tcPr>
            <w:tcW w:type="dxa" w:w="2492"/>
          </w:tcPr>
          <w:p>
            <w:pPr>
              <w:pStyle w:val="null3"/>
            </w:pPr>
            <w:r>
              <w:rPr>
                <w:rFonts w:ascii="仿宋_GB2312" w:hAnsi="仿宋_GB2312" w:cs="仿宋_GB2312" w:eastAsia="仿宋_GB2312"/>
              </w:rPr>
              <w:t>所配备人员充足且科学合理，分工明确，每个人员都有相关培训证明得（2.5,5]分；所配备人员基本满足项目需求，有相关培训证明[0,2.5]分。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技术方案响应说明</w:t>
            </w:r>
          </w:p>
        </w:tc>
      </w:tr>
      <w:tr>
        <w:tc>
          <w:tcPr>
            <w:tcW w:type="dxa" w:w="831"/>
            <w:vMerge/>
          </w:tcPr>
          <w:p/>
        </w:tc>
        <w:tc>
          <w:tcPr>
            <w:tcW w:type="dxa" w:w="1661"/>
          </w:tcPr>
          <w:p>
            <w:pPr>
              <w:pStyle w:val="null3"/>
            </w:pPr>
            <w:r>
              <w:rPr>
                <w:rFonts w:ascii="仿宋_GB2312" w:hAnsi="仿宋_GB2312" w:cs="仿宋_GB2312" w:eastAsia="仿宋_GB2312"/>
              </w:rPr>
              <w:t>人员安全作业的保障措施</w:t>
            </w:r>
          </w:p>
        </w:tc>
        <w:tc>
          <w:tcPr>
            <w:tcW w:type="dxa" w:w="2492"/>
          </w:tcPr>
          <w:p>
            <w:pPr>
              <w:pStyle w:val="null3"/>
            </w:pPr>
            <w:r>
              <w:rPr>
                <w:rFonts w:ascii="仿宋_GB2312" w:hAnsi="仿宋_GB2312" w:cs="仿宋_GB2312" w:eastAsia="仿宋_GB2312"/>
              </w:rPr>
              <w:t>能够保证各岗位人员都能做到安全作业，保障措施合理完整得（2.5,5]分；各岗位人员在安全作业时存有安全隐患，保证措施不够充足得[0,2.5]。</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技术方案响应说明</w:t>
            </w:r>
          </w:p>
        </w:tc>
      </w:tr>
      <w:tr>
        <w:tc>
          <w:tcPr>
            <w:tcW w:type="dxa" w:w="831"/>
            <w:vMerge/>
          </w:tcPr>
          <w:p/>
        </w:tc>
        <w:tc>
          <w:tcPr>
            <w:tcW w:type="dxa" w:w="1661"/>
          </w:tcPr>
          <w:p>
            <w:pPr>
              <w:pStyle w:val="null3"/>
            </w:pPr>
            <w:r>
              <w:rPr>
                <w:rFonts w:ascii="仿宋_GB2312" w:hAnsi="仿宋_GB2312" w:cs="仿宋_GB2312" w:eastAsia="仿宋_GB2312"/>
              </w:rPr>
              <w:t>提供针对本项目的预期效果方案及未达到预期效果的解决措施</w:t>
            </w:r>
          </w:p>
        </w:tc>
        <w:tc>
          <w:tcPr>
            <w:tcW w:type="dxa" w:w="2492"/>
          </w:tcPr>
          <w:p>
            <w:pPr>
              <w:pStyle w:val="null3"/>
            </w:pPr>
            <w:r>
              <w:rPr>
                <w:rFonts w:ascii="仿宋_GB2312" w:hAnsi="仿宋_GB2312" w:cs="仿宋_GB2312" w:eastAsia="仿宋_GB2312"/>
              </w:rPr>
              <w:t>根据措施内容完整，描述清晰，且能针对性满足项目得（2.5,5]分；措施内容笼统，描述简单，可行性不强得[0,2.5]分。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技术方案响应说明</w:t>
            </w:r>
          </w:p>
        </w:tc>
      </w:tr>
      <w:tr>
        <w:tc>
          <w:tcPr>
            <w:tcW w:type="dxa" w:w="831"/>
            <w:vMerge/>
          </w:tcPr>
          <w:p/>
        </w:tc>
        <w:tc>
          <w:tcPr>
            <w:tcW w:type="dxa" w:w="1661"/>
          </w:tcPr>
          <w:p>
            <w:pPr>
              <w:pStyle w:val="null3"/>
            </w:pPr>
            <w:r>
              <w:rPr>
                <w:rFonts w:ascii="仿宋_GB2312" w:hAnsi="仿宋_GB2312" w:cs="仿宋_GB2312" w:eastAsia="仿宋_GB2312"/>
              </w:rPr>
              <w:t>对本项目的重点把握突出，难点分析到位</w:t>
            </w:r>
          </w:p>
        </w:tc>
        <w:tc>
          <w:tcPr>
            <w:tcW w:type="dxa" w:w="2492"/>
          </w:tcPr>
          <w:p>
            <w:pPr>
              <w:pStyle w:val="null3"/>
            </w:pPr>
            <w:r>
              <w:rPr>
                <w:rFonts w:ascii="仿宋_GB2312" w:hAnsi="仿宋_GB2312" w:cs="仿宋_GB2312" w:eastAsia="仿宋_GB2312"/>
              </w:rPr>
              <w:t>根据内容完整，描述清晰，且能针对性满足项目得（3,5]分；内容较完整，描述简单，可行性一般，基本满足项目得（1,3]分；内容笼统，描述简单，可行性不强得[0,1]分。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技术方案响应说明</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1、对本次项目的服务承诺（包含但不限于针对本项目的各项服务质量目标、保障措施及服务人员入场计划等内容），承诺各管理项目指标达到国家相关标准，按其响应程度计0～2.5分。 2、对服务期限内质量、人员到位情况、后期服务等做出实质性承诺（内容应当包含不能完全履行承诺时愿意接受相关处罚的相关承诺），按其响应程度计0～2.5分。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技术方案响应说明</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针对本项目，提出合理化建议： 根据内容完整，描述清晰，且能针对性满足项目得（3,5]分；内容较完整，描述简单，可行性一般，基本满足项目得（1,3]分；内容笼统，描述简单，可行性不强得[0,1]分。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技术方案响应说明</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提供近三年（2023年1月1日至今）类似项目业绩，以合同签订时间为准，每提供一个得2分，本项满分10分。评审依据：以供应商加盖公章的合同复印件为准。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业绩的相关证明材料</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（3）投标（响应）报价低于最高限价50%的，即投标（响应）报价&lt;最高限价×50%。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有效供应商最低报价作为评标基准价，各供应商的报价得分按下列公式计算：（评标基准价/投标报价）×10%×100分。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道路保洁方案的可操作性</w:t>
            </w:r>
          </w:p>
        </w:tc>
        <w:tc>
          <w:tcPr>
            <w:tcW w:type="dxa" w:w="2492"/>
          </w:tcPr>
          <w:p>
            <w:pPr>
              <w:pStyle w:val="null3"/>
            </w:pPr>
            <w:r>
              <w:rPr>
                <w:rFonts w:ascii="仿宋_GB2312" w:hAnsi="仿宋_GB2312" w:cs="仿宋_GB2312" w:eastAsia="仿宋_GB2312"/>
              </w:rPr>
              <w:t>根据方案内容完整，描述清晰，且能针对性满足本项目得（3,5]分；方案内容较完整，描述简单，可行性一般，基本满足本项目得（1,3]分；方案内容笼统，描述简单，可行性不强得[0,1]分。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技术方案响应说明</w:t>
            </w:r>
          </w:p>
        </w:tc>
      </w:tr>
      <w:tr>
        <w:tc>
          <w:tcPr>
            <w:tcW w:type="dxa" w:w="831"/>
            <w:vMerge/>
          </w:tcPr>
          <w:p/>
        </w:tc>
        <w:tc>
          <w:tcPr>
            <w:tcW w:type="dxa" w:w="1661"/>
          </w:tcPr>
          <w:p>
            <w:pPr>
              <w:pStyle w:val="null3"/>
            </w:pPr>
            <w:r>
              <w:rPr>
                <w:rFonts w:ascii="仿宋_GB2312" w:hAnsi="仿宋_GB2312" w:cs="仿宋_GB2312" w:eastAsia="仿宋_GB2312"/>
              </w:rPr>
              <w:t>绿化养护方案的可操作性</w:t>
            </w:r>
          </w:p>
        </w:tc>
        <w:tc>
          <w:tcPr>
            <w:tcW w:type="dxa" w:w="2492"/>
          </w:tcPr>
          <w:p>
            <w:pPr>
              <w:pStyle w:val="null3"/>
            </w:pPr>
            <w:r>
              <w:rPr>
                <w:rFonts w:ascii="仿宋_GB2312" w:hAnsi="仿宋_GB2312" w:cs="仿宋_GB2312" w:eastAsia="仿宋_GB2312"/>
              </w:rPr>
              <w:t>根据绿化养护承包区内环境设施的维护管理及措施方案等内容完整且切实可行，描述清晰，且能针对性满足本项目得（3,5]分；方案内容较完整，描述一般，可操作性一般，基本能够满足本项目得（1,3]分；方案内容较简单，描述简单，可操作性较差得[0,1]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技术方案响应说明</w:t>
            </w:r>
          </w:p>
        </w:tc>
      </w:tr>
      <w:tr>
        <w:tc>
          <w:tcPr>
            <w:tcW w:type="dxa" w:w="831"/>
            <w:vMerge/>
          </w:tcPr>
          <w:p/>
        </w:tc>
        <w:tc>
          <w:tcPr>
            <w:tcW w:type="dxa" w:w="1661"/>
          </w:tcPr>
          <w:p>
            <w:pPr>
              <w:pStyle w:val="null3"/>
            </w:pPr>
            <w:r>
              <w:rPr>
                <w:rFonts w:ascii="仿宋_GB2312" w:hAnsi="仿宋_GB2312" w:cs="仿宋_GB2312" w:eastAsia="仿宋_GB2312"/>
              </w:rPr>
              <w:t>公厕维护方案的可操作性</w:t>
            </w:r>
          </w:p>
        </w:tc>
        <w:tc>
          <w:tcPr>
            <w:tcW w:type="dxa" w:w="2492"/>
          </w:tcPr>
          <w:p>
            <w:pPr>
              <w:pStyle w:val="null3"/>
            </w:pPr>
            <w:r>
              <w:rPr>
                <w:rFonts w:ascii="仿宋_GB2312" w:hAnsi="仿宋_GB2312" w:cs="仿宋_GB2312" w:eastAsia="仿宋_GB2312"/>
              </w:rPr>
              <w:t>充分了解本项目采购需求及高新区相关政策要求，能够针对本项目公厕维护做出完整可行的方案，且描述清晰（3,5]分；对本项目采购需求及高新区相关政策要求了解较为充分，维护方案内容较为完整，描述简单得（1,3]分；对本项目采购需求及高新区相关政策要求不够了解，维护方案内容较差，描述不清晰得[0,1]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技术方案响应说明</w:t>
            </w:r>
          </w:p>
        </w:tc>
      </w:tr>
      <w:tr>
        <w:tc>
          <w:tcPr>
            <w:tcW w:type="dxa" w:w="831"/>
            <w:vMerge/>
          </w:tcPr>
          <w:p/>
        </w:tc>
        <w:tc>
          <w:tcPr>
            <w:tcW w:type="dxa" w:w="1661"/>
          </w:tcPr>
          <w:p>
            <w:pPr>
              <w:pStyle w:val="null3"/>
            </w:pPr>
            <w:r>
              <w:rPr>
                <w:rFonts w:ascii="仿宋_GB2312" w:hAnsi="仿宋_GB2312" w:cs="仿宋_GB2312" w:eastAsia="仿宋_GB2312"/>
              </w:rPr>
              <w:t>针对本项目配备的设施设备及物品</w:t>
            </w:r>
          </w:p>
        </w:tc>
        <w:tc>
          <w:tcPr>
            <w:tcW w:type="dxa" w:w="2492"/>
          </w:tcPr>
          <w:p>
            <w:pPr>
              <w:pStyle w:val="null3"/>
            </w:pPr>
            <w:r>
              <w:rPr>
                <w:rFonts w:ascii="仿宋_GB2312" w:hAnsi="仿宋_GB2312" w:cs="仿宋_GB2312" w:eastAsia="仿宋_GB2312"/>
              </w:rPr>
              <w:t>配备情况及物品完整能充分满足本项目需求得（3,5]分；配备情况及措施一般，基本能满足本项目需求得（1,3]分；配备情况不够充足，措施较差得[0,1]分。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技术方案响应说明</w:t>
            </w:r>
          </w:p>
        </w:tc>
      </w:tr>
      <w:tr>
        <w:tc>
          <w:tcPr>
            <w:tcW w:type="dxa" w:w="831"/>
            <w:vMerge/>
          </w:tcPr>
          <w:p/>
        </w:tc>
        <w:tc>
          <w:tcPr>
            <w:tcW w:type="dxa" w:w="1661"/>
          </w:tcPr>
          <w:p>
            <w:pPr>
              <w:pStyle w:val="null3"/>
            </w:pPr>
            <w:r>
              <w:rPr>
                <w:rFonts w:ascii="仿宋_GB2312" w:hAnsi="仿宋_GB2312" w:cs="仿宋_GB2312" w:eastAsia="仿宋_GB2312"/>
              </w:rPr>
              <w:t>针对本项目配备的专业工作车辆及设施设备车辆管理、维护的保障措施</w:t>
            </w:r>
          </w:p>
        </w:tc>
        <w:tc>
          <w:tcPr>
            <w:tcW w:type="dxa" w:w="2492"/>
          </w:tcPr>
          <w:p>
            <w:pPr>
              <w:pStyle w:val="null3"/>
            </w:pPr>
            <w:r>
              <w:rPr>
                <w:rFonts w:ascii="仿宋_GB2312" w:hAnsi="仿宋_GB2312" w:cs="仿宋_GB2312" w:eastAsia="仿宋_GB2312"/>
              </w:rPr>
              <w:t>配备情况及措施完整能充分满足本项目需求得（3,5]分；配备情况及措施一般，基本能满足本项目需求得（1,3]分；配备情况不够充足，措施较差得[0,1]分。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技术方案响应说明</w:t>
            </w:r>
          </w:p>
        </w:tc>
      </w:tr>
      <w:tr>
        <w:tc>
          <w:tcPr>
            <w:tcW w:type="dxa" w:w="831"/>
            <w:vMerge/>
          </w:tcPr>
          <w:p/>
        </w:tc>
        <w:tc>
          <w:tcPr>
            <w:tcW w:type="dxa" w:w="1661"/>
          </w:tcPr>
          <w:p>
            <w:pPr>
              <w:pStyle w:val="null3"/>
            </w:pPr>
            <w:r>
              <w:rPr>
                <w:rFonts w:ascii="仿宋_GB2312" w:hAnsi="仿宋_GB2312" w:cs="仿宋_GB2312" w:eastAsia="仿宋_GB2312"/>
              </w:rPr>
              <w:t>出现紧急情况或故障时维修人员的响应保障措施、清洁及保洁的保障措施</w:t>
            </w:r>
          </w:p>
        </w:tc>
        <w:tc>
          <w:tcPr>
            <w:tcW w:type="dxa" w:w="2492"/>
          </w:tcPr>
          <w:p>
            <w:pPr>
              <w:pStyle w:val="null3"/>
            </w:pPr>
            <w:r>
              <w:rPr>
                <w:rFonts w:ascii="仿宋_GB2312" w:hAnsi="仿宋_GB2312" w:cs="仿宋_GB2312" w:eastAsia="仿宋_GB2312"/>
              </w:rPr>
              <w:t>能够保证在出现紧急情况或故障时第一时间响应且做出应对，措施完整可靠得（3,5]分；在出现紧急情况或故障时积极响应，保障措施内容较完整可行得（1,3]分；在出现紧急情况或故障时响应性较差，保障措施不够充分得[0,1]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技术方案响应说明</w:t>
            </w:r>
          </w:p>
        </w:tc>
      </w:tr>
      <w:tr>
        <w:tc>
          <w:tcPr>
            <w:tcW w:type="dxa" w:w="831"/>
            <w:vMerge/>
          </w:tcPr>
          <w:p/>
        </w:tc>
        <w:tc>
          <w:tcPr>
            <w:tcW w:type="dxa" w:w="1661"/>
          </w:tcPr>
          <w:p>
            <w:pPr>
              <w:pStyle w:val="null3"/>
            </w:pPr>
            <w:r>
              <w:rPr>
                <w:rFonts w:ascii="仿宋_GB2312" w:hAnsi="仿宋_GB2312" w:cs="仿宋_GB2312" w:eastAsia="仿宋_GB2312"/>
              </w:rPr>
              <w:t>绿化养护管理制度完善，程序规范，责任明确，具有可操作性</w:t>
            </w:r>
          </w:p>
        </w:tc>
        <w:tc>
          <w:tcPr>
            <w:tcW w:type="dxa" w:w="2492"/>
          </w:tcPr>
          <w:p>
            <w:pPr>
              <w:pStyle w:val="null3"/>
            </w:pPr>
            <w:r>
              <w:rPr>
                <w:rFonts w:ascii="仿宋_GB2312" w:hAnsi="仿宋_GB2312" w:cs="仿宋_GB2312" w:eastAsia="仿宋_GB2312"/>
              </w:rPr>
              <w:t>根据管理制度内容完整，描述清晰，且能针对性满足项目得（3,5]分；管理制度内容较完整，描述简单，可行性一般，基本满足项目得（1,3]分；管理制度内容笼统，描述简单，可行性不强得[0,1]分。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技术方案响应说明</w:t>
            </w:r>
          </w:p>
        </w:tc>
      </w:tr>
      <w:tr>
        <w:tc>
          <w:tcPr>
            <w:tcW w:type="dxa" w:w="831"/>
            <w:vMerge/>
          </w:tcPr>
          <w:p/>
        </w:tc>
        <w:tc>
          <w:tcPr>
            <w:tcW w:type="dxa" w:w="1661"/>
          </w:tcPr>
          <w:p>
            <w:pPr>
              <w:pStyle w:val="null3"/>
            </w:pPr>
            <w:r>
              <w:rPr>
                <w:rFonts w:ascii="仿宋_GB2312" w:hAnsi="仿宋_GB2312" w:cs="仿宋_GB2312" w:eastAsia="仿宋_GB2312"/>
              </w:rPr>
              <w:t>绿化养护技术方案结合季节变化，考虑各类园林植物特性，养护计划周密，措施有效，有病虫害防治方案</w:t>
            </w:r>
          </w:p>
        </w:tc>
        <w:tc>
          <w:tcPr>
            <w:tcW w:type="dxa" w:w="2492"/>
          </w:tcPr>
          <w:p>
            <w:pPr>
              <w:pStyle w:val="null3"/>
            </w:pPr>
            <w:r>
              <w:rPr>
                <w:rFonts w:ascii="仿宋_GB2312" w:hAnsi="仿宋_GB2312" w:cs="仿宋_GB2312" w:eastAsia="仿宋_GB2312"/>
              </w:rPr>
              <w:t>根据技术方案内容完整，描述清晰，且能针对性满足项目得（3,5]分；技术方案内容较完整，描述简单，可行性一般，基本满足项目得（1,3]分；技术方案内容笼统，描述简单，可行性不强得[0,1]分。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技术方案响应说明</w:t>
            </w:r>
          </w:p>
        </w:tc>
      </w:tr>
      <w:tr>
        <w:tc>
          <w:tcPr>
            <w:tcW w:type="dxa" w:w="831"/>
            <w:vMerge/>
          </w:tcPr>
          <w:p/>
        </w:tc>
        <w:tc>
          <w:tcPr>
            <w:tcW w:type="dxa" w:w="1661"/>
          </w:tcPr>
          <w:p>
            <w:pPr>
              <w:pStyle w:val="null3"/>
            </w:pPr>
            <w:r>
              <w:rPr>
                <w:rFonts w:ascii="仿宋_GB2312" w:hAnsi="仿宋_GB2312" w:cs="仿宋_GB2312" w:eastAsia="仿宋_GB2312"/>
              </w:rPr>
              <w:t>健全的内部管理制度及风险控制制度</w:t>
            </w:r>
          </w:p>
        </w:tc>
        <w:tc>
          <w:tcPr>
            <w:tcW w:type="dxa" w:w="2492"/>
          </w:tcPr>
          <w:p>
            <w:pPr>
              <w:pStyle w:val="null3"/>
            </w:pPr>
            <w:r>
              <w:rPr>
                <w:rFonts w:ascii="仿宋_GB2312" w:hAnsi="仿宋_GB2312" w:cs="仿宋_GB2312" w:eastAsia="仿宋_GB2312"/>
              </w:rPr>
              <w:t>有健全可行的内部管理制度及风险控制制度得（2.5,5]分；制度内容笼统，描述简单，可行性一般得[0,2.5]分。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技术方案响应说明</w:t>
            </w:r>
          </w:p>
        </w:tc>
      </w:tr>
      <w:tr>
        <w:tc>
          <w:tcPr>
            <w:tcW w:type="dxa" w:w="831"/>
            <w:vMerge/>
          </w:tcPr>
          <w:p/>
        </w:tc>
        <w:tc>
          <w:tcPr>
            <w:tcW w:type="dxa" w:w="1661"/>
          </w:tcPr>
          <w:p>
            <w:pPr>
              <w:pStyle w:val="null3"/>
            </w:pPr>
            <w:r>
              <w:rPr>
                <w:rFonts w:ascii="仿宋_GB2312" w:hAnsi="仿宋_GB2312" w:cs="仿宋_GB2312" w:eastAsia="仿宋_GB2312"/>
              </w:rPr>
              <w:t>人员配备与管理方案，各岗位人员的配置完整</w:t>
            </w:r>
          </w:p>
        </w:tc>
        <w:tc>
          <w:tcPr>
            <w:tcW w:type="dxa" w:w="2492"/>
          </w:tcPr>
          <w:p>
            <w:pPr>
              <w:pStyle w:val="null3"/>
            </w:pPr>
            <w:r>
              <w:rPr>
                <w:rFonts w:ascii="仿宋_GB2312" w:hAnsi="仿宋_GB2312" w:cs="仿宋_GB2312" w:eastAsia="仿宋_GB2312"/>
              </w:rPr>
              <w:t>根据内容完整，描述清晰，且能针对性满足项目得（2.5,5]分；内容笼统，描述简单，可行性不强得[0,2.5]分。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技术方案响应说明</w:t>
            </w:r>
          </w:p>
        </w:tc>
      </w:tr>
      <w:tr>
        <w:tc>
          <w:tcPr>
            <w:tcW w:type="dxa" w:w="831"/>
            <w:vMerge/>
          </w:tcPr>
          <w:p/>
        </w:tc>
        <w:tc>
          <w:tcPr>
            <w:tcW w:type="dxa" w:w="1661"/>
          </w:tcPr>
          <w:p>
            <w:pPr>
              <w:pStyle w:val="null3"/>
            </w:pPr>
            <w:r>
              <w:rPr>
                <w:rFonts w:ascii="仿宋_GB2312" w:hAnsi="仿宋_GB2312" w:cs="仿宋_GB2312" w:eastAsia="仿宋_GB2312"/>
              </w:rPr>
              <w:t>投标人针对本项目所配人员经过严格培训，具备执行能力，能够有效实施养护管理工作</w:t>
            </w:r>
          </w:p>
        </w:tc>
        <w:tc>
          <w:tcPr>
            <w:tcW w:type="dxa" w:w="2492"/>
          </w:tcPr>
          <w:p>
            <w:pPr>
              <w:pStyle w:val="null3"/>
            </w:pPr>
            <w:r>
              <w:rPr>
                <w:rFonts w:ascii="仿宋_GB2312" w:hAnsi="仿宋_GB2312" w:cs="仿宋_GB2312" w:eastAsia="仿宋_GB2312"/>
              </w:rPr>
              <w:t>所配备人员充足且科学合理，分工明确，每个人员都有相关培训证明得（2.5,5]分；所配备人员基本满足项目需求，有相关培训证明[0,2.5]分。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技术方案响应说明</w:t>
            </w:r>
          </w:p>
        </w:tc>
      </w:tr>
      <w:tr>
        <w:tc>
          <w:tcPr>
            <w:tcW w:type="dxa" w:w="831"/>
            <w:vMerge/>
          </w:tcPr>
          <w:p/>
        </w:tc>
        <w:tc>
          <w:tcPr>
            <w:tcW w:type="dxa" w:w="1661"/>
          </w:tcPr>
          <w:p>
            <w:pPr>
              <w:pStyle w:val="null3"/>
            </w:pPr>
            <w:r>
              <w:rPr>
                <w:rFonts w:ascii="仿宋_GB2312" w:hAnsi="仿宋_GB2312" w:cs="仿宋_GB2312" w:eastAsia="仿宋_GB2312"/>
              </w:rPr>
              <w:t>人员安全作业的保障措施</w:t>
            </w:r>
          </w:p>
        </w:tc>
        <w:tc>
          <w:tcPr>
            <w:tcW w:type="dxa" w:w="2492"/>
          </w:tcPr>
          <w:p>
            <w:pPr>
              <w:pStyle w:val="null3"/>
            </w:pPr>
            <w:r>
              <w:rPr>
                <w:rFonts w:ascii="仿宋_GB2312" w:hAnsi="仿宋_GB2312" w:cs="仿宋_GB2312" w:eastAsia="仿宋_GB2312"/>
              </w:rPr>
              <w:t>能够保证各岗位人员都能做到安全作业，保障措施合理完整得（2.5,5]分；各岗位人员在安全作业时存有安全隐患，保证措施不够充足得[0,2.5]。</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技术方案响应说明</w:t>
            </w:r>
          </w:p>
        </w:tc>
      </w:tr>
      <w:tr>
        <w:tc>
          <w:tcPr>
            <w:tcW w:type="dxa" w:w="831"/>
            <w:vMerge/>
          </w:tcPr>
          <w:p/>
        </w:tc>
        <w:tc>
          <w:tcPr>
            <w:tcW w:type="dxa" w:w="1661"/>
          </w:tcPr>
          <w:p>
            <w:pPr>
              <w:pStyle w:val="null3"/>
            </w:pPr>
            <w:r>
              <w:rPr>
                <w:rFonts w:ascii="仿宋_GB2312" w:hAnsi="仿宋_GB2312" w:cs="仿宋_GB2312" w:eastAsia="仿宋_GB2312"/>
              </w:rPr>
              <w:t>提供针对本项目的预期效果方案及未达到预期效果的解决措施</w:t>
            </w:r>
          </w:p>
        </w:tc>
        <w:tc>
          <w:tcPr>
            <w:tcW w:type="dxa" w:w="2492"/>
          </w:tcPr>
          <w:p>
            <w:pPr>
              <w:pStyle w:val="null3"/>
            </w:pPr>
            <w:r>
              <w:rPr>
                <w:rFonts w:ascii="仿宋_GB2312" w:hAnsi="仿宋_GB2312" w:cs="仿宋_GB2312" w:eastAsia="仿宋_GB2312"/>
              </w:rPr>
              <w:t>根据措施内容完整，描述清晰，且能针对性满足项目得（2.5,5]分；措施内容笼统，描述简单，可行性不强得[0,2.5]分。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技术方案响应说明</w:t>
            </w:r>
          </w:p>
        </w:tc>
      </w:tr>
      <w:tr>
        <w:tc>
          <w:tcPr>
            <w:tcW w:type="dxa" w:w="831"/>
            <w:vMerge/>
          </w:tcPr>
          <w:p/>
        </w:tc>
        <w:tc>
          <w:tcPr>
            <w:tcW w:type="dxa" w:w="1661"/>
          </w:tcPr>
          <w:p>
            <w:pPr>
              <w:pStyle w:val="null3"/>
            </w:pPr>
            <w:r>
              <w:rPr>
                <w:rFonts w:ascii="仿宋_GB2312" w:hAnsi="仿宋_GB2312" w:cs="仿宋_GB2312" w:eastAsia="仿宋_GB2312"/>
              </w:rPr>
              <w:t>对本项目的重点把握突出，难点分析到位</w:t>
            </w:r>
          </w:p>
        </w:tc>
        <w:tc>
          <w:tcPr>
            <w:tcW w:type="dxa" w:w="2492"/>
          </w:tcPr>
          <w:p>
            <w:pPr>
              <w:pStyle w:val="null3"/>
            </w:pPr>
            <w:r>
              <w:rPr>
                <w:rFonts w:ascii="仿宋_GB2312" w:hAnsi="仿宋_GB2312" w:cs="仿宋_GB2312" w:eastAsia="仿宋_GB2312"/>
              </w:rPr>
              <w:t>根据内容完整，描述清晰，且能针对性满足项目得（3,5]分；内容较完整，描述简单，可行性一般，基本满足项目得（1,3]分；内容笼统，描述简单，可行性不强得[0,1]分。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技术方案响应说明</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1、对本次项目的服务承诺（包含但不限于针对本项目的各项服务质量目标、保障措施及服务人员入场计划等内容），承诺各管理项目指标达到国家相关标准，按其响应程度计0～2.5分。 2、对服务期限内质量、人员到位情况、后期服务等做出实质性承诺（内容应当包含不能完全履行承诺时愿意接受相关处罚的相关承诺），按其响应程度计0～2.5分。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技术方案响应说明</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针对本项目，提出合理化建议： 根据内容完整，描述清晰，且能针对性满足项目得（3,5]分；内容较完整，描述简单，可行性一般，基本满足项目得（1,3]分；内容笼统，描述简单，可行性不强得[0,1]分。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技术方案响应说明</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提供近三年（2023年1月1日至今）类似项目业绩，以合同签订时间为准，每提供一个得2分，本项满分10分。评审依据：以供应商加盖公章的合同复印件为准。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业绩的相关证明材料</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有效供应商最低报价作为评标基准价，各供应商的报价得分按下列公式计算： （评标基准价/投标报价）×10%×100分。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详见附件：封皮</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详见附件：合同条款偏离表</w:t>
      </w:r>
    </w:p>
    <w:p>
      <w:pPr>
        <w:pStyle w:val="null3"/>
        <w:ind w:firstLine="960"/>
      </w:pPr>
      <w:r>
        <w:rPr>
          <w:rFonts w:ascii="仿宋_GB2312" w:hAnsi="仿宋_GB2312" w:cs="仿宋_GB2312" w:eastAsia="仿宋_GB2312"/>
        </w:rPr>
        <w:t>详见附件：技术、服务及其他商务要求应答表</w:t>
      </w:r>
    </w:p>
    <w:p>
      <w:pPr>
        <w:pStyle w:val="null3"/>
        <w:ind w:firstLine="960"/>
      </w:pPr>
      <w:r>
        <w:rPr>
          <w:rFonts w:ascii="仿宋_GB2312" w:hAnsi="仿宋_GB2312" w:cs="仿宋_GB2312" w:eastAsia="仿宋_GB2312"/>
        </w:rPr>
        <w:t>详见附件：技术方案响应说明</w:t>
      </w:r>
    </w:p>
    <w:p>
      <w:pPr>
        <w:pStyle w:val="null3"/>
        <w:ind w:firstLine="960"/>
      </w:pPr>
      <w:r>
        <w:rPr>
          <w:rFonts w:ascii="仿宋_GB2312" w:hAnsi="仿宋_GB2312" w:cs="仿宋_GB2312" w:eastAsia="仿宋_GB2312"/>
        </w:rPr>
        <w:t>详见附件：业绩的相关证明材料</w:t>
      </w:r>
    </w:p>
    <w:p>
      <w:pPr>
        <w:pStyle w:val="null3"/>
        <w:ind w:firstLine="960"/>
      </w:pPr>
      <w:r>
        <w:rPr>
          <w:rFonts w:ascii="仿宋_GB2312" w:hAnsi="仿宋_GB2312" w:cs="仿宋_GB2312" w:eastAsia="仿宋_GB2312"/>
        </w:rPr>
        <w:t>详见附件：其他承诺</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详见附件：封皮</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详见附件：合同条款偏离表</w:t>
      </w:r>
    </w:p>
    <w:p>
      <w:pPr>
        <w:pStyle w:val="null3"/>
        <w:ind w:firstLine="960"/>
      </w:pPr>
      <w:r>
        <w:rPr>
          <w:rFonts w:ascii="仿宋_GB2312" w:hAnsi="仿宋_GB2312" w:cs="仿宋_GB2312" w:eastAsia="仿宋_GB2312"/>
        </w:rPr>
        <w:t>详见附件：技术、服务及其他商务要求应答表</w:t>
      </w:r>
    </w:p>
    <w:p>
      <w:pPr>
        <w:pStyle w:val="null3"/>
        <w:ind w:firstLine="960"/>
      </w:pPr>
      <w:r>
        <w:rPr>
          <w:rFonts w:ascii="仿宋_GB2312" w:hAnsi="仿宋_GB2312" w:cs="仿宋_GB2312" w:eastAsia="仿宋_GB2312"/>
        </w:rPr>
        <w:t>详见附件：技术方案响应说明</w:t>
      </w:r>
    </w:p>
    <w:p>
      <w:pPr>
        <w:pStyle w:val="null3"/>
        <w:ind w:firstLine="960"/>
      </w:pPr>
      <w:r>
        <w:rPr>
          <w:rFonts w:ascii="仿宋_GB2312" w:hAnsi="仿宋_GB2312" w:cs="仿宋_GB2312" w:eastAsia="仿宋_GB2312"/>
        </w:rPr>
        <w:t>详见附件：业绩的相关证明材料</w:t>
      </w:r>
    </w:p>
    <w:p>
      <w:pPr>
        <w:pStyle w:val="null3"/>
        <w:ind w:firstLine="960"/>
      </w:pPr>
      <w:r>
        <w:rPr>
          <w:rFonts w:ascii="仿宋_GB2312" w:hAnsi="仿宋_GB2312" w:cs="仿宋_GB2312" w:eastAsia="仿宋_GB2312"/>
        </w:rPr>
        <w:t>详见附件：其他承诺</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详见附件：2026年度兴隆街道城市道路保洁、绿化养护及公厕管理服务合同.docx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