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版本号：ZCMR--202603420260511001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略阳县2026年中央政法转移资金自定装备采购项目(白水江镇及横现河街道办石庄沟法治文化广场)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ZCMR--2026034</w:t>
      </w:r>
      <w:r>
        <w:br/>
      </w:r>
      <w:r>
        <w:br/>
      </w:r>
      <w:r>
        <w:br/>
      </w:r>
    </w:p>
    <w:p>
      <w:pPr>
        <w:pStyle w:val="null3"/>
        <w:jc w:val="center"/>
        <w:outlineLvl w:val="2"/>
      </w:pPr>
      <w:r>
        <w:rPr>
          <w:rFonts w:ascii="仿宋_GB2312" w:hAnsi="仿宋_GB2312" w:cs="仿宋_GB2312" w:eastAsia="仿宋_GB2312"/>
          <w:sz w:val="28"/>
          <w:b/>
        </w:rPr>
        <w:t>略阳县司法局</w:t>
      </w:r>
    </w:p>
    <w:p>
      <w:pPr>
        <w:pStyle w:val="null3"/>
        <w:jc w:val="center"/>
        <w:outlineLvl w:val="2"/>
      </w:pPr>
      <w:r>
        <w:rPr>
          <w:rFonts w:ascii="仿宋_GB2312" w:hAnsi="仿宋_GB2312" w:cs="仿宋_GB2312" w:eastAsia="仿宋_GB2312"/>
          <w:sz w:val="28"/>
          <w:b/>
        </w:rPr>
        <w:t>汉中明瑞项目管理有限公司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汉中明瑞项目管理有限公司</w:t>
      </w:r>
      <w:r>
        <w:rPr>
          <w:rFonts w:ascii="仿宋_GB2312" w:hAnsi="仿宋_GB2312" w:cs="仿宋_GB2312" w:eastAsia="仿宋_GB2312"/>
        </w:rPr>
        <w:t>（以下简称“代理机构”）受</w:t>
      </w:r>
      <w:r>
        <w:rPr>
          <w:rFonts w:ascii="仿宋_GB2312" w:hAnsi="仿宋_GB2312" w:cs="仿宋_GB2312" w:eastAsia="仿宋_GB2312"/>
        </w:rPr>
        <w:t>略阳县司法局</w:t>
      </w:r>
      <w:r>
        <w:rPr>
          <w:rFonts w:ascii="仿宋_GB2312" w:hAnsi="仿宋_GB2312" w:cs="仿宋_GB2312" w:eastAsia="仿宋_GB2312"/>
        </w:rPr>
        <w:t>委托，拟对</w:t>
      </w:r>
      <w:r>
        <w:rPr>
          <w:rFonts w:ascii="仿宋_GB2312" w:hAnsi="仿宋_GB2312" w:cs="仿宋_GB2312" w:eastAsia="仿宋_GB2312"/>
        </w:rPr>
        <w:t>略阳县2026年中央政法转移资金自定装备采购项目(白水江镇及横现河街道办石庄沟法治文化广场)</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ZCMR--2026034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略阳县2026年中央政法转移资金自定装备采购项目(白水江镇及横现河街道办石庄沟法治文化广场)</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建设法治文化广场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采购包1（自定装备建设）：属于专门面向中小企业采购。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略阳县司法局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略阳县中学路司法局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向女士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0916-4822357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汉中明瑞项目管理有限公司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汉中市汉台区竹园天玺办公楼11楼（汉台区桥北广场东北角）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17384866623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开户名称：中国建设银行股份有限公司汉中天汉大道支行</w:t>
            </w:r>
          </w:p>
          <w:p>
            <w:pPr>
              <w:pStyle w:val="null3"/>
            </w:pPr>
            <w:r>
              <w:rPr>
                <w:rFonts w:ascii="仿宋_GB2312" w:hAnsi="仿宋_GB2312" w:cs="仿宋_GB2312" w:eastAsia="仿宋_GB2312"/>
              </w:rPr>
              <w:t>开户银行：汉中明瑞项目管理有限公司</w:t>
            </w:r>
          </w:p>
          <w:p>
            <w:pPr>
              <w:pStyle w:val="null3"/>
            </w:pPr>
            <w:r>
              <w:rPr>
                <w:rFonts w:ascii="仿宋_GB2312" w:hAnsi="仿宋_GB2312" w:cs="仿宋_GB2312" w:eastAsia="仿宋_GB2312"/>
              </w:rPr>
              <w:t>银行账号：61050165530000001084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代理服务费收费标准：参照《国家计委关于印发&lt;招标代理服务收费管理暂行办法&gt;的通知》（计价格[2002]1980号）、发改价格〔2011〕534号文及《 陕西省住房和城乡建设厅文件陕价行发【2014】88号》文收费标准向采购代理机构支付代理服务费。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略阳县司法局</w:t>
      </w:r>
      <w:r>
        <w:rPr>
          <w:rFonts w:ascii="仿宋_GB2312" w:hAnsi="仿宋_GB2312" w:cs="仿宋_GB2312" w:eastAsia="仿宋_GB2312"/>
        </w:rPr>
        <w:t>和</w:t>
      </w:r>
      <w:r>
        <w:rPr>
          <w:rFonts w:ascii="仿宋_GB2312" w:hAnsi="仿宋_GB2312" w:cs="仿宋_GB2312" w:eastAsia="仿宋_GB2312"/>
        </w:rPr>
        <w:t>汉中明瑞项目管理有限公司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略阳县司法局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汉中明瑞项目管理有限公司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略阳县司法局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汉中明瑞项目管理有限公司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联系人：杨先生</w:t>
      </w:r>
    </w:p>
    <w:p>
      <w:pPr>
        <w:pStyle w:val="null3"/>
      </w:pPr>
      <w:r>
        <w:rPr>
          <w:rFonts w:ascii="仿宋_GB2312" w:hAnsi="仿宋_GB2312" w:cs="仿宋_GB2312" w:eastAsia="仿宋_GB2312"/>
        </w:rPr>
        <w:t>联系电话：17384866623</w:t>
      </w:r>
    </w:p>
    <w:p>
      <w:pPr>
        <w:pStyle w:val="null3"/>
      </w:pPr>
      <w:r>
        <w:rPr>
          <w:rFonts w:ascii="仿宋_GB2312" w:hAnsi="仿宋_GB2312" w:cs="仿宋_GB2312" w:eastAsia="仿宋_GB2312"/>
        </w:rPr>
        <w:t>地址：汉中市汉台区竹园天玺办公楼11楼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建设法治文化广场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530,000.00</w:t>
      </w:r>
    </w:p>
    <w:p>
      <w:pPr>
        <w:pStyle w:val="null3"/>
      </w:pPr>
      <w:r>
        <w:rPr>
          <w:rFonts w:ascii="仿宋_GB2312" w:hAnsi="仿宋_GB2312" w:cs="仿宋_GB2312" w:eastAsia="仿宋_GB2312"/>
        </w:rPr>
        <w:t>采购包最高限价（元）: 530,000.00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自定装备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标的名称：自定装备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5"/>
              <w:gridCol w:w="155"/>
              <w:gridCol w:w="2371"/>
              <w:gridCol w:w="274"/>
              <w:gridCol w:w="230"/>
            </w:tblGrid>
            <w:tr>
              <w:tc>
                <w:tcPr>
                  <w:tcW w:type="dxa" w:w="15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15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237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/参数</w:t>
                  </w:r>
                </w:p>
              </w:tc>
              <w:tc>
                <w:tcPr>
                  <w:tcW w:type="dxa" w:w="27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23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法治精神堡垒</w:t>
                  </w:r>
                </w:p>
              </w:tc>
              <w:tc>
                <w:tcPr>
                  <w:tcW w:type="dxa" w:w="2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体结构选用国标Q355B高强度热镀锌钢骨架，主受力龙骨采用150×150×6mm厚热镀锌方钢，副龙骨采用80×80×4mm加强型镀锌方管，整体钢结构含钢量高，结合二氧化碳保护焊满焊工艺及热浸镀锌防腐处理，整体结构稳定性强，满足大型户外景观长期使用需求。整体规格：5M*0.7M*2M。</w:t>
                  </w:r>
                  <w:r>
                    <w:br/>
                  </w:r>
                  <w:r>
                    <w:rPr>
                      <w:rFonts w:ascii="仿宋_GB2312" w:hAnsi="仿宋_GB2312" w:cs="仿宋_GB2312" w:eastAsia="仿宋_GB2312"/>
                      <w:sz w:val="21"/>
                    </w:rPr>
                    <w:t>2.整体外饰面采用3.0mm厚热镀锌钢板工艺制作，板材经数控激光切割、数控折弯、无缝拼接及45°精工倒角处理，整体平整度高，工艺精细。表面采用汽车级PVDF氟碳喷涂体系，总漆膜厚度≥120μm，包含环氧富锌底漆、聚氨酯中涂层、氟碳金属面漆及抗UV清漆保护层，具备优异的防腐蚀、防氧化、防紫外线及长期保色性能。</w:t>
                  </w:r>
                  <w:r>
                    <w:br/>
                  </w:r>
                  <w:r>
                    <w:rPr>
                      <w:rFonts w:ascii="仿宋_GB2312" w:hAnsi="仿宋_GB2312" w:cs="仿宋_GB2312" w:eastAsia="仿宋_GB2312"/>
                      <w:sz w:val="21"/>
                    </w:rPr>
                    <w:t>3.标题文字采用高端定制304不锈钢超厚烤漆立体字工艺，字壳采用3.0mm厚304不锈钢激光切割焊接成型，字厚80-120mm，内部设置金属加强结构，表面采用汽车级烤漆及氟碳罩光工艺，整体立体感强，视觉品质高级；整体宣传内容采用双面文字展示制作工艺，满足双向人流视觉展示需求。</w:t>
                  </w:r>
                  <w:r>
                    <w:br/>
                  </w:r>
                  <w:r>
                    <w:rPr>
                      <w:rFonts w:ascii="仿宋_GB2312" w:hAnsi="仿宋_GB2312" w:cs="仿宋_GB2312" w:eastAsia="仿宋_GB2312"/>
                      <w:sz w:val="21"/>
                    </w:rPr>
                    <w:t>4.整体安装系统采用隐藏式背栓锁扣工艺，内部配置304不锈钢连接件、铝合金加固挂件、高强度热镀锌螺栓、防震缓冲胶垫及耐候结构胶，确保整体长期使用不松动、不变形。</w:t>
                  </w:r>
                  <w:r>
                    <w:br/>
                  </w:r>
                  <w:r>
                    <w:rPr>
                      <w:rFonts w:ascii="仿宋_GB2312" w:hAnsi="仿宋_GB2312" w:cs="仿宋_GB2312" w:eastAsia="仿宋_GB2312"/>
                      <w:sz w:val="21"/>
                    </w:rPr>
                    <w:t>5.基础部分采用C35钢筋混凝土重型预埋基础，内置双层双向钢筋网及12mm厚预埋钢板系统，结合高强度地脚螺栓固定，整体具备优异的抗风压及抗倾覆性能；后期结合周边景观进行草皮铺贴及绿化收边处理。</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法治宣传栏</w:t>
                  </w:r>
                </w:p>
              </w:tc>
              <w:tc>
                <w:tcPr>
                  <w:tcW w:type="dxa" w:w="2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体结构工艺：整体主体结构采用国标Q355B高强度热镀锌钢结构体系，主框架选用120×120×5mm厚热镀锌方管，内部加强龙骨采用80×80×4mm及50×50×3mm热镀锌方管组合焊接成型；整体采用二氧化碳保护焊满焊工艺，焊缝连续均匀，焊点精细打磨处理。钢结构整体经酸洗除锈、热浸镀锌、防锈封闭及环氧富锌底漆处理，整体结构稳定性强，满足长期户外景观使用需求。</w:t>
                  </w:r>
                  <w:r>
                    <w:br/>
                  </w:r>
                  <w:r>
                    <w:rPr>
                      <w:rFonts w:ascii="仿宋_GB2312" w:hAnsi="仿宋_GB2312" w:cs="仿宋_GB2312" w:eastAsia="仿宋_GB2312"/>
                      <w:sz w:val="21"/>
                    </w:rPr>
                    <w:t>2.外饰面系统工艺：整体外饰面采用2.5mm厚高品质热镀锌钢板工艺制作，板材通过数控激光切割、数控折弯、无缝拼接及45°精工倒角处理，整体板面平整度高。表面采用汽车级PVDF氟碳喷涂体系，总漆膜厚度≥120μm，包含环氧富锌底漆、聚氨酯中涂层、氟碳金属面漆及抗UV清漆保护层，具备优异的防腐蚀、防氧化、防褪色及耐候性能。整体规格：8M*0.5M*2.5M。</w:t>
                  </w:r>
                  <w:r>
                    <w:br/>
                  </w:r>
                  <w:r>
                    <w:rPr>
                      <w:rFonts w:ascii="仿宋_GB2312" w:hAnsi="仿宋_GB2312" w:cs="仿宋_GB2312" w:eastAsia="仿宋_GB2312"/>
                      <w:sz w:val="21"/>
                    </w:rPr>
                    <w:t>3.宣传橱窗系统工艺：橱窗采用双面可开启式展示结构设计，整体采用双面宣传橱窗系统，满足双向人流法治宣传展示需求。框体采用隐藏式开启结构，整体安装8mm厚钢化超白玻璃，玻璃边缘进行精磨倒角处理，整体通透性及安全性高。内部配置液压缓冲支撑杆、304不锈钢专用防盗锁具、防水密封胶条及可更换式宣传背板系统，方便后期宣传海报快速更换维护，同时保证整体展示品质与长期使用稳定性。</w:t>
                  </w:r>
                  <w:r>
                    <w:br/>
                  </w:r>
                  <w:r>
                    <w:rPr>
                      <w:rFonts w:ascii="仿宋_GB2312" w:hAnsi="仿宋_GB2312" w:cs="仿宋_GB2312" w:eastAsia="仿宋_GB2312"/>
                      <w:sz w:val="21"/>
                    </w:rPr>
                    <w:t>4.安装及预埋基础工艺：整体安装系统采用隐藏式背栓锁扣工艺，内部配置304不锈钢连接件、铝合金加固挂件、高强度热镀锌螺栓及耐候结构胶。基础部分采用C35钢筋混凝土预埋基础，内置12mm厚预埋钢板及M16高强度地脚螺栓固定，结合双层双向钢筋网结构，整体具备优异的抗风压及抗倾覆性能。</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尊法学法守法用法</w:t>
                  </w:r>
                </w:p>
              </w:tc>
              <w:tc>
                <w:tcPr>
                  <w:tcW w:type="dxa" w:w="2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体结构制作工艺：整体主体结构采用国标Q355B高强度热镀锌钢结构体系，内部主受力骨架采用120×120×5mm厚热镀锌方管焊接成型，局部异形曲面位置采用80×80×4mm及50×50×3mm热镀锌方管进行分层加密龙骨制作。整体采用二氧化碳保护焊满焊工艺，焊缝连续均匀，整体焊点进行精细打磨处理。钢结构整体酸洗除锈、热浸镀锌、防锈封闭及环氧富锌底漆处理</w:t>
                  </w:r>
                  <w:r>
                    <w:br/>
                  </w:r>
                  <w:r>
                    <w:rPr>
                      <w:rFonts w:ascii="仿宋_GB2312" w:hAnsi="仿宋_GB2312" w:cs="仿宋_GB2312" w:eastAsia="仿宋_GB2312"/>
                      <w:sz w:val="21"/>
                    </w:rPr>
                    <w:t>2.异形金属饰面工艺：整体外饰面采用2.5mm厚热镀锌钢板精工制作，结合数控激光切割、数控折弯、异形曲面放样、分块拼接及无缝焊接工艺完成。整体曲面采用手工精细校形处理，确保异形弧面流畅自然,局部镂空及层叠造型采用多层金属板组合工艺.表面采用汽车级PVDF氟碳喷涂体系：环氧富锌防锈底漆 聚氨酯中涂层 氟碳金属面漆抗UV清漆保护层 整体漆膜厚度≥120μm，具备优异的防腐蚀、防氧化、防褪色及耐候性能，长期户外使用不易老化变形。整体规格：1.7M*0.4M*1.7M。</w:t>
                  </w:r>
                  <w:r>
                    <w:br/>
                  </w:r>
                  <w:r>
                    <w:rPr>
                      <w:rFonts w:ascii="仿宋_GB2312" w:hAnsi="仿宋_GB2312" w:cs="仿宋_GB2312" w:eastAsia="仿宋_GB2312"/>
                      <w:sz w:val="21"/>
                    </w:rPr>
                    <w:t>3..金属立体文字工艺：文字采用304不锈钢超厚烤漆立体字工艺，字壳采用3.0mm厚304拉丝不锈钢激光切割焊接成型，字厚80-100mm，内部增加加强筋结构。表面采用汽车级烤漆及氟碳罩光工艺，整体立体感强，字体边缘精细。</w:t>
                  </w:r>
                  <w:r>
                    <w:br/>
                  </w:r>
                  <w:r>
                    <w:rPr>
                      <w:rFonts w:ascii="仿宋_GB2312" w:hAnsi="仿宋_GB2312" w:cs="仿宋_GB2312" w:eastAsia="仿宋_GB2312"/>
                      <w:sz w:val="21"/>
                    </w:rPr>
                    <w:t>4.金属格栅及层叠造型工艺： 背景金属格栅采用304不锈钢圆管阵列组合，整体采用精密排布安装。波浪层叠造型采用多层激光切割钢板焊接组合。</w:t>
                  </w:r>
                  <w:r>
                    <w:br/>
                  </w:r>
                  <w:r>
                    <w:rPr>
                      <w:rFonts w:ascii="仿宋_GB2312" w:hAnsi="仿宋_GB2312" w:cs="仿宋_GB2312" w:eastAsia="仿宋_GB2312"/>
                      <w:sz w:val="21"/>
                    </w:rPr>
                    <w:t>5.安装及预埋基础工艺： 整体安装系统采用隐藏式钢结构连接工艺，内部配置高强度热镀锌连接件、304不锈钢加固件及防震缓冲结构。基础部分采用C35钢筋混凝土重型预埋基础，内置12mm厚预埋钢板及M16-M20高强度地脚螺栓固定，结合双层双向钢筋网结构，整体具备优异的抗风压及抗倾覆性能。</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民法典科普</w:t>
                  </w:r>
                </w:p>
              </w:tc>
              <w:tc>
                <w:tcPr>
                  <w:tcW w:type="dxa" w:w="2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体钢结构:整体主体结构采用国标Q355D高强度低合金钢制作，内部主龙骨采用200×100×6mm热镀锌矩形钢管，结合100×100×5mm加密方管形成双层闭合式受力体系。顶部弧形门头采用6mm厚钢板数控滚弧一体成型，内部每600mm设置弧形加强肋板，并结合多层闭合式抗扭结构及隐藏式加固体系，大幅提升整体稳定性与抗风能力。整体钢结构采用高等级精工焊接工艺制作，所有结构连接部位均经过整体修型、精细打磨及无缝找平处理，确保整体表面平整流畅。</w:t>
                  </w:r>
                  <w:r>
                    <w:br/>
                  </w:r>
                  <w:r>
                    <w:rPr>
                      <w:rFonts w:ascii="仿宋_GB2312" w:hAnsi="仿宋_GB2312" w:cs="仿宋_GB2312" w:eastAsia="仿宋_GB2312"/>
                      <w:sz w:val="21"/>
                    </w:rPr>
                    <w:t>2.金属饰面:整体外饰面采用3.0mm厚热镀锌钢板工艺制作，板材经数控激光切割、数控折弯、无缝拼接及45°精工倒角处理，整体平整度高，工艺精细。表面采用汽车级PVDF氟碳喷涂体系，总漆膜厚度≥120μm，包含环氧富锌底漆、聚氨酯中涂层、氟碳金属面漆及抗UV清漆保护层，具备优异的防腐蚀、防氧化、防紫外线及长期保色性能。整体规格：9M*1M*2.8M。</w:t>
                  </w:r>
                  <w:r>
                    <w:br/>
                  </w:r>
                  <w:r>
                    <w:rPr>
                      <w:rFonts w:ascii="仿宋_GB2312" w:hAnsi="仿宋_GB2312" w:cs="仿宋_GB2312" w:eastAsia="仿宋_GB2312"/>
                      <w:sz w:val="21"/>
                    </w:rPr>
                    <w:t>3.转轴互动答题装置:互动答题装置采用2.5mm厚镀锌钢板折弯成型，内部转轴系统采用Φ25mm 304不锈钢实心转轴及工业级静音轴承结构，结合阻尼缓冲系统与防夹手限位装置，保证长期高频翻转使用依旧顺滑稳定。展示面UV高清打印工艺，并增加抗UV耐磨保护层，实现长期户外不褪色、不起边。</w:t>
                  </w:r>
                  <w:r>
                    <w:br/>
                  </w:r>
                  <w:r>
                    <w:rPr>
                      <w:rFonts w:ascii="仿宋_GB2312" w:hAnsi="仿宋_GB2312" w:cs="仿宋_GB2312" w:eastAsia="仿宋_GB2312"/>
                      <w:sz w:val="21"/>
                    </w:rPr>
                    <w:t>4.金属立体文字:立体文字采用20mm厚实心铝板CNC精雕制作，内部嵌入304不锈钢骨架加固，整体厚度达80mm。</w:t>
                  </w:r>
                  <w:r>
                    <w:br/>
                  </w:r>
                  <w:r>
                    <w:rPr>
                      <w:rFonts w:ascii="仿宋_GB2312" w:hAnsi="仿宋_GB2312" w:cs="仿宋_GB2312" w:eastAsia="仿宋_GB2312"/>
                      <w:sz w:val="21"/>
                    </w:rPr>
                    <w:t>5.健身互动器械:互动健身器械采用Φ89mm及Φ114mm厚壁无缝钢管制作，壁厚4-6mm，整体经过热镀锌防腐处理及户外高温烤漆工艺。吊环及连接件采用316L海洋级不锈钢，单点承重≥300kg</w:t>
                  </w:r>
                  <w:r>
                    <w:br/>
                  </w:r>
                  <w:r>
                    <w:rPr>
                      <w:rFonts w:ascii="仿宋_GB2312" w:hAnsi="仿宋_GB2312" w:cs="仿宋_GB2312" w:eastAsia="仿宋_GB2312"/>
                      <w:sz w:val="21"/>
                    </w:rPr>
                    <w:t>6.基础预埋及安装:采用C30钢筋混凝土独立基础，基础深度1200mm，内部双层双向钢筋绑扎加固。主体采用12mm厚预埋钢板及M20高强度化学锚栓进行法兰连接固定。</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民法典小品</w:t>
                  </w:r>
                </w:p>
              </w:tc>
              <w:tc>
                <w:tcPr>
                  <w:tcW w:type="dxa" w:w="2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法治宣传座椅整体采用高标准景观钢结构工艺体系打造，主体框架使用</w:t>
                  </w:r>
                  <w:r>
                    <w:rPr>
                      <w:rFonts w:ascii="仿宋_GB2312" w:hAnsi="仿宋_GB2312" w:cs="仿宋_GB2312" w:eastAsia="仿宋_GB2312"/>
                      <w:sz w:val="21"/>
                    </w:rPr>
                    <w:t>2.5mm厚热镀锌钢板经激光切割、数控折弯、一体焊接及整体修型打磨工艺制作，整体结构厚重稳固，具备极强抗变形及长期户外耐候性能。内部结合加密承重结构与隐藏式连接体系，无明显外露连接件。座椅表面采用汽车级高温氟碳烤漆工艺，并增加纳米抗UV保护层，整体漆膜厚度高、耐候性强，长期户外使用不易褪色、生锈及脱漆。坐面采用加厚防腐实木条制作，木材经过防腐、防潮、防开裂及户外耐候处理。法治宣传内容采用高精度丝网印刷 + UV耐候工艺相结合。整体规格：3.6M*0.6M*0.8M。</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组</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法治小品</w:t>
                  </w:r>
                </w:p>
              </w:tc>
              <w:tc>
                <w:tcPr>
                  <w:tcW w:type="dxa" w:w="2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体结构选用国标Q355B高强度热镀锌钢骨架，主受力龙骨采用150×150×6mm厚热镀锌方钢，副龙骨采用80×80×4mm加强型镀锌方管，整体钢结构含钢量高，结合二氧化碳保护焊满焊工艺及热浸镀锌防腐处理，整体结构稳定性强，满足大型户外景观长期使用需求。整体规格：4M*0.3M*2.5M。</w:t>
                  </w:r>
                  <w:r>
                    <w:br/>
                  </w:r>
                  <w:r>
                    <w:rPr>
                      <w:rFonts w:ascii="仿宋_GB2312" w:hAnsi="仿宋_GB2312" w:cs="仿宋_GB2312" w:eastAsia="仿宋_GB2312"/>
                      <w:sz w:val="21"/>
                    </w:rPr>
                    <w:t>2.整体外饰面采用3.0mm厚热镀锌钢板工艺制作，板材经数控激光切割、数控折弯、无缝拼接及45°精工倒角处理，整体平整度高，工艺精细。表面采用汽车级PVDF氟碳喷涂体系，总漆膜厚度≥120μm，包含环氧富锌底漆、聚氨酯中涂层、氟碳金属面漆及抗UV清漆保护层，具备优异的防腐蚀、防氧化、防紫外线及长期保色性能。</w:t>
                  </w:r>
                  <w:r>
                    <w:br/>
                  </w:r>
                  <w:r>
                    <w:rPr>
                      <w:rFonts w:ascii="仿宋_GB2312" w:hAnsi="仿宋_GB2312" w:cs="仿宋_GB2312" w:eastAsia="仿宋_GB2312"/>
                      <w:sz w:val="21"/>
                    </w:rPr>
                    <w:t>3.标题文字采用高端定制304不锈钢超厚烤漆立体字工艺，字壳采用3.0mm厚304不锈钢激光切割焊接成型，字厚80-120mm，内部设置金属加强结构，表面采用汽车级烤漆及氟碳罩光工艺，整体立体感强，视觉品质高级；整体宣传内容采用双面文字展示制作工艺，满足双向人流视觉展示需求。</w:t>
                  </w:r>
                  <w:r>
                    <w:br/>
                  </w:r>
                  <w:r>
                    <w:rPr>
                      <w:rFonts w:ascii="仿宋_GB2312" w:hAnsi="仿宋_GB2312" w:cs="仿宋_GB2312" w:eastAsia="仿宋_GB2312"/>
                      <w:sz w:val="21"/>
                    </w:rPr>
                    <w:t>4.整体安装系统采用隐藏式背栓锁扣工艺，内部配置304不锈钢连接件、铝合金加固挂件、高强度热镀锌螺栓、防震缓冲胶垫及耐候结构胶，确保整体长期使用不松动、不变形。</w:t>
                  </w:r>
                  <w:r>
                    <w:br/>
                  </w:r>
                  <w:r>
                    <w:rPr>
                      <w:rFonts w:ascii="仿宋_GB2312" w:hAnsi="仿宋_GB2312" w:cs="仿宋_GB2312" w:eastAsia="仿宋_GB2312"/>
                      <w:sz w:val="21"/>
                    </w:rPr>
                    <w:t>5.基础部分采用C35钢筋混凝土重型预埋基础，内置双层双向钢筋网及12mm厚预埋钢板系统，结合高强度地脚螺栓固定，整体具备优异的抗风压及抗倾覆性能；</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法治围墙</w:t>
                  </w:r>
                </w:p>
              </w:tc>
              <w:tc>
                <w:tcPr>
                  <w:tcW w:type="dxa" w:w="2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对原有装饰瓦进行保护性拆除，采用人工精细化拆除工艺，避免破坏原墙结构。找平及断面打磨处理并增设8mm厚预埋连接钢板及M12-M16化学锚栓固定体系，为整体加高结构提供稳定支撑。2.内部结构采用80×80×4mm及50×50×3mm热镀锌方钢龙骨制作，所有钢结构采用氩弧焊 + 二氧化碳保护焊工艺满焊连接，整体打磨、防锈及防腐处理。金属造型格栅采用2.5mm厚热镀锌钢板，激光切割、数控折弯、一体焊接及氟碳烤漆处理后安装。3.金属立体文字采用3mm厚镀锌钢板定制制作，经激光切割、精密焊接、整体打磨及氟碳烤漆工艺成型，内部增加镀锌钢结构加固.4.UV展板采用热镀锌钢板基层结合高强度UV板制作，内部镀锌方钢龙骨加固，整体结构稳固耐用。整体规格：31M*0.3M*1.2M。</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智能动态互动法治设备</w:t>
                  </w:r>
                </w:p>
              </w:tc>
              <w:tc>
                <w:tcPr>
                  <w:tcW w:type="dxa" w:w="2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一、功能参数要求</w:t>
                  </w:r>
                  <w:r>
                    <w:br/>
                  </w:r>
                  <w:r>
                    <w:rPr>
                      <w:rFonts w:ascii="仿宋_GB2312" w:hAnsi="仿宋_GB2312" w:cs="仿宋_GB2312" w:eastAsia="仿宋_GB2312"/>
                      <w:sz w:val="21"/>
                    </w:rPr>
                    <w:t>1.时控开关：以微电脑芯片为核心组成一个电源开关控制装置。它可预设定每天或一周内20次不同时间的开/关控制。本机内置一枚可充电镍氢电池作为备用电源，在脱离电源的情况下，仍可保持计时显示和储存的各项数据达9个月以上</w:t>
                  </w:r>
                  <w:r>
                    <w:br/>
                  </w:r>
                  <w:r>
                    <w:rPr>
                      <w:rFonts w:ascii="仿宋_GB2312" w:hAnsi="仿宋_GB2312" w:cs="仿宋_GB2312" w:eastAsia="仿宋_GB2312"/>
                      <w:sz w:val="21"/>
                    </w:rPr>
                    <w:t>2. 防雷装置：适用于保护低压电网及各类电器设备免受雷电过电压和各种浪涌过电压的破坏。是理想的过电压保护装置。</w:t>
                  </w:r>
                  <w:r>
                    <w:br/>
                  </w:r>
                  <w:r>
                    <w:rPr>
                      <w:rFonts w:ascii="仿宋_GB2312" w:hAnsi="仿宋_GB2312" w:cs="仿宋_GB2312" w:eastAsia="仿宋_GB2312"/>
                      <w:sz w:val="21"/>
                    </w:rPr>
                    <w:t>3.整体尺寸：长度≥2115mm，宽度≥1320mm，厚度≤150mm；模块化设计，壁挂式安装，屏幕边缘采用金属圆角包边防护。</w:t>
                  </w:r>
                  <w:r>
                    <w:br/>
                  </w:r>
                  <w:r>
                    <w:rPr>
                      <w:rFonts w:ascii="仿宋_GB2312" w:hAnsi="仿宋_GB2312" w:cs="仿宋_GB2312" w:eastAsia="仿宋_GB2312"/>
                      <w:sz w:val="21"/>
                    </w:rPr>
                    <w:t>4.防漏电装置：防漏电开关，使用更加安全</w:t>
                  </w:r>
                  <w:r>
                    <w:br/>
                  </w:r>
                  <w:r>
                    <w:rPr>
                      <w:rFonts w:ascii="仿宋_GB2312" w:hAnsi="仿宋_GB2312" w:cs="仿宋_GB2312" w:eastAsia="仿宋_GB2312"/>
                      <w:sz w:val="21"/>
                    </w:rPr>
                    <w:t>5.数据安全：支持断电记忆功能，所有设置参数及运行状态在断电后自动保存，恢复供电后无需重新配置；具备AES-256加密算法，确保通信数据传输过程中的安全性与完整性。</w:t>
                  </w:r>
                  <w:r>
                    <w:br/>
                  </w:r>
                  <w:r>
                    <w:rPr>
                      <w:rFonts w:ascii="仿宋_GB2312" w:hAnsi="仿宋_GB2312" w:cs="仿宋_GB2312" w:eastAsia="仿宋_GB2312"/>
                      <w:sz w:val="21"/>
                    </w:rPr>
                    <w:t>★6.防护等级试验尘材质:滑石粉粉尘浓度:2kg/m³试验时间:8h抽(IP6X防尘试真空时间:8h)（提供IP6X防尘试验报告）</w:t>
                  </w:r>
                  <w:r>
                    <w:br/>
                  </w:r>
                  <w:r>
                    <w:rPr>
                      <w:rFonts w:ascii="仿宋_GB2312" w:hAnsi="仿宋_GB2312" w:cs="仿宋_GB2312" w:eastAsia="仿宋_GB2312"/>
                      <w:sz w:val="21"/>
                    </w:rPr>
                    <w:t>二、内置系统要求</w:t>
                  </w:r>
                  <w:r>
                    <w:br/>
                  </w:r>
                  <w:r>
                    <w:rPr>
                      <w:rFonts w:ascii="仿宋_GB2312" w:hAnsi="仿宋_GB2312" w:cs="仿宋_GB2312" w:eastAsia="仿宋_GB2312"/>
                      <w:sz w:val="21"/>
                    </w:rPr>
                    <w:t>CPU Intel（i7）I7-8700</w:t>
                  </w:r>
                  <w:r>
                    <w:br/>
                  </w:r>
                  <w:r>
                    <w:rPr>
                      <w:rFonts w:ascii="仿宋_GB2312" w:hAnsi="仿宋_GB2312" w:cs="仿宋_GB2312" w:eastAsia="仿宋_GB2312"/>
                      <w:sz w:val="21"/>
                    </w:rPr>
                    <w:t>主频</w:t>
                  </w:r>
                  <w:r>
                    <w:rPr>
                      <w:rFonts w:ascii="仿宋_GB2312" w:hAnsi="仿宋_GB2312" w:cs="仿宋_GB2312" w:eastAsia="仿宋_GB2312"/>
                      <w:sz w:val="21"/>
                    </w:rPr>
                    <w:t>≥2.5GHz</w:t>
                  </w:r>
                  <w:r>
                    <w:br/>
                  </w:r>
                  <w:r>
                    <w:rPr>
                      <w:rFonts w:ascii="仿宋_GB2312" w:hAnsi="仿宋_GB2312" w:cs="仿宋_GB2312" w:eastAsia="仿宋_GB2312"/>
                      <w:sz w:val="21"/>
                    </w:rPr>
                    <w:t>运行内存</w:t>
                  </w:r>
                  <w:r>
                    <w:rPr>
                      <w:rFonts w:ascii="仿宋_GB2312" w:hAnsi="仿宋_GB2312" w:cs="仿宋_GB2312" w:eastAsia="仿宋_GB2312"/>
                      <w:sz w:val="21"/>
                    </w:rPr>
                    <w:t>≥8G</w:t>
                  </w:r>
                  <w:r>
                    <w:br/>
                  </w:r>
                  <w:r>
                    <w:rPr>
                      <w:rFonts w:ascii="仿宋_GB2312" w:hAnsi="仿宋_GB2312" w:cs="仿宋_GB2312" w:eastAsia="仿宋_GB2312"/>
                      <w:sz w:val="21"/>
                    </w:rPr>
                    <w:t>存储硬盘</w:t>
                  </w:r>
                  <w:r>
                    <w:rPr>
                      <w:rFonts w:ascii="仿宋_GB2312" w:hAnsi="仿宋_GB2312" w:cs="仿宋_GB2312" w:eastAsia="仿宋_GB2312"/>
                      <w:sz w:val="21"/>
                    </w:rPr>
                    <w:t>≥256G SSD</w:t>
                  </w:r>
                  <w:r>
                    <w:br/>
                  </w:r>
                  <w:r>
                    <w:rPr>
                      <w:rFonts w:ascii="仿宋_GB2312" w:hAnsi="仿宋_GB2312" w:cs="仿宋_GB2312" w:eastAsia="仿宋_GB2312"/>
                      <w:sz w:val="21"/>
                    </w:rPr>
                    <w:t>显卡独显：</w:t>
                  </w:r>
                  <w:r>
                    <w:rPr>
                      <w:rFonts w:ascii="仿宋_GB2312" w:hAnsi="仿宋_GB2312" w:cs="仿宋_GB2312" w:eastAsia="仿宋_GB2312"/>
                      <w:sz w:val="21"/>
                    </w:rPr>
                    <w:t>1650≥4G（显存）</w:t>
                  </w:r>
                  <w:r>
                    <w:br/>
                  </w:r>
                  <w:r>
                    <w:rPr>
                      <w:rFonts w:ascii="仿宋_GB2312" w:hAnsi="仿宋_GB2312" w:cs="仿宋_GB2312" w:eastAsia="仿宋_GB2312"/>
                      <w:sz w:val="21"/>
                    </w:rPr>
                    <w:t>网络支持</w:t>
                  </w:r>
                  <w:r>
                    <w:br/>
                  </w:r>
                  <w:r>
                    <w:rPr>
                      <w:rFonts w:ascii="仿宋_GB2312" w:hAnsi="仿宋_GB2312" w:cs="仿宋_GB2312" w:eastAsia="仿宋_GB2312"/>
                      <w:sz w:val="21"/>
                    </w:rPr>
                    <w:t>以太网、</w:t>
                  </w:r>
                  <w:r>
                    <w:rPr>
                      <w:rFonts w:ascii="仿宋_GB2312" w:hAnsi="仿宋_GB2312" w:cs="仿宋_GB2312" w:eastAsia="仿宋_GB2312"/>
                      <w:sz w:val="21"/>
                    </w:rPr>
                    <w:t>WiFi</w:t>
                  </w:r>
                  <w:r>
                    <w:br/>
                  </w:r>
                  <w:r>
                    <w:rPr>
                      <w:rFonts w:ascii="仿宋_GB2312" w:hAnsi="仿宋_GB2312" w:cs="仿宋_GB2312" w:eastAsia="仿宋_GB2312"/>
                      <w:sz w:val="21"/>
                    </w:rPr>
                    <w:t>蓝牙支持板载蓝牙功能</w:t>
                  </w:r>
                  <w:r>
                    <w:br/>
                  </w:r>
                  <w:r>
                    <w:rPr>
                      <w:rFonts w:ascii="仿宋_GB2312" w:hAnsi="仿宋_GB2312" w:cs="仿宋_GB2312" w:eastAsia="仿宋_GB2312"/>
                      <w:sz w:val="21"/>
                    </w:rPr>
                    <w:t>电源电压</w:t>
                  </w:r>
                  <w:r>
                    <w:rPr>
                      <w:rFonts w:ascii="仿宋_GB2312" w:hAnsi="仿宋_GB2312" w:cs="仿宋_GB2312" w:eastAsia="仿宋_GB2312"/>
                      <w:sz w:val="21"/>
                    </w:rPr>
                    <w:t>12V DC-IN</w:t>
                  </w:r>
                  <w:r>
                    <w:br/>
                  </w:r>
                  <w:r>
                    <w:rPr>
                      <w:rFonts w:ascii="仿宋_GB2312" w:hAnsi="仿宋_GB2312" w:cs="仿宋_GB2312" w:eastAsia="仿宋_GB2312"/>
                      <w:sz w:val="21"/>
                    </w:rPr>
                    <w:t>供电接口：</w:t>
                  </w:r>
                  <w:r>
                    <w:br/>
                  </w:r>
                  <w:r>
                    <w:rPr>
                      <w:rFonts w:ascii="仿宋_GB2312" w:hAnsi="仿宋_GB2312" w:cs="仿宋_GB2312" w:eastAsia="仿宋_GB2312"/>
                      <w:sz w:val="21"/>
                    </w:rPr>
                    <w:t>主板</w:t>
                  </w:r>
                  <w:r>
                    <w:rPr>
                      <w:rFonts w:ascii="仿宋_GB2312" w:hAnsi="仿宋_GB2312" w:cs="仿宋_GB2312" w:eastAsia="仿宋_GB2312"/>
                      <w:sz w:val="21"/>
                    </w:rPr>
                    <w:t>DC接口规格5.5*2.5，支持一个4Pin ATX电源接口；</w:t>
                  </w:r>
                  <w:r>
                    <w:br/>
                  </w:r>
                  <w:r>
                    <w:rPr>
                      <w:rFonts w:ascii="仿宋_GB2312" w:hAnsi="仿宋_GB2312" w:cs="仿宋_GB2312" w:eastAsia="仿宋_GB2312"/>
                      <w:sz w:val="21"/>
                    </w:rPr>
                    <w:t>主板供电支持</w:t>
                  </w:r>
                  <w:r>
                    <w:rPr>
                      <w:rFonts w:ascii="仿宋_GB2312" w:hAnsi="仿宋_GB2312" w:cs="仿宋_GB2312" w:eastAsia="仿宋_GB2312"/>
                      <w:sz w:val="21"/>
                    </w:rPr>
                    <w:t>12V或19V；满载功耗约90W，建议用12V/10A或19V/6A以上电源；</w:t>
                  </w:r>
                  <w:r>
                    <w:br/>
                  </w:r>
                  <w:r>
                    <w:rPr>
                      <w:rFonts w:ascii="仿宋_GB2312" w:hAnsi="仿宋_GB2312" w:cs="仿宋_GB2312" w:eastAsia="仿宋_GB2312"/>
                      <w:sz w:val="21"/>
                    </w:rPr>
                    <w:t>CPU:</w:t>
                  </w:r>
                  <w:r>
                    <w:br/>
                  </w:r>
                  <w:r>
                    <w:rPr>
                      <w:rFonts w:ascii="仿宋_GB2312" w:hAnsi="仿宋_GB2312" w:cs="仿宋_GB2312" w:eastAsia="仿宋_GB2312"/>
                      <w:sz w:val="21"/>
                    </w:rPr>
                    <w:t>主板支持</w:t>
                  </w:r>
                  <w:r>
                    <w:rPr>
                      <w:rFonts w:ascii="仿宋_GB2312" w:hAnsi="仿宋_GB2312" w:cs="仿宋_GB2312" w:eastAsia="仿宋_GB2312"/>
                      <w:sz w:val="21"/>
                    </w:rPr>
                    <w:t>Intel 6/7/8/9代LGA1151酷睿i3、i5、i7、i9独立CPU；</w:t>
                  </w:r>
                  <w:r>
                    <w:br/>
                  </w:r>
                  <w:r>
                    <w:rPr>
                      <w:rFonts w:ascii="仿宋_GB2312" w:hAnsi="仿宋_GB2312" w:cs="仿宋_GB2312" w:eastAsia="仿宋_GB2312"/>
                      <w:sz w:val="21"/>
                    </w:rPr>
                    <w:t>显示接口：</w:t>
                  </w:r>
                  <w:r>
                    <w:br/>
                  </w:r>
                  <w:r>
                    <w:rPr>
                      <w:rFonts w:ascii="仿宋_GB2312" w:hAnsi="仿宋_GB2312" w:cs="仿宋_GB2312" w:eastAsia="仿宋_GB2312"/>
                      <w:sz w:val="21"/>
                    </w:rPr>
                    <w:t>主板支持</w:t>
                  </w:r>
                  <w:r>
                    <w:rPr>
                      <w:rFonts w:ascii="仿宋_GB2312" w:hAnsi="仿宋_GB2312" w:cs="仿宋_GB2312" w:eastAsia="仿宋_GB2312"/>
                      <w:sz w:val="21"/>
                    </w:rPr>
                    <w:t>HDMI 、VGA /DP、LVDS/EDP插针支持单显、双显复制、双显扩展、DOS下单显；</w:t>
                  </w:r>
                  <w:r>
                    <w:br/>
                  </w:r>
                  <w:r>
                    <w:rPr>
                      <w:rFonts w:ascii="仿宋_GB2312" w:hAnsi="仿宋_GB2312" w:cs="仿宋_GB2312" w:eastAsia="仿宋_GB2312"/>
                      <w:sz w:val="21"/>
                    </w:rPr>
                    <w:t>主板</w:t>
                  </w:r>
                  <w:r>
                    <w:rPr>
                      <w:rFonts w:ascii="仿宋_GB2312" w:hAnsi="仿宋_GB2312" w:cs="仿宋_GB2312" w:eastAsia="仿宋_GB2312"/>
                      <w:sz w:val="21"/>
                    </w:rPr>
                    <w:t>VGA与DP二选一，默认支持VGA，可改支持DP；</w:t>
                  </w:r>
                  <w:r>
                    <w:br/>
                  </w:r>
                  <w:r>
                    <w:rPr>
                      <w:rFonts w:ascii="仿宋_GB2312" w:hAnsi="仿宋_GB2312" w:cs="仿宋_GB2312" w:eastAsia="仿宋_GB2312"/>
                      <w:sz w:val="21"/>
                    </w:rPr>
                    <w:t>主板</w:t>
                  </w:r>
                  <w:r>
                    <w:rPr>
                      <w:rFonts w:ascii="仿宋_GB2312" w:hAnsi="仿宋_GB2312" w:cs="仿宋_GB2312" w:eastAsia="仿宋_GB2312"/>
                      <w:sz w:val="21"/>
                    </w:rPr>
                    <w:t>LVDS与EDP插针二选一，共用插针，默认支持LVDS，可改支持EDP，EDP用EDP-B 20Pin背光分开独立屏线；</w:t>
                  </w:r>
                  <w:r>
                    <w:br/>
                  </w:r>
                  <w:r>
                    <w:rPr>
                      <w:rFonts w:ascii="仿宋_GB2312" w:hAnsi="仿宋_GB2312" w:cs="仿宋_GB2312" w:eastAsia="仿宋_GB2312"/>
                      <w:sz w:val="21"/>
                    </w:rPr>
                    <w:t>主板支持</w:t>
                  </w:r>
                  <w:r>
                    <w:rPr>
                      <w:rFonts w:ascii="仿宋_GB2312" w:hAnsi="仿宋_GB2312" w:cs="仿宋_GB2312" w:eastAsia="仿宋_GB2312"/>
                      <w:sz w:val="21"/>
                    </w:rPr>
                    <w:t>1个PCIE X16接口，接独立显卡后，主板端显示接口（VGA/DP /HDMI/LVDS/EDP）则无信号输出；</w:t>
                  </w:r>
                  <w:r>
                    <w:br/>
                  </w:r>
                  <w:r>
                    <w:rPr>
                      <w:rFonts w:ascii="仿宋_GB2312" w:hAnsi="仿宋_GB2312" w:cs="仿宋_GB2312" w:eastAsia="仿宋_GB2312"/>
                      <w:sz w:val="21"/>
                    </w:rPr>
                    <w:t>主板</w:t>
                  </w:r>
                  <w:r>
                    <w:rPr>
                      <w:rFonts w:ascii="仿宋_GB2312" w:hAnsi="仿宋_GB2312" w:cs="仿宋_GB2312" w:eastAsia="仿宋_GB2312"/>
                      <w:sz w:val="21"/>
                    </w:rPr>
                    <w:t>HDMI支持4K分辨率4096/3840*2160@30Hz；</w:t>
                  </w:r>
                  <w:r>
                    <w:br/>
                  </w:r>
                  <w:r>
                    <w:rPr>
                      <w:rFonts w:ascii="仿宋_GB2312" w:hAnsi="仿宋_GB2312" w:cs="仿宋_GB2312" w:eastAsia="仿宋_GB2312"/>
                      <w:sz w:val="21"/>
                    </w:rPr>
                    <w:t>主板</w:t>
                  </w:r>
                  <w:r>
                    <w:rPr>
                      <w:rFonts w:ascii="仿宋_GB2312" w:hAnsi="仿宋_GB2312" w:cs="仿宋_GB2312" w:eastAsia="仿宋_GB2312"/>
                      <w:sz w:val="21"/>
                    </w:rPr>
                    <w:t>DP支持4K分辨率4096/3840*2160@60Hz；</w:t>
                  </w:r>
                  <w:r>
                    <w:br/>
                  </w:r>
                  <w:r>
                    <w:rPr>
                      <w:rFonts w:ascii="仿宋_GB2312" w:hAnsi="仿宋_GB2312" w:cs="仿宋_GB2312" w:eastAsia="仿宋_GB2312"/>
                      <w:sz w:val="21"/>
                    </w:rPr>
                    <w:t>主板</w:t>
                  </w:r>
                  <w:r>
                    <w:rPr>
                      <w:rFonts w:ascii="仿宋_GB2312" w:hAnsi="仿宋_GB2312" w:cs="仿宋_GB2312" w:eastAsia="仿宋_GB2312"/>
                      <w:sz w:val="21"/>
                    </w:rPr>
                    <w:t>LVDS和EDP支持分辨率1920*1080@60Hz；</w:t>
                  </w:r>
                  <w:r>
                    <w:br/>
                  </w:r>
                  <w:r>
                    <w:rPr>
                      <w:rFonts w:ascii="仿宋_GB2312" w:hAnsi="仿宋_GB2312" w:cs="仿宋_GB2312" w:eastAsia="仿宋_GB2312"/>
                      <w:sz w:val="21"/>
                    </w:rPr>
                    <w:t>三、结构参数说明</w:t>
                  </w:r>
                  <w:r>
                    <w:br/>
                  </w:r>
                  <w:r>
                    <w:rPr>
                      <w:rFonts w:ascii="仿宋_GB2312" w:hAnsi="仿宋_GB2312" w:cs="仿宋_GB2312" w:eastAsia="仿宋_GB2312"/>
                      <w:sz w:val="21"/>
                    </w:rPr>
                    <w:t>安装方式：壁挂式</w:t>
                  </w:r>
                  <w:r>
                    <w:br/>
                  </w:r>
                  <w:r>
                    <w:rPr>
                      <w:rFonts w:ascii="仿宋_GB2312" w:hAnsi="仿宋_GB2312" w:cs="仿宋_GB2312" w:eastAsia="仿宋_GB2312"/>
                      <w:sz w:val="21"/>
                    </w:rPr>
                    <w:t>外观尺寸：见外观尺寸图</w:t>
                  </w:r>
                  <w:r>
                    <w:br/>
                  </w:r>
                  <w:r>
                    <w:rPr>
                      <w:rFonts w:ascii="仿宋_GB2312" w:hAnsi="仿宋_GB2312" w:cs="仿宋_GB2312" w:eastAsia="仿宋_GB2312"/>
                      <w:sz w:val="21"/>
                    </w:rPr>
                    <w:t>颜色：黑</w:t>
                  </w:r>
                  <w:r>
                    <w:rPr>
                      <w:rFonts w:ascii="仿宋_GB2312" w:hAnsi="仿宋_GB2312" w:cs="仿宋_GB2312" w:eastAsia="仿宋_GB2312"/>
                      <w:sz w:val="21"/>
                    </w:rPr>
                    <w:t>/白/红/银灰/深灰/定制</w:t>
                  </w:r>
                  <w:r>
                    <w:br/>
                  </w:r>
                  <w:r>
                    <w:rPr>
                      <w:rFonts w:ascii="仿宋_GB2312" w:hAnsi="仿宋_GB2312" w:cs="仿宋_GB2312" w:eastAsia="仿宋_GB2312"/>
                      <w:sz w:val="21"/>
                    </w:rPr>
                    <w:t>材质：整机外壳采用</w:t>
                  </w:r>
                  <w:r>
                    <w:rPr>
                      <w:rFonts w:ascii="仿宋_GB2312" w:hAnsi="仿宋_GB2312" w:cs="仿宋_GB2312" w:eastAsia="仿宋_GB2312"/>
                      <w:sz w:val="21"/>
                    </w:rPr>
                    <w:t>1.5MM镀锌板，表面喷涂户外粉</w:t>
                  </w:r>
                  <w:r>
                    <w:br/>
                  </w:r>
                  <w:r>
                    <w:rPr>
                      <w:rFonts w:ascii="仿宋_GB2312" w:hAnsi="仿宋_GB2312" w:cs="仿宋_GB2312" w:eastAsia="仿宋_GB2312"/>
                      <w:sz w:val="21"/>
                    </w:rPr>
                    <w:t>防护等级：</w:t>
                  </w:r>
                  <w:r>
                    <w:rPr>
                      <w:rFonts w:ascii="仿宋_GB2312" w:hAnsi="仿宋_GB2312" w:cs="仿宋_GB2312" w:eastAsia="仿宋_GB2312"/>
                      <w:sz w:val="21"/>
                    </w:rPr>
                    <w:t>IP65</w:t>
                  </w:r>
                  <w:r>
                    <w:br/>
                  </w:r>
                  <w:r>
                    <w:rPr>
                      <w:rFonts w:ascii="仿宋_GB2312" w:hAnsi="仿宋_GB2312" w:cs="仿宋_GB2312" w:eastAsia="仿宋_GB2312"/>
                      <w:sz w:val="21"/>
                    </w:rPr>
                    <w:t>防水：三层复合密封胶条，多角度不进水</w:t>
                  </w:r>
                  <w:r>
                    <w:br/>
                  </w:r>
                  <w:r>
                    <w:rPr>
                      <w:rFonts w:ascii="仿宋_GB2312" w:hAnsi="仿宋_GB2312" w:cs="仿宋_GB2312" w:eastAsia="仿宋_GB2312"/>
                      <w:sz w:val="21"/>
                    </w:rPr>
                    <w:t>防尘：</w:t>
                  </w:r>
                  <w:r>
                    <w:rPr>
                      <w:rFonts w:ascii="仿宋_GB2312" w:hAnsi="仿宋_GB2312" w:cs="仿宋_GB2312" w:eastAsia="仿宋_GB2312"/>
                      <w:sz w:val="21"/>
                    </w:rPr>
                    <w:t>3M高风量过滤器</w:t>
                  </w:r>
                  <w:r>
                    <w:br/>
                  </w:r>
                  <w:r>
                    <w:rPr>
                      <w:rFonts w:ascii="仿宋_GB2312" w:hAnsi="仿宋_GB2312" w:cs="仿宋_GB2312" w:eastAsia="仿宋_GB2312"/>
                      <w:sz w:val="21"/>
                    </w:rPr>
                    <w:t>防盗：三级门锁防护，隐藏式螺钉设计</w:t>
                  </w:r>
                  <w:r>
                    <w:br/>
                  </w:r>
                  <w:r>
                    <w:rPr>
                      <w:rFonts w:ascii="仿宋_GB2312" w:hAnsi="仿宋_GB2312" w:cs="仿宋_GB2312" w:eastAsia="仿宋_GB2312"/>
                      <w:sz w:val="21"/>
                    </w:rPr>
                    <w:t>防爆：</w:t>
                  </w:r>
                  <w:r>
                    <w:rPr>
                      <w:rFonts w:ascii="仿宋_GB2312" w:hAnsi="仿宋_GB2312" w:cs="仿宋_GB2312" w:eastAsia="仿宋_GB2312"/>
                      <w:sz w:val="21"/>
                    </w:rPr>
                    <w:t>6mm高透钢化玻璃</w:t>
                  </w:r>
                  <w:r>
                    <w:br/>
                  </w:r>
                  <w:r>
                    <w:rPr>
                      <w:rFonts w:ascii="仿宋_GB2312" w:hAnsi="仿宋_GB2312" w:cs="仿宋_GB2312" w:eastAsia="仿宋_GB2312"/>
                      <w:sz w:val="21"/>
                    </w:rPr>
                    <w:t>防锈防腐：高强度镀锌钢板，户外粉表面处理</w:t>
                  </w:r>
                  <w:r>
                    <w:br/>
                  </w:r>
                  <w:r>
                    <w:rPr>
                      <w:rFonts w:ascii="仿宋_GB2312" w:hAnsi="仿宋_GB2312" w:cs="仿宋_GB2312" w:eastAsia="仿宋_GB2312"/>
                      <w:sz w:val="21"/>
                    </w:rPr>
                    <w:t>四、软件要求</w:t>
                  </w:r>
                  <w:r>
                    <w:br/>
                  </w:r>
                  <w:r>
                    <w:rPr>
                      <w:rFonts w:ascii="仿宋_GB2312" w:hAnsi="仿宋_GB2312" w:cs="仿宋_GB2312" w:eastAsia="仿宋_GB2312"/>
                      <w:sz w:val="21"/>
                    </w:rPr>
                    <w:t>软件，软件设计满宣传使用需要，</w:t>
                  </w:r>
                  <w:r>
                    <w:rPr>
                      <w:rFonts w:ascii="仿宋_GB2312" w:hAnsi="仿宋_GB2312" w:cs="仿宋_GB2312" w:eastAsia="仿宋_GB2312"/>
                      <w:sz w:val="21"/>
                    </w:rPr>
                    <w:t>UI界面美工设计优美，软件互动机制符合定制宣传需要可调整，软件开源性具备定制开发要求，具备人机互动机制。</w:t>
                  </w:r>
                  <w:r>
                    <w:br/>
                  </w:r>
                  <w:r>
                    <w:rPr>
                      <w:rFonts w:ascii="仿宋_GB2312" w:hAnsi="仿宋_GB2312" w:cs="仿宋_GB2312" w:eastAsia="仿宋_GB2312"/>
                      <w:sz w:val="21"/>
                    </w:rPr>
                    <w:t>五、液晶显示要求</w:t>
                  </w:r>
                  <w:r>
                    <w:br/>
                  </w:r>
                  <w:r>
                    <w:rPr>
                      <w:rFonts w:ascii="仿宋_GB2312" w:hAnsi="仿宋_GB2312" w:cs="仿宋_GB2312" w:eastAsia="仿宋_GB2312"/>
                      <w:sz w:val="21"/>
                    </w:rPr>
                    <w:t>★液晶尺寸：≥75″</w:t>
                  </w:r>
                  <w:r>
                    <w:br/>
                  </w:r>
                  <w:r>
                    <w:rPr>
                      <w:rFonts w:ascii="仿宋_GB2312" w:hAnsi="仿宋_GB2312" w:cs="仿宋_GB2312" w:eastAsia="仿宋_GB2312"/>
                      <w:sz w:val="21"/>
                    </w:rPr>
                    <w:t>其他要求</w:t>
                  </w:r>
                  <w:r>
                    <w:br/>
                  </w:r>
                  <w:r>
                    <w:rPr>
                      <w:rFonts w:ascii="仿宋_GB2312" w:hAnsi="仿宋_GB2312" w:cs="仿宋_GB2312" w:eastAsia="仿宋_GB2312"/>
                      <w:sz w:val="21"/>
                    </w:rPr>
                    <w:t>1.根据用户要求，完成有线网络布线，户外显示设备安装调试工作；</w:t>
                  </w:r>
                  <w:r>
                    <w:br/>
                  </w:r>
                  <w:r>
                    <w:rPr>
                      <w:rFonts w:ascii="仿宋_GB2312" w:hAnsi="仿宋_GB2312" w:cs="仿宋_GB2312" w:eastAsia="仿宋_GB2312"/>
                      <w:sz w:val="21"/>
                    </w:rPr>
                    <w:t>2.施工方案依照综合布线标准设计，设备安装按照用户要求进行；</w:t>
                  </w:r>
                  <w:r>
                    <w:br/>
                  </w:r>
                  <w:r>
                    <w:rPr>
                      <w:rFonts w:ascii="仿宋_GB2312" w:hAnsi="仿宋_GB2312" w:cs="仿宋_GB2312" w:eastAsia="仿宋_GB2312"/>
                      <w:sz w:val="21"/>
                    </w:rPr>
                    <w:t>3.安装牢固、美观大方，连接线缆均包裹于设备及线槽内部，不能外露；</w:t>
                  </w:r>
                  <w:r>
                    <w:br/>
                  </w:r>
                  <w:r>
                    <w:rPr>
                      <w:rFonts w:ascii="仿宋_GB2312" w:hAnsi="仿宋_GB2312" w:cs="仿宋_GB2312" w:eastAsia="仿宋_GB2312"/>
                      <w:sz w:val="21"/>
                    </w:rPr>
                    <w:t>4.保护设备连接的强弱电线缆牢固可靠，确保具备较强安全性。</w:t>
                  </w:r>
                  <w:r>
                    <w:br/>
                  </w:r>
                  <w:r>
                    <w:rPr>
                      <w:rFonts w:ascii="仿宋_GB2312" w:hAnsi="仿宋_GB2312" w:cs="仿宋_GB2312" w:eastAsia="仿宋_GB2312"/>
                      <w:sz w:val="21"/>
                    </w:rPr>
                    <w:t>注：具体参数中</w:t>
                  </w:r>
                  <w:r>
                    <w:rPr>
                      <w:rFonts w:ascii="仿宋_GB2312" w:hAnsi="仿宋_GB2312" w:cs="仿宋_GB2312" w:eastAsia="仿宋_GB2312"/>
                      <w:sz w:val="21"/>
                    </w:rPr>
                    <w:t>“★”项需要提供检测报告或相关证明材料，没有提供的视为不响应谈判文件要求。</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供货安装期限10天，质保期3年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项目中标签订合同后</w:t>
      </w:r>
      <w:r>
        <w:rPr>
          <w:rFonts w:ascii="仿宋_GB2312" w:hAnsi="仿宋_GB2312" w:cs="仿宋_GB2312" w:eastAsia="仿宋_GB2312"/>
        </w:rPr>
        <w:t xml:space="preserve"> ， </w:t>
      </w:r>
      <w:r>
        <w:rPr>
          <w:rFonts w:ascii="仿宋_GB2312" w:hAnsi="仿宋_GB2312" w:cs="仿宋_GB2312" w:eastAsia="仿宋_GB2312"/>
        </w:rPr>
        <w:t>30</w:t>
      </w:r>
      <w:r>
        <w:rPr>
          <w:rFonts w:ascii="仿宋_GB2312" w:hAnsi="仿宋_GB2312" w:cs="仿宋_GB2312" w:eastAsia="仿宋_GB2312"/>
        </w:rPr>
        <w:t xml:space="preserve"> ，支付合同总金额的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项目进度完成100% </w:t>
      </w:r>
      <w:r>
        <w:rPr>
          <w:rFonts w:ascii="仿宋_GB2312" w:hAnsi="仿宋_GB2312" w:cs="仿宋_GB2312" w:eastAsia="仿宋_GB2312"/>
        </w:rPr>
        <w:t xml:space="preserve"> ， </w:t>
      </w:r>
      <w:r>
        <w:rPr>
          <w:rFonts w:ascii="仿宋_GB2312" w:hAnsi="仿宋_GB2312" w:cs="仿宋_GB2312" w:eastAsia="仿宋_GB2312"/>
        </w:rPr>
        <w:t>30</w:t>
      </w:r>
      <w:r>
        <w:rPr>
          <w:rFonts w:ascii="仿宋_GB2312" w:hAnsi="仿宋_GB2312" w:cs="仿宋_GB2312" w:eastAsia="仿宋_GB2312"/>
        </w:rPr>
        <w:t xml:space="preserve"> ，支付合同总金额的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项目验收合格后 </w:t>
      </w:r>
      <w:r>
        <w:rPr>
          <w:rFonts w:ascii="仿宋_GB2312" w:hAnsi="仿宋_GB2312" w:cs="仿宋_GB2312" w:eastAsia="仿宋_GB2312"/>
        </w:rPr>
        <w:t xml:space="preserve"> ， </w:t>
      </w:r>
      <w:r>
        <w:rPr>
          <w:rFonts w:ascii="仿宋_GB2312" w:hAnsi="仿宋_GB2312" w:cs="仿宋_GB2312" w:eastAsia="仿宋_GB2312"/>
        </w:rPr>
        <w:t>30</w:t>
      </w:r>
      <w:r>
        <w:rPr>
          <w:rFonts w:ascii="仿宋_GB2312" w:hAnsi="仿宋_GB2312" w:cs="仿宋_GB2312" w:eastAsia="仿宋_GB2312"/>
        </w:rPr>
        <w:t xml:space="preserve"> ，支付合同总金额的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1、采用转账支票或银行电汇形式提交的投标保证金必须从其基本账户转出。2、采用保函形式提交投标保证金的，应在换取保函收据时，将保函加盖单位公章递交给代理公司。 注：1、投标供应商在缴纳保证金时应注明项目名称2、须携带转账凭证或携带保函原件于投标截止时间前换取保证金或保函收据。为避免因保证金未到账或延迟到账，建议至少投标截止时间前一个工作日内交至代理机构财务处换取保证金收据。2.保证金收据换取地址为:汉中市汉台区竹园天玺办公楼11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需提供《汉中市政府采购供应商资格承诺函》。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报价是否超过竞争性谈判文件中规定的预算金额或者最高限价；</w:t>
            </w:r>
          </w:p>
        </w:tc>
        <w:tc>
          <w:tcPr>
            <w:tcW w:type="dxa" w:w="3322"/>
          </w:tcPr>
          <w:p>
            <w:pPr>
              <w:pStyle w:val="null3"/>
            </w:pPr>
            <w:r>
              <w:rPr>
                <w:rFonts w:ascii="仿宋_GB2312" w:hAnsi="仿宋_GB2312" w:cs="仿宋_GB2312" w:eastAsia="仿宋_GB2312"/>
              </w:rPr>
              <w:t>报价未超过竞争性谈判文件中规定的预算金额或者最高限价。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中小企业声明函 商务应答表 项目整体实施方案.docx 报价表 供应商认为需要说明的其他内容.docx 控股承诺.docx 响应文件封面 产品技术参数表 分项报价表.docx 汉中市政府采购供应商资格承诺函.pdf 供应商应提交的相关资格证明材料.docx 残疾人福利性单位声明函 保证金.pdf 标的清单 响应函 法定代表人证明书及授权委托书.pdf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产品技术参数满足采购文件要求。</w:t>
            </w:r>
          </w:p>
        </w:tc>
        <w:tc>
          <w:tcPr>
            <w:tcW w:type="dxa" w:w="1661"/>
          </w:tcPr>
          <w:p>
            <w:pPr>
              <w:pStyle w:val="null3"/>
            </w:pPr>
            <w:r>
              <w:rPr>
                <w:rFonts w:ascii="仿宋_GB2312" w:hAnsi="仿宋_GB2312" w:cs="仿宋_GB2312" w:eastAsia="仿宋_GB2312"/>
              </w:rPr>
              <w:t>响应文件封面 产品技术参数表 分项报价表.docx 商务应答表 项目整体实施方案.docx 供应商认为需要说明的其他内容.docx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详见附件：项目整体实施方案.docx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