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版本号：ZDJ126-033ZSA20260722001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冲击波治疗仪采购项目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ZDJ126-033ZSA</w:t>
      </w:r>
      <w:r>
        <w:br/>
      </w:r>
      <w:r>
        <w:br/>
      </w:r>
      <w:r>
        <w:br/>
      </w:r>
    </w:p>
    <w:p>
      <w:pPr>
        <w:pStyle w:val="null3"/>
        <w:jc w:val="center"/>
        <w:outlineLvl w:val="2"/>
      </w:pPr>
      <w:r>
        <w:rPr>
          <w:rFonts w:ascii="仿宋_GB2312" w:hAnsi="仿宋_GB2312" w:cs="仿宋_GB2312" w:eastAsia="仿宋_GB2312"/>
          <w:sz w:val="28"/>
          <w:b/>
        </w:rPr>
        <w:t>陕西中医药大学第二附属医院</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陕西中医药大学第二附属医院</w:t>
      </w:r>
      <w:r>
        <w:rPr>
          <w:rFonts w:ascii="仿宋_GB2312" w:hAnsi="仿宋_GB2312" w:cs="仿宋_GB2312" w:eastAsia="仿宋_GB2312"/>
        </w:rPr>
        <w:t>委托，拟对</w:t>
      </w:r>
      <w:r>
        <w:rPr>
          <w:rFonts w:ascii="仿宋_GB2312" w:hAnsi="仿宋_GB2312" w:cs="仿宋_GB2312" w:eastAsia="仿宋_GB2312"/>
        </w:rPr>
        <w:t>冲击波治疗仪采购项目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ZDJ126-033ZSA</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冲击波治疗仪采购项目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中医药大学第二附属医院新成立骨伤外治中心，为提升骨伤疾病外治服务水瓶，完善诊疗手段，申购冲击波治疗仪1台；推拿科（秦都院区）为加强专科建设，申购冲击波治疗仪1台；疼痛科申购气压弹道体外冲击治疗仪1台，推拿科（西咸院区）申购冲击波治疗仪1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代理商需提供《医疗器械经营备案凭证或备案编号》或《医疗器械经营许可证》和投标产品的制造商的《医疗器械注册证》及《医疗器械生产许可证》复印件；制造商需提供《医疗器械生产许可证》及投标产品《医疗器械注册证》复印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咸阳市渭阳西路5号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陕西中医药大学第二附属医院经办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33350559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陕西省西安市雁塔区南二环东段22号凯森盛世1号A座27层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卓腾、王亚妮、杨东华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029-82471109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采购包1：996,000.00元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代理服务费收费标准：依据《招标代理服务收费管理暂行办法》（计价格[2002]1980号）规定标准下浮50%收取，由中标单位在领取成交通知书前一次性支付代理服务费。 开户名称：正大方略工程咨询有限公司 开户行：西安银行股份有限公司东二环南段支行 账号：209011580000076430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陕西中医药大学第二附属医院</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陕西中医药大学第二附属医院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投标人应保证所提供的服务或其任何一部分均不会侵犯任何第三方的专利权、商标权或著作权。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联系人：卓腾、王亚妮、杨东华</w:t>
      </w:r>
    </w:p>
    <w:p>
      <w:pPr>
        <w:pStyle w:val="null3"/>
      </w:pPr>
      <w:r>
        <w:rPr>
          <w:rFonts w:ascii="仿宋_GB2312" w:hAnsi="仿宋_GB2312" w:cs="仿宋_GB2312" w:eastAsia="仿宋_GB2312"/>
        </w:rPr>
        <w:t>联系电话：029-82471109</w:t>
      </w:r>
    </w:p>
    <w:p>
      <w:pPr>
        <w:pStyle w:val="null3"/>
      </w:pPr>
      <w:r>
        <w:rPr>
          <w:rFonts w:ascii="仿宋_GB2312" w:hAnsi="仿宋_GB2312" w:cs="仿宋_GB2312" w:eastAsia="仿宋_GB2312"/>
        </w:rPr>
        <w:t>地址：陕西省西安市雁塔区二环南路东段22号凯森盛世1号A座27层经营一部</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陕西中医药大学第二附属医院采购4台冲击波治疗仪，具体详见采购需求。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996,000.00</w:t>
      </w:r>
    </w:p>
    <w:p>
      <w:pPr>
        <w:pStyle w:val="null3"/>
      </w:pPr>
      <w:r>
        <w:rPr>
          <w:rFonts w:ascii="仿宋_GB2312" w:hAnsi="仿宋_GB2312" w:cs="仿宋_GB2312" w:eastAsia="仿宋_GB2312"/>
        </w:rPr>
        <w:t>采购包最高限价（元）: 996,000.00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冲击治疗仪</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996,000.00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标的名称：冲击治疗仪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3"/>
              <w:gridCol w:w="255"/>
              <w:gridCol w:w="355"/>
              <w:gridCol w:w="1446"/>
              <w:gridCol w:w="334"/>
            </w:tblGrid>
            <w:tr>
              <w:tc>
                <w:tcPr>
                  <w:tcW w:type="dxa" w:w="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参数性质</w:t>
                  </w:r>
                </w:p>
              </w:tc>
              <w:tc>
                <w:tcPr>
                  <w:tcW w:type="dxa" w:w="180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内容</w:t>
                  </w:r>
                </w:p>
              </w:tc>
              <w:tc>
                <w:tcPr>
                  <w:tcW w:type="dxa" w:w="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是否须</w:t>
                  </w:r>
                </w:p>
                <w:p>
                  <w:pPr>
                    <w:pStyle w:val="null3"/>
                    <w:jc w:val="center"/>
                  </w:pPr>
                  <w:r>
                    <w:rPr>
                      <w:rFonts w:ascii="仿宋_GB2312" w:hAnsi="仿宋_GB2312" w:cs="仿宋_GB2312" w:eastAsia="仿宋_GB2312"/>
                      <w:sz w:val="21"/>
                    </w:rPr>
                    <w:t>提供证</w:t>
                  </w:r>
                </w:p>
                <w:p>
                  <w:pPr>
                    <w:pStyle w:val="null3"/>
                    <w:jc w:val="center"/>
                  </w:pPr>
                  <w:r>
                    <w:rPr>
                      <w:rFonts w:ascii="仿宋_GB2312" w:hAnsi="仿宋_GB2312" w:cs="仿宋_GB2312" w:eastAsia="仿宋_GB2312"/>
                      <w:sz w:val="21"/>
                    </w:rPr>
                    <w:t>明资料</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工作原理</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气压弹道式（非电磁式）</w:t>
                  </w:r>
                </w:p>
              </w:tc>
              <w:tc>
                <w:tcPr>
                  <w:tcW w:type="dxa" w:w="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主机、手柄、治疗冲击头为同一品牌</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3.</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注册适应症为治疗，不是辅助治疗或缓解疼痛。</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治疗手柄</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配置恒定能量治疗手柄</w:t>
                  </w:r>
                  <w:r>
                    <w:rPr>
                      <w:rFonts w:ascii="仿宋_GB2312" w:hAnsi="仿宋_GB2312" w:cs="仿宋_GB2312" w:eastAsia="仿宋_GB2312"/>
                      <w:sz w:val="21"/>
                    </w:rPr>
                    <w:t>,</w:t>
                  </w:r>
                  <w:r>
                    <w:rPr>
                      <w:rFonts w:ascii="仿宋_GB2312" w:hAnsi="仿宋_GB2312" w:cs="仿宋_GB2312" w:eastAsia="仿宋_GB2312"/>
                      <w:sz w:val="21"/>
                    </w:rPr>
                    <w:t>和高能量手柄</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5.</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设备配</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种不同治疗头，至少包含大面积放散状治疗头、长激痛点放散状治疗头、聚焦治疗头、标准放散状治疗头等。</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6.</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手柄治疗探头上带有施压指示器和带压力刻度</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手柄治疗头可伸缩</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8.</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手柄自带计数器</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治疗头及外壳均为合金材质</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治疗头均可</w:t>
                  </w:r>
                  <w:r>
                    <w:rPr>
                      <w:rFonts w:ascii="仿宋_GB2312" w:hAnsi="仿宋_GB2312" w:cs="仿宋_GB2312" w:eastAsia="仿宋_GB2312"/>
                      <w:sz w:val="21"/>
                    </w:rPr>
                    <w:t>+134</w:t>
                  </w:r>
                  <w:r>
                    <w:rPr>
                      <w:rFonts w:ascii="仿宋_GB2312" w:hAnsi="仿宋_GB2312" w:cs="仿宋_GB2312" w:eastAsia="仿宋_GB2312"/>
                      <w:sz w:val="21"/>
                    </w:rPr>
                    <w:t>℃高温高压消毒</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3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油性空气压缩机</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主机与空气压缩机分离</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12.</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355"/>
                  <w:vMerge/>
                  <w:tcBorders>
                    <w:top w:val="none" w:color="000000" w:sz="4"/>
                    <w:left w:val="single" w:color="000000" w:sz="4"/>
                    <w:bottom w:val="single" w:color="000000" w:sz="4"/>
                    <w:right w:val="single" w:color="000000" w:sz="4"/>
                  </w:tcBorders>
                </w:tcP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空气压缩机自带三级过滤功能</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13.</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355"/>
                  <w:vMerge/>
                  <w:tcBorders>
                    <w:top w:val="none" w:color="000000" w:sz="4"/>
                    <w:left w:val="single" w:color="000000" w:sz="4"/>
                    <w:bottom w:val="single" w:color="000000" w:sz="4"/>
                    <w:right w:val="single" w:color="000000" w:sz="4"/>
                  </w:tcBorders>
                </w:tcP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空压机带有储气罐</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14.</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355"/>
                  <w:vMerge/>
                  <w:tcBorders>
                    <w:top w:val="none" w:color="000000" w:sz="4"/>
                    <w:left w:val="single" w:color="000000" w:sz="4"/>
                    <w:bottom w:val="single" w:color="000000" w:sz="4"/>
                    <w:right w:val="single" w:color="000000" w:sz="4"/>
                  </w:tcBorders>
                </w:tcP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空气压缩机气体过滤芯过滤精度</w:t>
                  </w:r>
                  <w:r>
                    <w:rPr>
                      <w:rFonts w:ascii="仿宋_GB2312" w:hAnsi="仿宋_GB2312" w:cs="仿宋_GB2312" w:eastAsia="仿宋_GB2312"/>
                      <w:sz w:val="21"/>
                    </w:rPr>
                    <w:t>≤</w:t>
                  </w:r>
                  <w:r>
                    <w:rPr>
                      <w:rFonts w:ascii="仿宋_GB2312" w:hAnsi="仿宋_GB2312" w:cs="仿宋_GB2312" w:eastAsia="仿宋_GB2312"/>
                      <w:sz w:val="21"/>
                    </w:rPr>
                    <w:t>0.01</w:t>
                  </w:r>
                  <w:r>
                    <w:rPr>
                      <w:rFonts w:ascii="仿宋_GB2312" w:hAnsi="仿宋_GB2312" w:cs="仿宋_GB2312" w:eastAsia="仿宋_GB2312"/>
                      <w:sz w:val="21"/>
                    </w:rPr>
                    <w:t>μ</w:t>
                  </w:r>
                  <w:r>
                    <w:rPr>
                      <w:rFonts w:ascii="仿宋_GB2312" w:hAnsi="仿宋_GB2312" w:cs="仿宋_GB2312" w:eastAsia="仿宋_GB2312"/>
                      <w:sz w:val="21"/>
                    </w:rPr>
                    <w:t>m</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15.</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w:t>
                  </w:r>
                </w:p>
              </w:tc>
              <w:tc>
                <w:tcPr>
                  <w:tcW w:type="dxa" w:w="355"/>
                  <w:vMerge/>
                  <w:tcBorders>
                    <w:top w:val="none" w:color="000000" w:sz="4"/>
                    <w:left w:val="single" w:color="000000" w:sz="4"/>
                    <w:bottom w:val="single" w:color="000000" w:sz="4"/>
                    <w:right w:val="single" w:color="000000" w:sz="4"/>
                  </w:tcBorders>
                </w:tcP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1"/>
                    </w:rPr>
                    <w:t>空气压缩机每分钟输出气流量</w:t>
                  </w:r>
                  <w:r>
                    <w:rPr>
                      <w:rFonts w:ascii="仿宋_GB2312" w:hAnsi="仿宋_GB2312" w:cs="仿宋_GB2312" w:eastAsia="仿宋_GB2312"/>
                      <w:sz w:val="21"/>
                    </w:rPr>
                    <w:t>≥</w:t>
                  </w:r>
                  <w:r>
                    <w:rPr>
                      <w:rFonts w:ascii="仿宋_GB2312" w:hAnsi="仿宋_GB2312" w:cs="仿宋_GB2312" w:eastAsia="仿宋_GB2312"/>
                      <w:sz w:val="21"/>
                    </w:rPr>
                    <w:t>35L</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16.</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3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压缩空气压力及流量</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0.5-0.6MPa</w:t>
                  </w:r>
                  <w:r>
                    <w:rPr>
                      <w:rFonts w:ascii="仿宋_GB2312" w:hAnsi="仿宋_GB2312" w:cs="仿宋_GB2312" w:eastAsia="仿宋_GB2312"/>
                      <w:sz w:val="21"/>
                    </w:rPr>
                    <w:t>（</w:t>
                  </w:r>
                  <w:r>
                    <w:rPr>
                      <w:rFonts w:ascii="仿宋_GB2312" w:hAnsi="仿宋_GB2312" w:cs="仿宋_GB2312" w:eastAsia="仿宋_GB2312"/>
                      <w:sz w:val="21"/>
                    </w:rPr>
                    <w:t>5-6bar</w:t>
                  </w:r>
                  <w:r>
                    <w:rPr>
                      <w:rFonts w:ascii="仿宋_GB2312" w:hAnsi="仿宋_GB2312" w:cs="仿宋_GB2312" w:eastAsia="仿宋_GB2312"/>
                      <w:sz w:val="21"/>
                    </w:rPr>
                    <w:t>），</w:t>
                  </w:r>
                  <w:r>
                    <w:rPr>
                      <w:rFonts w:ascii="仿宋_GB2312" w:hAnsi="仿宋_GB2312" w:cs="仿宋_GB2312" w:eastAsia="仿宋_GB2312"/>
                      <w:sz w:val="21"/>
                    </w:rPr>
                    <w:t>20ml/min</w:t>
                  </w:r>
                  <w:r>
                    <w:rPr>
                      <w:rFonts w:ascii="仿宋_GB2312" w:hAnsi="仿宋_GB2312" w:cs="仿宋_GB2312" w:eastAsia="仿宋_GB2312"/>
                      <w:sz w:val="21"/>
                    </w:rPr>
                    <w:t>（在</w:t>
                  </w:r>
                  <w:r>
                    <w:rPr>
                      <w:rFonts w:ascii="仿宋_GB2312" w:hAnsi="仿宋_GB2312" w:cs="仿宋_GB2312" w:eastAsia="仿宋_GB2312"/>
                      <w:sz w:val="21"/>
                    </w:rPr>
                    <w:t>4bar</w:t>
                  </w:r>
                  <w:r>
                    <w:rPr>
                      <w:rFonts w:ascii="仿宋_GB2312" w:hAnsi="仿宋_GB2312" w:cs="仿宋_GB2312" w:eastAsia="仿宋_GB2312"/>
                      <w:sz w:val="21"/>
                    </w:rPr>
                    <w:t>时）</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17.</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355"/>
                  <w:vMerge/>
                  <w:tcBorders>
                    <w:top w:val="none" w:color="000000" w:sz="4"/>
                    <w:left w:val="single" w:color="000000" w:sz="4"/>
                    <w:bottom w:val="single" w:color="000000" w:sz="4"/>
                    <w:right w:val="single" w:color="000000" w:sz="4"/>
                  </w:tcBorders>
                </w:tcP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医疗质量级别的干燥压缩空气（经过最小</w:t>
                  </w:r>
                  <w:r>
                    <w:rPr>
                      <w:rFonts w:ascii="仿宋_GB2312" w:hAnsi="仿宋_GB2312" w:cs="仿宋_GB2312" w:eastAsia="仿宋_GB2312"/>
                      <w:sz w:val="21"/>
                    </w:rPr>
                    <w:t>5um</w:t>
                  </w:r>
                  <w:r>
                    <w:rPr>
                      <w:rFonts w:ascii="仿宋_GB2312" w:hAnsi="仿宋_GB2312" w:cs="仿宋_GB2312" w:eastAsia="仿宋_GB2312"/>
                      <w:sz w:val="21"/>
                    </w:rPr>
                    <w:t>孔径的滤膜过滤）</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18.</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压力脉冲宽度应不大于</w:t>
                  </w:r>
                  <w:r>
                    <w:rPr>
                      <w:rFonts w:ascii="仿宋_GB2312" w:hAnsi="仿宋_GB2312" w:cs="仿宋_GB2312" w:eastAsia="仿宋_GB2312"/>
                      <w:sz w:val="21"/>
                    </w:rPr>
                    <w:t>5</w:t>
                  </w:r>
                  <w:r>
                    <w:rPr>
                      <w:rFonts w:ascii="仿宋_GB2312" w:hAnsi="仿宋_GB2312" w:cs="仿宋_GB2312" w:eastAsia="仿宋_GB2312"/>
                      <w:sz w:val="21"/>
                    </w:rPr>
                    <w:t>μ</w:t>
                  </w:r>
                  <w:r>
                    <w:rPr>
                      <w:rFonts w:ascii="仿宋_GB2312" w:hAnsi="仿宋_GB2312" w:cs="仿宋_GB2312" w:eastAsia="仿宋_GB2312"/>
                      <w:sz w:val="21"/>
                    </w:rPr>
                    <w:t>s</w:t>
                  </w:r>
                  <w:r>
                    <w:rPr>
                      <w:rFonts w:ascii="仿宋_GB2312" w:hAnsi="仿宋_GB2312" w:cs="仿宋_GB2312" w:eastAsia="仿宋_GB2312"/>
                      <w:sz w:val="21"/>
                    </w:rPr>
                    <w:t>。（见检验报告）</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19.</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配带静音万向轮的专用推车和理线杆</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20.</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设备使用年限</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年。</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rPr>
                    <w:t>▲</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最大能流密度</w:t>
                  </w:r>
                  <w:r>
                    <w:rPr>
                      <w:rFonts w:ascii="仿宋_GB2312" w:hAnsi="仿宋_GB2312" w:cs="仿宋_GB2312" w:eastAsia="仿宋_GB2312"/>
                      <w:sz w:val="21"/>
                    </w:rPr>
                    <w:t>≤</w:t>
                  </w:r>
                  <w:r>
                    <w:rPr>
                      <w:rFonts w:ascii="仿宋_GB2312" w:hAnsi="仿宋_GB2312" w:cs="仿宋_GB2312" w:eastAsia="仿宋_GB2312"/>
                      <w:sz w:val="21"/>
                    </w:rPr>
                    <w:t>0.55mJ/mm</w:t>
                  </w:r>
                  <w:r>
                    <w:rPr>
                      <w:rFonts w:ascii="仿宋_GB2312" w:hAnsi="仿宋_GB2312" w:cs="仿宋_GB2312" w:eastAsia="仿宋_GB2312"/>
                      <w:sz w:val="21"/>
                    </w:rPr>
                    <w:t>²。（出示检验报告）</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合同签订且接采购人通知后 30 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陕西中医药大学第二附属医院指定地点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进度款，货到安装调试验收合格办理入库后，乙方于3个工作日内持全额正式税务发票向甲方提出申请，达到付款条件起30个工作日内，支付合同总金额的65.0%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进度款，设备办理入库并正常运行3个月后，乙方提供的商品无故障等各种情况发生，达到付款条件起30个工作日内，支付合同总金额的30.0%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进度款，设备正常运转1年后，乙方就合同约定义务全部履行完毕后，达到付款条件起30个工作日内，支付合同总金额的5.0%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1、乙方必须具有完善的售后服务体系，高水平的技术维修人员和良好的设备备件供应能力。 2、乙方同意该产品自安装、调试、验收合格并正常使用之日起免费保修，保质期为 三 年，在保修、保质期内出现的任何质量问题，乙方保证在接到甲方维修通知之日起24小时内派专业维修人员赶赴现场（即甲方指定地点）进行维修，并于3日内使设备恢复正常使用。 3、保修、保质期内，要确保该产品系统正常运行，开机率不得低于95%，如经过两次维修后仍达不到此标准，乙方应于7日内负责调换部分或整个产品设备，保修、保质期作相应延长，并承担自产品出现故障之日起至产品再次正常运行使用之日期间给甲方造成的所有经济损失。若更换后产品还达不到此标准，视为乙方根本违约，甲方有权单方解除合同，解除合同的通知达到乙方之日视为合同已解除，乙方应无条件退货，并承担给甲方造成的所有经济损失。 4、保修、保质期内，维修费用、乙方维修人员的差旅费及其他相关费用均由乙方承担。 5、保修、保质期满后，乙方负责终身优质服务，检修更换的产品配置零件按标准报价 8 折的优惠价向甲方提供，免人工费、差旅费及工时费，只收取更换的零配件成本费。 6、乙方负责产品机型系统错误改进，在保修、保质期内对该机型的软件免费更换或升级。 7、如以后该产品升级换代，乙方愿意以优惠价格向甲方提供。 8、如因产品本身的隐蔽瑕疵而出现的质量问题，乙方应全面负责维修调试或更新更换并承担全部费用。 9、乙方必须严格依据合同约定及投标文件中的售后服务承诺履行售后服务义务。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如不能及时交货或未按照本合同约定及时安装、调试完毕或违反第九条约定，迟延30日视为乙方根本违约，甲方有权单方解除合同，同时乙方应向甲方支付本合同总价款10 %的违约金。如交付的产品数量、品种、规格、质量不符合国家标准和合同约定的由乙方负责包修、包换、退货，乙方应于7日内完成产品的维修或退/换货，并承担由此给甲方造成的所有经济损失；逾期交货的，应向甲方支付迟延履行的违约金，每日违约金按逾期交货货款金额万分之一计算。 2、除前款约定外，乙方未按合同要求提供产品或提供虚假材料，且质量不能满足技术要求的，视为乙方根本违约，甲方有权单方终止合同，同时要求乙方承担承担本合同总价款10％的违约金，违约金不足以弥补损失的，由乙方另行支付。 3、自本合同签订之日起，若甲方无故中途退货，应向乙方支付退货部分货款的10 %的违约金。 4、甲方应当按时向乙方支付货款，逾期付款的，应向乙方支付迟延履行的违约金，每日违约金按逾期付款金额的万分之一计算。 5、乙方未按照本合同第十条第2款完成维修义务的，每迟延一日应向甲方支付合同总价款万分之一的违约金，迟延超过7日的，甲方有权委托第三方进行维修，由此产生的费用由乙方承担。</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本项目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3.5.2提供核心产品相同品牌且通过资格审查、符合性审查的不同投标人参加同一包（标段）投标的，按一家投标人计算，评审后得分最高的同品牌投标人获得中标人推荐资格；评审得分相同的，由采购人自行确定一个投标人获得中标人推荐资格，其他同品牌投标人不作为中标候选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 1)企业投标的：营业执照 ，2)事业单位投标的：事业单位法人证书，3)其他组织投标的：登记证书，4)个体工商户投标的：个体工商户营业执照，5）自然人投标的：身份证；（2）税收缴纳证明：提供供应商自投标前1年以来已缴纳任意时段完税凭证或税务机关开具的完税证明（任意税种）；依法免税的应提供相关文件证明；（3）社会保障资金缴纳证明：提供供应商自投标前1年以来已缴存的任意时段的社会保障资金缴存单据或社保机构开具的社会保险参保缴费情况证明或包含社会保障资金的完税证明；依法不需要缴纳社会保障资金的供应商应提供相关文件证明；（4）提供供应商具备履行合同所必需的设备和专业技术能力的证明材料；（5）投标人参加本次采购活动3年内，在经营活动中没有重大违法记录以及未被列入失信被执行人、重大税收违法案件当事人名单、政府采购严重违法失信行为记录名单的书面声明；（6）法定代表人（单位负责人）参加投标的，提供本人身份证复印件；法定代表人（单位负责人）授权他人参加投标的，提供法定代表人委托授权书及被授权代表的身份证。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2024年度或2025年度经审计的财务会计报告，包括“四表一注”（投标人提供的经审计的财务报告应具有注册会计师行业统一监管平台赋予的验证码，并可通过统一监管平台或手机“扫一扫”等方式进行查验）或者银行资信证明（提供投标文件截止时间3个月内其基本账户开户银行出具的资信证明）。供应商需在项目电子化交易系统中按要求填写《投标函》完成承诺后，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代理商需提供《医疗器械经营备案凭证或备案编号》或《医疗器械经营许可证》和投标产品的制造商的《医疗器械注册证》及《医疗器械生产许可证》复印件；制造商需提供《医疗器械生产许可证》及投标产品《医疗器械注册证》复印件。</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投标文件签署、盖章的</w:t>
            </w:r>
          </w:p>
        </w:tc>
        <w:tc>
          <w:tcPr>
            <w:tcW w:type="dxa" w:w="3322"/>
          </w:tcPr>
          <w:p>
            <w:pPr>
              <w:pStyle w:val="null3"/>
            </w:pPr>
            <w:r>
              <w:rPr>
                <w:rFonts w:ascii="仿宋_GB2312" w:hAnsi="仿宋_GB2312" w:cs="仿宋_GB2312" w:eastAsia="仿宋_GB2312"/>
              </w:rPr>
              <w:t>按招标文件要求签署、盖章的</w:t>
            </w:r>
          </w:p>
        </w:tc>
        <w:tc>
          <w:tcPr>
            <w:tcW w:type="dxa" w:w="1661"/>
          </w:tcPr>
          <w:p>
            <w:pPr>
              <w:pStyle w:val="null3"/>
            </w:pPr>
            <w:r>
              <w:rPr>
                <w:rFonts w:ascii="仿宋_GB2312" w:hAnsi="仿宋_GB2312" w:cs="仿宋_GB2312" w:eastAsia="仿宋_GB2312"/>
              </w:rPr>
              <w:t>开标一览表 合同条款偏离表 产品技术参数响应表 中小企业声明函 商务应答表 技术文件 投标人应提交的相关资格证明材料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只能有一个有效报价，不得提交选择性报价，且报价不超过第二章“投标人须知”前附表规定的采购预算金额或最高限价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交货时间满足文件最低要求(合格)，交货时间不满足文件最低要求(不合格)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保修期</w:t>
            </w:r>
          </w:p>
        </w:tc>
        <w:tc>
          <w:tcPr>
            <w:tcW w:type="dxa" w:w="3322"/>
          </w:tcPr>
          <w:p>
            <w:pPr>
              <w:pStyle w:val="null3"/>
            </w:pPr>
            <w:r>
              <w:rPr>
                <w:rFonts w:ascii="仿宋_GB2312" w:hAnsi="仿宋_GB2312" w:cs="仿宋_GB2312" w:eastAsia="仿宋_GB2312"/>
              </w:rPr>
              <w:t>保修期限满足文件最低要求(合格)，保修期限不满足文件最低要求(不合格)</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投标文件投标有效期符合文件要求的(合格)，投标文件无投标有效期或有效期达不到文件要求的(不合格)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权利义务</w:t>
            </w:r>
          </w:p>
        </w:tc>
        <w:tc>
          <w:tcPr>
            <w:tcW w:type="dxa" w:w="3322"/>
          </w:tcPr>
          <w:p>
            <w:pPr>
              <w:pStyle w:val="null3"/>
            </w:pPr>
            <w:r>
              <w:rPr>
                <w:rFonts w:ascii="仿宋_GB2312" w:hAnsi="仿宋_GB2312" w:cs="仿宋_GB2312" w:eastAsia="仿宋_GB2312"/>
              </w:rPr>
              <w:t>符合“拟签订合同交本”条款中实质性要求和条件</w:t>
            </w:r>
          </w:p>
        </w:tc>
        <w:tc>
          <w:tcPr>
            <w:tcW w:type="dxa" w:w="1661"/>
          </w:tcPr>
          <w:p>
            <w:pPr>
              <w:pStyle w:val="null3"/>
            </w:pPr>
            <w:r>
              <w:rPr>
                <w:rFonts w:ascii="仿宋_GB2312" w:hAnsi="仿宋_GB2312" w:cs="仿宋_GB2312" w:eastAsia="仿宋_GB2312"/>
              </w:rPr>
              <w:t>合同条款偏离表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“★”符号标明的条款为实质性要求和条件，投标文件对其中任何一条的负偏离，为实质性偏离，其投标无效</w:t>
            </w:r>
          </w:p>
        </w:tc>
        <w:tc>
          <w:tcPr>
            <w:tcW w:type="dxa" w:w="3322"/>
          </w:tcPr>
          <w:p>
            <w:pPr>
              <w:pStyle w:val="null3"/>
            </w:pPr>
            <w:r>
              <w:rPr>
                <w:rFonts w:ascii="仿宋_GB2312" w:hAnsi="仿宋_GB2312" w:cs="仿宋_GB2312" w:eastAsia="仿宋_GB2312"/>
              </w:rPr>
              <w:t>“★”符号标明的条款为实质性要求和条件，投标文件对其中任何一条的负偏离，为实质性偏离，其投标无效</w:t>
            </w:r>
          </w:p>
        </w:tc>
        <w:tc>
          <w:tcPr>
            <w:tcW w:type="dxa" w:w="1661"/>
          </w:tcPr>
          <w:p>
            <w:pPr>
              <w:pStyle w:val="null3"/>
            </w:pPr>
            <w:r>
              <w:rPr>
                <w:rFonts w:ascii="仿宋_GB2312" w:hAnsi="仿宋_GB2312" w:cs="仿宋_GB2312" w:eastAsia="仿宋_GB2312"/>
              </w:rPr>
              <w:t>产品技术参数响应表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技术指标的响应程度</w:t>
            </w:r>
          </w:p>
        </w:tc>
        <w:tc>
          <w:tcPr>
            <w:tcW w:type="dxa" w:w="2492"/>
          </w:tcPr>
          <w:p>
            <w:pPr>
              <w:pStyle w:val="null3"/>
            </w:pPr>
            <w:r>
              <w:rPr>
                <w:rFonts w:ascii="仿宋_GB2312" w:hAnsi="仿宋_GB2312" w:cs="仿宋_GB2312" w:eastAsia="仿宋_GB2312"/>
              </w:rPr>
              <w:t>评标委员会根据投标文件中对技术指标的应答，并结合投标人提供的官方网站截图或产品白皮书或说明书或第三方机构检验报告或其他相关证明材料，对技术响应进行综合评价；产品技术参数清楚、明确，完全满足或优于招标文件要求得31.5分。 产品参数项共21项，其中“★”项2项，“▲”项3项，其他项16项。 “★”项为实质性参数，有一项不满足视为无效投标；“▲”项每满足一项计2.5分，其他项每满足一项计1.5分，满分31.5分。 注：标明需提供证明资料的参数项须提供证明资料，未提供证明资料的为不响应招标文件要求，其中“★”项未提供证明资料的视为无效投标，“▲”项及其他项未提供证明资料的相应项将不计得分。</w:t>
            </w:r>
          </w:p>
        </w:tc>
        <w:tc>
          <w:tcPr>
            <w:tcW w:type="dxa" w:w="831"/>
          </w:tcPr>
          <w:p>
            <w:pPr>
              <w:pStyle w:val="null3"/>
              <w:jc w:val="right"/>
            </w:pPr>
            <w:r>
              <w:rPr>
                <w:rFonts w:ascii="仿宋_GB2312" w:hAnsi="仿宋_GB2312" w:cs="仿宋_GB2312" w:eastAsia="仿宋_GB2312"/>
              </w:rPr>
              <w:t>31.5000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产品技术参数响应表</w:t>
            </w:r>
          </w:p>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一、评审内容：实施方案包含①组织生产、供货运输方案及安装调试方案；②接受采购人对项目实施方案、生产进度、货物质量、货款支付与结算审核等方面监督和管理等。 二、评审标准： （1）完整性：内容全面详尽，对各方面有详细的描述和说明。 （2）合理性：项目切合实际，进度控制合理、思路清晰，科学合理。 （3）针对性：方案编制紧扣项目特点和采购需求，针对性强，整体性高。 三、赋分标准（满分6分） ①组织生产、供货运输方案及安装调试方案：此评审满分3分，每完全满足一项评审标准得1分，针对每条评审标准，如存在不合理的方面扣0.5分，针对每条评审标准，内容与本项目无关或未提供得0分； ②接受采购人对项目实施方案、生产进度、货物质量、货款支付与结算审核等方面监督和管理等：此评审满分3分，每完全满足一项评审标准得1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一、评审内容：投标产品符合国家相关质量标准，质量管理体系健全，质量保证措施有效可靠，符合招标人要求。 二、评审标准： （1）完整性：内容全面详尽，对各方面有详细的描述和说明。 （2）合理性：项目切合实际，进度控制合理、思路清晰，科学合理。 （3）针对性：方案编制紧扣项目特点和采购需求，针对性强，整体性高。 三、赋分标准（满分4.5分） 此评审满分4.5分，每完全满足一项评审标准得1.5分，针对每条评审标准，如存在不合理的方面扣0.5分，针对每条评审标准，内容与本项目无关或未提供得0分；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产品来源证明资料</w:t>
            </w:r>
          </w:p>
        </w:tc>
        <w:tc>
          <w:tcPr>
            <w:tcW w:type="dxa" w:w="2492"/>
          </w:tcPr>
          <w:p>
            <w:pPr>
              <w:pStyle w:val="null3"/>
            </w:pPr>
            <w:r>
              <w:rPr>
                <w:rFonts w:ascii="仿宋_GB2312" w:hAnsi="仿宋_GB2312" w:cs="仿宋_GB2312" w:eastAsia="仿宋_GB2312"/>
              </w:rPr>
              <w:t>投标人应提供所投产品来源渠道的合法证明资料，包括但不限于产品制造商授权/销售协议、代理协议、生产厂家出具的相应功能证明材料或第三方检测机构出具的检测/检验报告等。 证明资料完整计3分，不完整或未提供本项不计得分。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一、评审内容：培训方案包括培训计划及内容、培训人员、培训时间安排、地点等，保证采购人能够安全、正常、熟练的使用投标产品。 二、评审标准： （1）完整性：内容全面详尽，对各方面有详细的描述和说明。 （2）合理性：项目切合实际，进度控制合理、思路清晰，科学合理。 （3）针对性：方案编制紧扣项目特点和采购需求，针对性强，整体性高。 三、赋分标准（满分3分） 此评审满分3分，每完全满足一项评审标准得1分，针对每条评审标准，如存在不合理的方面扣0.5分，针对每条评审标准，内容与本项目无关或未提供得0分。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一、评审内容；根据投标人针对本项目配备专业的售后服务机构及服务团队进行评审，包括送货、安装调试人员、售后服务人员、技术支持人员。 二、赋分标准（满分6分） 投标人提供的人员中①送货②安装调试人员③售后服务人员④技术支持人员类别齐全（每类别至少1人）得4分，不齐全不得分，每个类别增加一名人员得1分，本项最高得6分。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售后服务方案及保障力度</w:t>
            </w:r>
          </w:p>
        </w:tc>
        <w:tc>
          <w:tcPr>
            <w:tcW w:type="dxa" w:w="2492"/>
          </w:tcPr>
          <w:p>
            <w:pPr>
              <w:pStyle w:val="null3"/>
            </w:pPr>
            <w:r>
              <w:rPr>
                <w:rFonts w:ascii="仿宋_GB2312" w:hAnsi="仿宋_GB2312" w:cs="仿宋_GB2312" w:eastAsia="仿宋_GB2312"/>
              </w:rPr>
              <w:t>一、评审内容：售后服务方案及保障力度包括①质保期内的维护保养、相关技术支持方案②产品出现故障响应时间承诺、解决故障时间承诺、补救措施等。 二、评审标准： （1）完整性：内容全面详尽，对各方面有详细的描述和说明。 （2）合理性：项目切合实际，进度控制合理、思路清晰，科学合理。 （3）针对性：方案编制紧扣项目特点和采购需求，针对性强，整体性高。 三、赋分标准（满分6分） ①质保期内的维护保养、相关技术支持方案，此评审满分3分，每完全满足一项评审标准得1分，针对每条评审标准，如存在不合理的方面扣0.5分，针对每条评审标准，内容与本项目无关或未提供得0分； ②产品出现故障响应时间承诺、解决故障时间承诺、补救措施等，此评审满分3分，每完全满足一项评审标准得1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投标人每提供一份（2023年1月1日至今）产品清晰完整的业绩合同复印件得2分，最高得10分。 注：时间以合同签订时间为准，完整是指合同文本须完整，金额可不体现，未按照要求提供不得分。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根据《关于进一步加大政府采购支持中小企业力度的通知》财库〔2022〕19号的相关规定，对小型和微型企业的价格给予10%的扣除，用扣除后的价格参与评审。（2）根据《财政部民政部中国残疾人联合会关于促进残疾人就业政府采购政策的通知》（财库〔2017〕141号）的规定，对符合条件的残疾人福利性单位设备的价格给予10%的扣除，用扣除后的价格参与评审。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详见附件：产品技术参数响应表</w:t>
      </w:r>
    </w:p>
    <w:p>
      <w:pPr>
        <w:pStyle w:val="null3"/>
        <w:ind w:firstLine="960"/>
      </w:pPr>
      <w:r>
        <w:rPr>
          <w:rFonts w:ascii="仿宋_GB2312" w:hAnsi="仿宋_GB2312" w:cs="仿宋_GB2312" w:eastAsia="仿宋_GB2312"/>
        </w:rPr>
        <w:t>详见附件：合同条款偏离表</w:t>
      </w:r>
    </w:p>
    <w:p>
      <w:pPr>
        <w:pStyle w:val="null3"/>
        <w:ind w:firstLine="960"/>
      </w:pPr>
      <w:r>
        <w:rPr>
          <w:rFonts w:ascii="仿宋_GB2312" w:hAnsi="仿宋_GB2312" w:cs="仿宋_GB2312" w:eastAsia="仿宋_GB2312"/>
        </w:rPr>
        <w:t>详见附件：技术文件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