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版本号：HCXM-CS-2607-0820260721001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HCXM-CS-2607-08</w:t>
      </w:r>
      <w:r>
        <w:br/>
      </w:r>
      <w:r>
        <w:br/>
      </w:r>
      <w:r>
        <w:br/>
      </w:r>
    </w:p>
    <w:p>
      <w:pPr>
        <w:pStyle w:val="null3"/>
        <w:jc w:val="center"/>
        <w:outlineLvl w:val="2"/>
      </w:pPr>
      <w:r>
        <w:rPr>
          <w:rFonts w:ascii="仿宋_GB2312" w:hAnsi="仿宋_GB2312" w:cs="仿宋_GB2312" w:eastAsia="仿宋_GB2312"/>
          <w:sz w:val="28"/>
          <w:b/>
        </w:rPr>
        <w:t>陕西省退役军人事务厅机关</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陕西省退役军人事务厅机关</w:t>
      </w:r>
      <w:r>
        <w:rPr>
          <w:rFonts w:ascii="仿宋_GB2312" w:hAnsi="仿宋_GB2312" w:cs="仿宋_GB2312" w:eastAsia="仿宋_GB2312"/>
        </w:rPr>
        <w:t>委托，拟对</w:t>
      </w:r>
      <w:r>
        <w:rPr>
          <w:rFonts w:ascii="仿宋_GB2312" w:hAnsi="仿宋_GB2312" w:cs="仿宋_GB2312" w:eastAsia="仿宋_GB2312"/>
        </w:rPr>
        <w:t>信息化运维服务项目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HCXM-CS-2607-08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信息化运维服务项目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退役军人事务厅信息化运维服务项目。运维期限12个月，运维期内系统各项功能运行正常，定期巡检，及时发现和修复系统漏洞，确保系统安全。并按照省委网信办、省公安厅、省数据和政务服务局等单位网络安全工作要求，随时处置系统及服务器漏洞，并参加网络安全攻防演练、漏洞扫描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采购包1（信息化运维服务项目）：属于专门面向中小企业采购。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1、本项目的特定资格要求：（1）、具有独立承担民事责任能力的法人、其他组织或自然人，并出具合法有效的营业执照或事业单位法人证书等国家规定的相关证明，自然人参与的提供其身份证明; （2）、财务状况报告（二选一）：①供应商提供2025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3）、税收缴纳证明：提供截止开标前一年内至少一个月的纳税证明或完税证明，依法免税的单位应提供相关证明材料；（4）、社会保障资金缴纳证明：提供截止开标前一年内至少一个月的社会保障资金缴存单据或社保机构开具的社会保险参保缴费情况证明，依法不需要缴纳社会保障资金的单位应提供相关证明材料；（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磋商文件发售之日起至开标截止日前）并加盖供应商公章； （6）、法定代表人授权书/身份证明书:法定代表人直接参与投标的，须提供法定代表人身份证复印件，法定代表人授权代表参加投标的，须递交《法定代表人授权委托书》及授权代表身份证复印件；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（8）、提供具有履行本合同所必需的专业技术能力的声明；（9）、本项目不接受联合体投标（提供非联合体承诺书）。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陕西省退役军人事务厅机关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西安市新城区新城大院45号楼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陕西省退役军人事务厅机关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029-63917838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陕西省西安市高新区团结南路西安国际人才大厦A座1508室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董丽英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13389230971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开户名称：汇成项目管理有限公司（备注：缴纳时需备注项目名称；开具保函的单位，在投标截止前一天需给代理机构交一份纸质版保函）。</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 0192 5700 0000 0294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代理服务费收费标准：参照原国家计委关于《招标代理服务收费管理暂行办法》的通知（计价格[2002]1980号）、《国家发展改革委办公厅关于招标代理服务收费有关问题的通知》（发改价格[2003]857号）规定执行。 服务费账户信息： 户名：汇成项目管理有限公司 账号：6105 0192 5700 0000 0294 开户行：中国建设银行西安高新科技支行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陕西省退役军人事务厅机关</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陕西省退役军人事务厅机关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陕西省退役军人事务厅机关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联系人：董丽英</w:t>
      </w:r>
    </w:p>
    <w:p>
      <w:pPr>
        <w:pStyle w:val="null3"/>
      </w:pPr>
      <w:r>
        <w:rPr>
          <w:rFonts w:ascii="仿宋_GB2312" w:hAnsi="仿宋_GB2312" w:cs="仿宋_GB2312" w:eastAsia="仿宋_GB2312"/>
        </w:rPr>
        <w:t>联系电话：13389230971</w:t>
      </w:r>
    </w:p>
    <w:p>
      <w:pPr>
        <w:pStyle w:val="null3"/>
      </w:pPr>
      <w:r>
        <w:rPr>
          <w:rFonts w:ascii="仿宋_GB2312" w:hAnsi="仿宋_GB2312" w:cs="仿宋_GB2312" w:eastAsia="仿宋_GB2312"/>
        </w:rPr>
        <w:t>地址：陕西省西安市雁塔区团结南路12号西安国际人才大厦A座北1508</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本项目为陕西省退役军人事务厅信息化运维服务项目，具体服务内容详见磋商文件。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信息化软硬件及安全维护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标的名称：信息化软硬件及安全维护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ind w:left="390" w:firstLine="408"/>
              <w:jc w:val="both"/>
            </w:pPr>
            <w:r>
              <w:rPr>
                <w:rFonts w:ascii="仿宋_GB2312" w:hAnsi="仿宋_GB2312" w:cs="仿宋_GB2312" w:eastAsia="仿宋_GB2312"/>
                <w:sz w:val="20"/>
                <w:color w:val="000000"/>
              </w:rPr>
              <w:t>运维内容主要包括：陕西省退役军人综合政务办公系统、陕西省退役军人事务厅门户网站、陕西省退役军人事务厅视频会议系统、陕西省退役军人一体化平台、陕西省残疾退役军人康复辅具服务保障系统、陕西省退役军人财务共享统计分析系统、陕西省退役军人干部教育培训系统、陕西省退役军人安置遗留问题精准解决服务系统、陕西省退役军人综合优待服务系统、陕西省退役军人动态精准就业服务系统、陕西省退役士兵信息管理系统、陕西省优抚对象医疗保障系统</w:t>
            </w:r>
            <w:r>
              <w:rPr>
                <w:rFonts w:ascii="仿宋_GB2312" w:hAnsi="仿宋_GB2312" w:cs="仿宋_GB2312" w:eastAsia="仿宋_GB2312"/>
                <w:sz w:val="20"/>
                <w:color w:val="000000"/>
              </w:rPr>
              <w:t>12个系统的技术运维；相关服务器安全运维日常检测和漏洞修复；配合相关部门进行网络安全攻防演练。具体运维内容如下：</w:t>
            </w:r>
          </w:p>
          <w:tbl>
            <w:tblPr>
              <w:tblInd w:type="dxa" w:w="90"/>
              <w:tblBorders>
                <w:top w:val="none" w:color="000000" w:sz="4"/>
                <w:left w:val="none" w:color="000000" w:sz="4"/>
                <w:bottom w:val="none" w:color="000000" w:sz="4"/>
                <w:right w:val="none" w:color="000000" w:sz="4"/>
                <w:insideH w:val="none"/>
                <w:insideV w:val="none"/>
              </w:tblBorders>
            </w:tblPr>
            <w:tblGrid>
              <w:gridCol w:w="166"/>
              <w:gridCol w:w="260"/>
              <w:gridCol w:w="371"/>
              <w:gridCol w:w="1182"/>
              <w:gridCol w:w="567"/>
            </w:tblGrid>
            <w:tr>
              <w:tc>
                <w:tcPr>
                  <w:tcW w:type="dxa" w:w="2546"/>
                  <w:gridSpan w:val="5"/>
                  <w:tcBorders>
                    <w:top w:val="singl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spacing w:before="150"/>
                    <w:ind w:left="390"/>
                    <w:jc w:val="center"/>
                  </w:pPr>
                  <w:r>
                    <w:rPr>
                      <w:rFonts w:ascii="仿宋_GB2312" w:hAnsi="仿宋_GB2312" w:cs="仿宋_GB2312" w:eastAsia="仿宋_GB2312"/>
                      <w:sz w:val="20"/>
                      <w:color w:val="000000"/>
                    </w:rPr>
                    <w:t>技术参数清单</w:t>
                  </w:r>
                </w:p>
              </w:tc>
            </w:tr>
            <w:tr>
              <w:tc>
                <w:tcPr>
                  <w:tcW w:type="dxa" w:w="166"/>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序号</w:t>
                  </w:r>
                </w:p>
              </w:tc>
              <w:tc>
                <w:tcPr>
                  <w:tcW w:type="dxa" w:w="260"/>
                  <w:tcBorders>
                    <w:top w:val="singl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模块</w:t>
                  </w:r>
                </w:p>
              </w:tc>
              <w:tc>
                <w:tcPr>
                  <w:tcW w:type="dxa" w:w="371"/>
                  <w:tcBorders>
                    <w:top w:val="singl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子模块</w:t>
                  </w:r>
                </w:p>
              </w:tc>
              <w:tc>
                <w:tcPr>
                  <w:tcW w:type="dxa" w:w="1182"/>
                  <w:tcBorders>
                    <w:top w:val="singl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核心功能模块</w:t>
                  </w:r>
                </w:p>
              </w:tc>
              <w:tc>
                <w:tcPr>
                  <w:tcW w:type="dxa" w:w="567"/>
                  <w:tcBorders>
                    <w:top w:val="singl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运维内容</w:t>
                  </w:r>
                </w:p>
              </w:tc>
            </w:tr>
            <w:tr>
              <w:tc>
                <w:tcPr>
                  <w:tcW w:type="dxa" w:w="1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1</w:t>
                  </w:r>
                </w:p>
              </w:tc>
              <w:tc>
                <w:tcPr>
                  <w:tcW w:type="dxa" w:w="260"/>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技术运维</w:t>
                  </w:r>
                </w:p>
              </w:tc>
              <w:tc>
                <w:tcPr>
                  <w:tcW w:type="dxa" w:w="3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陕西省退役军人综合政务办公系统</w:t>
                  </w:r>
                </w:p>
              </w:tc>
              <w:tc>
                <w:tcPr>
                  <w:tcW w:type="dxa" w:w="11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OA系统（公文管理、综合办公、组织管理、模版管理、流程监控、统计管理、移动端）；督查督办系统（任务管理、填报管理、审核管理、信息汇总）</w:t>
                  </w:r>
                </w:p>
              </w:tc>
              <w:tc>
                <w:tcPr>
                  <w:tcW w:type="dxa" w:w="5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系统日常监控与故障处理、流程配置与优化、用户支持与权限管理等。</w:t>
                  </w:r>
                </w:p>
              </w:tc>
            </w:tr>
            <w:tr>
              <w:tc>
                <w:tcPr>
                  <w:tcW w:type="dxa" w:w="1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2</w:t>
                  </w:r>
                </w:p>
              </w:tc>
              <w:tc>
                <w:tcPr>
                  <w:tcW w:type="dxa" w:w="260"/>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陕西省退役军人事务厅门户网站</w:t>
                  </w:r>
                </w:p>
              </w:tc>
              <w:tc>
                <w:tcPr>
                  <w:tcW w:type="dxa" w:w="11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网站页面（首页、机构、新闻、公开、服务、互动、风采）</w:t>
                  </w:r>
                </w:p>
              </w:tc>
              <w:tc>
                <w:tcPr>
                  <w:tcW w:type="dxa" w:w="5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网站栏目维护、模版开发及配置、协助内容发布等。</w:t>
                  </w:r>
                </w:p>
              </w:tc>
            </w:tr>
            <w:tr>
              <w:tc>
                <w:tcPr>
                  <w:tcW w:type="dxa" w:w="1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3</w:t>
                  </w:r>
                </w:p>
              </w:tc>
              <w:tc>
                <w:tcPr>
                  <w:tcW w:type="dxa" w:w="260"/>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陕西省退役军人事务厅视频会议系统</w:t>
                  </w:r>
                </w:p>
              </w:tc>
              <w:tc>
                <w:tcPr>
                  <w:tcW w:type="dxa" w:w="11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视频云服务满足省市县三级退役军人事务部门日常会议</w:t>
                  </w:r>
                </w:p>
              </w:tc>
              <w:tc>
                <w:tcPr>
                  <w:tcW w:type="dxa" w:w="5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重要会议保障及设备维护等。</w:t>
                  </w:r>
                </w:p>
              </w:tc>
            </w:tr>
            <w:tr>
              <w:tc>
                <w:tcPr>
                  <w:tcW w:type="dxa" w:w="1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4</w:t>
                  </w:r>
                </w:p>
              </w:tc>
              <w:tc>
                <w:tcPr>
                  <w:tcW w:type="dxa" w:w="260"/>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陕西省退役军人一体化平台</w:t>
                  </w:r>
                </w:p>
              </w:tc>
              <w:tc>
                <w:tcPr>
                  <w:tcW w:type="dxa" w:w="11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服务平台（包含小程序和</w:t>
                  </w:r>
                  <w:r>
                    <w:rPr>
                      <w:rFonts w:ascii="仿宋_GB2312" w:hAnsi="仿宋_GB2312" w:cs="仿宋_GB2312" w:eastAsia="仿宋_GB2312"/>
                      <w:sz w:val="20"/>
                      <w:color w:val="000000"/>
                    </w:rPr>
                    <w:t>PC端，核心功能辅具申请、权益维护、光荣牌悬挂、综合优待、就业创业、新闻资讯、政策法规、褒扬纪念）；</w:t>
                  </w:r>
                  <w:r>
                    <w:br/>
                  </w:r>
                  <w:r>
                    <w:rPr>
                      <w:rFonts w:ascii="仿宋_GB2312" w:hAnsi="仿宋_GB2312" w:cs="仿宋_GB2312" w:eastAsia="仿宋_GB2312"/>
                      <w:sz w:val="20"/>
                      <w:color w:val="000000"/>
                    </w:rPr>
                    <w:t>管理平台（包含</w:t>
                  </w:r>
                  <w:r>
                    <w:rPr>
                      <w:rFonts w:ascii="仿宋_GB2312" w:hAnsi="仿宋_GB2312" w:cs="仿宋_GB2312" w:eastAsia="仿宋_GB2312"/>
                      <w:sz w:val="20"/>
                      <w:color w:val="000000"/>
                    </w:rPr>
                    <w:t>H5和PC端，核心功能应用管理、统一身份认证、应用门户、机构设置、就业监测、权益维护、褒扬纪念、电子档案、优待证、光荣牌）</w:t>
                  </w:r>
                </w:p>
              </w:tc>
              <w:tc>
                <w:tcPr>
                  <w:tcW w:type="dxa" w:w="5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电脑端和移动端运行监控、统一身份管理、接口管理与性能优化、用户体验优化等。</w:t>
                  </w:r>
                </w:p>
              </w:tc>
            </w:tr>
            <w:tr>
              <w:tc>
                <w:tcPr>
                  <w:tcW w:type="dxa" w:w="1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5</w:t>
                  </w:r>
                </w:p>
              </w:tc>
              <w:tc>
                <w:tcPr>
                  <w:tcW w:type="dxa" w:w="260"/>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陕西省残疾军人康复辅具服务保障系统</w:t>
                  </w:r>
                </w:p>
              </w:tc>
              <w:tc>
                <w:tcPr>
                  <w:tcW w:type="dxa" w:w="11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申请管理、审批管理、服务管理、数据归档、数据统计</w:t>
                  </w:r>
                </w:p>
              </w:tc>
              <w:tc>
                <w:tcPr>
                  <w:tcW w:type="dxa" w:w="5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辅具申请及审批流程监控保障、数据归档与统计维护等。</w:t>
                  </w:r>
                </w:p>
              </w:tc>
            </w:tr>
            <w:tr>
              <w:tc>
                <w:tcPr>
                  <w:tcW w:type="dxa" w:w="1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6</w:t>
                  </w:r>
                </w:p>
              </w:tc>
              <w:tc>
                <w:tcPr>
                  <w:tcW w:type="dxa" w:w="260"/>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陕西省财务共享统计分析系统</w:t>
                  </w:r>
                </w:p>
              </w:tc>
              <w:tc>
                <w:tcPr>
                  <w:tcW w:type="dxa" w:w="11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指标管理、任务管理、填报管理、审批管理、数据中心、统计分析</w:t>
                  </w:r>
                </w:p>
              </w:tc>
              <w:tc>
                <w:tcPr>
                  <w:tcW w:type="dxa" w:w="5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任务流程跟踪与维护；统计报表生成与更新等。</w:t>
                  </w:r>
                </w:p>
              </w:tc>
            </w:tr>
            <w:tr>
              <w:tc>
                <w:tcPr>
                  <w:tcW w:type="dxa" w:w="1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7</w:t>
                  </w:r>
                </w:p>
              </w:tc>
              <w:tc>
                <w:tcPr>
                  <w:tcW w:type="dxa" w:w="260"/>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陕西省退役军人干部教育培训系统</w:t>
                  </w:r>
                </w:p>
              </w:tc>
              <w:tc>
                <w:tcPr>
                  <w:tcW w:type="dxa" w:w="11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网络课程管理、直播课程管理、培训管理、学时认证</w:t>
                  </w:r>
                </w:p>
              </w:tc>
              <w:tc>
                <w:tcPr>
                  <w:tcW w:type="dxa" w:w="5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课程资源上传，培训过程技术支持，培训课程和学时统计等。</w:t>
                  </w:r>
                </w:p>
              </w:tc>
            </w:tr>
            <w:tr>
              <w:tc>
                <w:tcPr>
                  <w:tcW w:type="dxa" w:w="1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8</w:t>
                  </w:r>
                </w:p>
              </w:tc>
              <w:tc>
                <w:tcPr>
                  <w:tcW w:type="dxa" w:w="260"/>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陕西省退役军人安置医疗问题精准解决系统</w:t>
                  </w:r>
                </w:p>
              </w:tc>
              <w:tc>
                <w:tcPr>
                  <w:tcW w:type="dxa" w:w="11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安置管理、统计管理、补助标准、遗留问题库</w:t>
                  </w:r>
                </w:p>
              </w:tc>
              <w:tc>
                <w:tcPr>
                  <w:tcW w:type="dxa" w:w="5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安置流程系统技术支持、补助标准配置与更新、遗留问题数据维护、统计报表生成与导出等。</w:t>
                  </w:r>
                </w:p>
              </w:tc>
            </w:tr>
            <w:tr>
              <w:tc>
                <w:tcPr>
                  <w:tcW w:type="dxa" w:w="1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9</w:t>
                  </w:r>
                </w:p>
              </w:tc>
              <w:tc>
                <w:tcPr>
                  <w:tcW w:type="dxa" w:w="260"/>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陕西省退役军人综合优待服务系统</w:t>
                  </w:r>
                </w:p>
              </w:tc>
              <w:tc>
                <w:tcPr>
                  <w:tcW w:type="dxa" w:w="11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优抚对象档案信息、优待证信息、优抚金信息、优待政策管理、优待服务管理、优抚物品管理、领导驾驶舱</w:t>
                  </w:r>
                </w:p>
              </w:tc>
              <w:tc>
                <w:tcPr>
                  <w:tcW w:type="dxa" w:w="5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优抚核心数据和数据链路的监控与维护；优待政策、服务及物品管理导入支持；领导驾驶舱数据保障；系统性能优化与体验升级等。</w:t>
                  </w:r>
                </w:p>
              </w:tc>
            </w:tr>
            <w:tr>
              <w:tc>
                <w:tcPr>
                  <w:tcW w:type="dxa" w:w="1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10</w:t>
                  </w:r>
                </w:p>
              </w:tc>
              <w:tc>
                <w:tcPr>
                  <w:tcW w:type="dxa" w:w="260"/>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陕西省退役军人动态精准就业服务系统</w:t>
                  </w:r>
                </w:p>
              </w:tc>
              <w:tc>
                <w:tcPr>
                  <w:tcW w:type="dxa" w:w="11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退役士兵档案信息、招聘管理、就业创业管理、教育培训管理、职业测评管理、企业注册管理、信息发布管理、推荐管理、领导驾驶舱</w:t>
                  </w:r>
                </w:p>
              </w:tc>
              <w:tc>
                <w:tcPr>
                  <w:tcW w:type="dxa" w:w="5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企业和岗位录入导入技术支持；退役军人就业，创业，失业信息维护；领导驾驶舱数据实时维护与展示优化；保障各模块稳定运行。</w:t>
                  </w:r>
                </w:p>
              </w:tc>
            </w:tr>
            <w:tr>
              <w:tc>
                <w:tcPr>
                  <w:tcW w:type="dxa" w:w="1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11</w:t>
                  </w:r>
                </w:p>
              </w:tc>
              <w:tc>
                <w:tcPr>
                  <w:tcW w:type="dxa" w:w="260"/>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3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陕西省退役士兵信息管理系统</w:t>
                  </w:r>
                </w:p>
              </w:tc>
              <w:tc>
                <w:tcPr>
                  <w:tcW w:type="dxa" w:w="11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士兵档案管理模块、教育培训管理、培训就业情况统计、培训机构管理、经济补助金管理、地域管理模块、数据维护模块</w:t>
                  </w:r>
                </w:p>
              </w:tc>
              <w:tc>
                <w:tcPr>
                  <w:tcW w:type="dxa" w:w="5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保障系统稳定性与可用性，士兵档案信息维护，教育培训信息维护，培训就业数据维护，培训机构管理，经济补助金流程维护等。</w:t>
                  </w:r>
                </w:p>
              </w:tc>
            </w:tr>
            <w:tr>
              <w:tc>
                <w:tcPr>
                  <w:tcW w:type="dxa" w:w="1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12</w:t>
                  </w:r>
                </w:p>
              </w:tc>
              <w:tc>
                <w:tcPr>
                  <w:tcW w:type="dxa" w:w="260"/>
                  <w:vMerge/>
                  <w:tcBorders>
                    <w:top w:val="none" w:color="000000" w:sz="4"/>
                    <w:left w:val="single" w:color="000000" w:sz="4"/>
                    <w:bottom w:val="single" w:color="000000" w:sz="4"/>
                    <w:right w:val="single" w:color="000000" w:sz="4"/>
                  </w:tcBorders>
                </w:tcPr>
                <w:p/>
              </w:tc>
              <w:tc>
                <w:tcPr>
                  <w:tcW w:type="dxa" w:w="3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陕西省优抚对象医疗保障系统</w:t>
                  </w:r>
                </w:p>
              </w:tc>
              <w:tc>
                <w:tcPr>
                  <w:tcW w:type="dxa" w:w="11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管理端：首页、一站式住院补助、医后住院补助、住院补助清零、门诊补助、系统查询、统计分析、基础信息维护、一站式医院管理、系统管理</w:t>
                  </w:r>
                </w:p>
                <w:p>
                  <w:pPr>
                    <w:pStyle w:val="null3"/>
                    <w:jc w:val="left"/>
                  </w:pPr>
                  <w:r>
                    <w:rPr>
                      <w:rFonts w:ascii="仿宋_GB2312" w:hAnsi="仿宋_GB2312" w:cs="仿宋_GB2312" w:eastAsia="仿宋_GB2312"/>
                      <w:sz w:val="20"/>
                      <w:color w:val="000000"/>
                    </w:rPr>
                    <w:t>医院端：首页、住院补助上报、住院补助结算、住院补助查询、门诊补助结算、门诊补助查询、统计报表</w:t>
                  </w:r>
                </w:p>
              </w:tc>
              <w:tc>
                <w:tcPr>
                  <w:tcW w:type="dxa" w:w="5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保障系统稳定性与可用性，协助县</w:t>
                  </w:r>
                  <w:r>
                    <w:rPr>
                      <w:rFonts w:ascii="仿宋_GB2312" w:hAnsi="仿宋_GB2312" w:cs="仿宋_GB2312" w:eastAsia="仿宋_GB2312"/>
                      <w:sz w:val="20"/>
                      <w:color w:val="000000"/>
                    </w:rPr>
                    <w:t>/区、市及医院处理异常数据和异常问题，定点医院的维护、优抚对象人员的增改，数据统计维护，页面优化等。</w:t>
                  </w:r>
                </w:p>
              </w:tc>
            </w:tr>
            <w:tr>
              <w:tc>
                <w:tcPr>
                  <w:tcW w:type="dxa" w:w="1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13</w:t>
                  </w:r>
                </w:p>
              </w:tc>
              <w:tc>
                <w:tcPr>
                  <w:tcW w:type="dxa" w:w="26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服务器运维</w:t>
                  </w:r>
                </w:p>
              </w:tc>
              <w:tc>
                <w:tcPr>
                  <w:tcW w:type="dxa" w:w="3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服务器</w:t>
                  </w:r>
                </w:p>
              </w:tc>
              <w:tc>
                <w:tcPr>
                  <w:tcW w:type="dxa" w:w="11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安全运维、日常检测、漏洞修复、补丁更新、数据备份</w:t>
                  </w:r>
                </w:p>
              </w:tc>
              <w:tc>
                <w:tcPr>
                  <w:tcW w:type="dxa" w:w="5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相关服务器日常巡检、漏洞修复、补丁管理与系统升级、定期数据备份与恢复演练等。</w:t>
                  </w:r>
                </w:p>
              </w:tc>
            </w:tr>
            <w:tr>
              <w:tc>
                <w:tcPr>
                  <w:tcW w:type="dxa" w:w="1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14</w:t>
                  </w:r>
                </w:p>
              </w:tc>
              <w:tc>
                <w:tcPr>
                  <w:tcW w:type="dxa" w:w="26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网络安全运维</w:t>
                  </w:r>
                </w:p>
              </w:tc>
              <w:tc>
                <w:tcPr>
                  <w:tcW w:type="dxa" w:w="371"/>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协同攻防演练</w:t>
                  </w:r>
                </w:p>
              </w:tc>
              <w:tc>
                <w:tcPr>
                  <w:tcW w:type="dxa" w:w="118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配合相关部门进行网络安全攻防演练</w:t>
                  </w:r>
                </w:p>
              </w:tc>
              <w:tc>
                <w:tcPr>
                  <w:tcW w:type="dxa" w:w="56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0"/>
                      <w:color w:val="000000"/>
                    </w:rPr>
                    <w:t>参与模拟攻击与防御响应等。</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单位根据有关服务规范规定，不定期对服务方的服务进行检查或考核，承包人须无条件的接受采购人的各类考核或检查；若审查不通过或服务不合格，承包人应在一定期限进行整改完善，以采购人要求的标准提供合格服务；若承包人在接受检查整改后，仍不能提供符合采购要求的合格服务，采购人有权按违约予以处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进度款，合同履行完毕，验收合格后，达到付款条件起30个工作日内，支付合同总金额的10.0%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成交供应商需在项目结束后提交纸质响应文件正本壹份、副本贰份、电子版壹份（U盘）（与线上电子投标文件一致，胶装后封面盖鲜章）。 2、纸质响应文件正副本分别胶装，纸质文件递交地点：陕西省西安市雁塔区团结南路12号西安国际人才大厦A座北1508室。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提供2025年度经审计完整的财务报告（包括审计报告、资产负债表、利润表、现金流量表、所有者权益变动表及其附注等相关资料），②可提供截至响应文件提交截止日半年内基本账户银行出具的资信证明，③供应商注册时间截至响应文件提交截止日不足一年的，也可提供成立后任意时段的资产负债表；（以上三种形式的资料提供任何一种即可）。 供应商需在项目电子化交易系统 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二选一）：①供应商提供2025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3）、税收缴纳证明：提供截止开标前一年内至少一个月的纳税证明或完税证明，依法免税的单位应提供相关证明材料；（4）、社会保障资金缴纳证明：提供截止开标前一年内至少一个月的社会保障资金缴存单据或社保机构开具的社会保险参保缴费情况证明，依法不需要缴纳社会保障资金的单位应提供相关证明材料；（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磋商文件发售之日起至开标截止日前）并加盖供应商公章； （6）、法定代表人授权书/身份证明书:法定代表人直接参与投标的，须提供法定代表人身份证复印件，法定代表人授权代表参加投标的，须递交《法定代表人授权委托书》及授权代表身份证复印件；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（8）、提供具有履行本合同所必需的专业技术能力的声明；（9）、本项目不接受联合体投标（提供非联合体承诺书）。</w:t>
            </w:r>
          </w:p>
        </w:tc>
        <w:tc>
          <w:tcPr>
            <w:tcW w:type="dxa" w:w="1661"/>
          </w:tcPr>
          <w:p>
            <w:pPr>
              <w:pStyle w:val="null3"/>
            </w:pPr>
            <w:r>
              <w:rPr>
                <w:rFonts w:ascii="仿宋_GB2312" w:hAnsi="仿宋_GB2312" w:cs="仿宋_GB2312" w:eastAsia="仿宋_GB2312"/>
              </w:rPr>
              <w:t>拒绝政府采购领域商业贿赂承诺书.docx 供应商应提交的相关资格证明材料 投标人关联承诺书.docx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中小企业声明函 残疾人福利性单位声明函 商务应答表 标的清单 报价表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其他符合性审核</w:t>
            </w:r>
          </w:p>
        </w:tc>
        <w:tc>
          <w:tcPr>
            <w:tcW w:type="dxa" w:w="3322"/>
          </w:tcPr>
          <w:p>
            <w:pPr>
              <w:pStyle w:val="null3"/>
            </w:pPr>
            <w:r>
              <w:rPr>
                <w:rFonts w:ascii="仿宋_GB2312" w:hAnsi="仿宋_GB2312" w:cs="仿宋_GB2312" w:eastAsia="仿宋_GB2312"/>
              </w:rPr>
              <w:t>1.响应文件报价是否具有唯一性； 2.响应文件的签署、加盖印章是否合格、有效； 3.响应报价是否未超过采购预算。</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供应商针对本项目的具体内容、软硬件资源、运行情况和系统环境进行需求分析，理解掌握程度，能否保证项目系统应用软件日常维护管理的正常开展等，评审内容包含：①运维需求调研与梳理；②项目需求分析与掌握程度；③需求转化与运维方案适配。 每项满分3分，缺项不得分,每存在一个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根据供应商对本项目的实施方案等内容进行评分，评审内容包含：①项目服务理解与总体设计；②网络与技术架构设计；③运维服务内容覆盖与重难点把控；④风险应对方案。 每项满分3分，缺项不得分,每存在一个缺陷，扣1分，扣完为止。（缺陷定义同上）。</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项目负责人：①每提供一份与本项目行业/领域相关且有效的高级认证证书得2分，中级认证证书得1分，满分6分。 ②在同类项目中担任过项目负责人/项目经理。每提供一个同类项目业绩计1分，满分3分。 注：提供项目负责人身份证复印件、毕业证复印件、相关认证证书复印件、开标前3个月内任意1个月本单位社保缴纳证明复印件。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其他人员配备</w:t>
            </w:r>
          </w:p>
        </w:tc>
        <w:tc>
          <w:tcPr>
            <w:tcW w:type="dxa" w:w="2492"/>
          </w:tcPr>
          <w:p>
            <w:pPr>
              <w:pStyle w:val="null3"/>
            </w:pPr>
            <w:r>
              <w:rPr>
                <w:rFonts w:ascii="仿宋_GB2312" w:hAnsi="仿宋_GB2312" w:cs="仿宋_GB2312" w:eastAsia="仿宋_GB2312"/>
              </w:rPr>
              <w:t>①其他人员配备：配置2-4人（含4人）得4分，配置5-7人（含7人）得6分，8人及以上得8分。 ②提供至少1人及以上人员驻场服务承诺得2分，不提供不得分。 人员资料要求：身份证复印件、毕业证复印件、相关认证证书复印件、开标前3个月内任意1个月本单位社保缴纳证明复印件。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供应商提供针对本项目的质量保证措施方案，评审内容包含：①合规质量管控；②运维过程质量保障③运维成果质量审核。 每项满分2分，缺项不得分,每存在一个缺陷，扣0.5分，扣完为止。（缺陷定义同上）</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供应商提供针对本项目的应急预案，评审内容包含①应急预案完整性与针对性；②应急响应与处置流程；③应急保障与演练机制。 每项满分2分，缺项不得分,每存在一个缺陷，扣0.5分，扣完为止。（缺陷定义同上）</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供应商提供针对本项目的售后服务方案，评审内容包含：①售后服务响应与处置能力；②售后服务保障体系；③售后增值与持续优化服务。 每项满分2分，缺项不得分,每存在一个缺陷，扣0.5分，扣完为止。（缺陷定义同上）</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提供2023年1月1日至今同类项目业绩（以合同签订日期为准），每提供1个得3分，最高得12分。 备注：供应商需提供合同扫描件（至少应包含合同首页、合同金额所在页、签字盖章页），并加盖公章。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SLA 运维服务等级承诺</w:t>
            </w:r>
          </w:p>
        </w:tc>
        <w:tc>
          <w:tcPr>
            <w:tcW w:type="dxa" w:w="2492"/>
          </w:tcPr>
          <w:p>
            <w:pPr>
              <w:pStyle w:val="null3"/>
            </w:pPr>
            <w:r>
              <w:rPr>
                <w:rFonts w:ascii="仿宋_GB2312" w:hAnsi="仿宋_GB2312" w:cs="仿宋_GB2312" w:eastAsia="仿宋_GB2312"/>
              </w:rPr>
              <w:t>SLA 运维服务等级承诺:① 同时满足：核心业务故障30分钟内响应、重大故障2小时内处置、核心系统年可用率≥99.9%，得10分；②同时满足：核心业务故障1小时内响应、重大故障4小时内处置、核心系统年可用率≥99.5%，得6分；③提供有效书面SLA承诺，仅1项指标未达到第②档标准，得3分；④提供有效书面SLA承诺，两项及以上指标未达到第②档标准，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服务管理体系认证</w:t>
            </w:r>
          </w:p>
        </w:tc>
        <w:tc>
          <w:tcPr>
            <w:tcW w:type="dxa" w:w="2492"/>
          </w:tcPr>
          <w:p>
            <w:pPr>
              <w:pStyle w:val="null3"/>
            </w:pPr>
            <w:r>
              <w:rPr>
                <w:rFonts w:ascii="仿宋_GB2312" w:hAnsi="仿宋_GB2312" w:cs="仿宋_GB2312" w:eastAsia="仿宋_GB2312"/>
              </w:rPr>
              <w:t>·ISO20000 信息技术服务管理体系认证 ·ISO27001 信息安全管理体系认证 ·ISO9001 质量管理体系认证 ·ITSS 信息技术服务标准认证 每提供一项得2.5分，满分10分。 注：以上认证证书须在有效期内，并提供证书扫描件。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详见附件：投标人关联承诺书.docx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