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1A546">
      <w:pPr>
        <w:widowControl w:val="0"/>
        <w:topLinePunct/>
        <w:jc w:val="center"/>
        <w:rPr>
          <w:rFonts w:eastAsia="宋体" w:cs="Tahoma"/>
          <w:sz w:val="44"/>
          <w:szCs w:val="44"/>
        </w:rPr>
      </w:pPr>
      <w:bookmarkStart w:id="42" w:name="_GoBack"/>
      <w:bookmarkEnd w:id="42"/>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hint="eastAsia" w:cstheme="minorHAnsi"/>
        </w:rPr>
        <w:t>竞争性磋商</w:t>
      </w:r>
      <w:r>
        <w:rPr>
          <w:rFonts w:cstheme="minorHAnsi"/>
        </w:rPr>
        <w:t>文件</w:t>
      </w:r>
    </w:p>
    <w:p w14:paraId="0BF7852F">
      <w:pPr>
        <w:widowControl w:val="0"/>
        <w:topLinePunct/>
        <w:spacing w:line="360" w:lineRule="auto"/>
        <w:jc w:val="center"/>
        <w:rPr>
          <w:rFonts w:eastAsia="宋体" w:cs="Tahoma"/>
          <w:sz w:val="36"/>
          <w:szCs w:val="36"/>
        </w:rPr>
      </w:pPr>
    </w:p>
    <w:p w14:paraId="31BD0224">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cs="Tahoma" w:asciiTheme="minorHAnsi" w:hAnsiTheme="minorHAnsi"/>
          <w:color w:val="C00000"/>
        </w:rPr>
        <w:t>西安市消防救援支队2026年社会化审计服务采购项目</w:t>
      </w:r>
    </w:p>
    <w:p w14:paraId="3B07DD0B">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XCZX2026-0058</w:t>
      </w:r>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2026年8月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36EC3AB0">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"_Toc234246174" </w:instrText>
      </w:r>
      <w:r>
        <w:fldChar w:fldCharType="separate"/>
      </w:r>
      <w:r>
        <w:rPr>
          <w:rStyle w:val="31"/>
        </w:rPr>
        <w:t>第一章　磋商邀请函</w:t>
      </w:r>
      <w:r>
        <w:tab/>
      </w:r>
      <w:r>
        <w:fldChar w:fldCharType="begin"/>
      </w:r>
      <w:r>
        <w:instrText xml:space="preserve"> PAGEREF _Toc234246174 \h </w:instrText>
      </w:r>
      <w:r>
        <w:fldChar w:fldCharType="separate"/>
      </w:r>
      <w:r>
        <w:t>1</w:t>
      </w:r>
      <w:r>
        <w:fldChar w:fldCharType="end"/>
      </w:r>
      <w:r>
        <w:fldChar w:fldCharType="end"/>
      </w:r>
    </w:p>
    <w:p w14:paraId="1F9434ED">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"_Toc234246175" </w:instrText>
      </w:r>
      <w:r>
        <w:fldChar w:fldCharType="separate"/>
      </w:r>
      <w:r>
        <w:rPr>
          <w:rStyle w:val="31"/>
        </w:rPr>
        <w:t>第二章　供应商须知</w:t>
      </w:r>
      <w:r>
        <w:tab/>
      </w:r>
      <w:r>
        <w:fldChar w:fldCharType="begin"/>
      </w:r>
      <w:r>
        <w:instrText xml:space="preserve"> PAGEREF _Toc234246175 \h </w:instrText>
      </w:r>
      <w:r>
        <w:fldChar w:fldCharType="separate"/>
      </w:r>
      <w:r>
        <w:t>5</w:t>
      </w:r>
      <w:r>
        <w:fldChar w:fldCharType="end"/>
      </w:r>
      <w:r>
        <w:fldChar w:fldCharType="end"/>
      </w:r>
    </w:p>
    <w:p w14:paraId="13BF2A6A">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"_Toc234246176" </w:instrText>
      </w:r>
      <w:r>
        <w:fldChar w:fldCharType="separate"/>
      </w:r>
      <w:r>
        <w:rPr>
          <w:rStyle w:val="31"/>
        </w:rPr>
        <w:t>第三章　磋商内容及要求</w:t>
      </w:r>
      <w:r>
        <w:tab/>
      </w:r>
      <w:r>
        <w:fldChar w:fldCharType="begin"/>
      </w:r>
      <w:r>
        <w:instrText xml:space="preserve"> PAGEREF _Toc234246176 \h </w:instrText>
      </w:r>
      <w:r>
        <w:fldChar w:fldCharType="separate"/>
      </w:r>
      <w:r>
        <w:t>36</w:t>
      </w:r>
      <w:r>
        <w:fldChar w:fldCharType="end"/>
      </w:r>
      <w:r>
        <w:fldChar w:fldCharType="end"/>
      </w:r>
    </w:p>
    <w:p w14:paraId="27CACE78">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"_Toc234246177" </w:instrText>
      </w:r>
      <w:r>
        <w:fldChar w:fldCharType="separate"/>
      </w:r>
      <w:r>
        <w:rPr>
          <w:rStyle w:val="31"/>
        </w:rPr>
        <w:t>第四章　合同草案条款</w:t>
      </w:r>
      <w:r>
        <w:tab/>
      </w:r>
      <w:r>
        <w:fldChar w:fldCharType="begin"/>
      </w:r>
      <w:r>
        <w:instrText xml:space="preserve"> PAGEREF _Toc234246177 \h </w:instrText>
      </w:r>
      <w:r>
        <w:fldChar w:fldCharType="separate"/>
      </w:r>
      <w:r>
        <w:t>40</w:t>
      </w:r>
      <w:r>
        <w:fldChar w:fldCharType="end"/>
      </w:r>
      <w:r>
        <w:fldChar w:fldCharType="end"/>
      </w:r>
    </w:p>
    <w:p w14:paraId="2A5FA0A5">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"_Toc234246178" </w:instrText>
      </w:r>
      <w:r>
        <w:fldChar w:fldCharType="separate"/>
      </w:r>
      <w:r>
        <w:rPr>
          <w:rStyle w:val="31"/>
        </w:rPr>
        <w:t>第五章　响应文件构成及格式</w:t>
      </w:r>
      <w:r>
        <w:tab/>
      </w:r>
      <w:r>
        <w:fldChar w:fldCharType="begin"/>
      </w:r>
      <w:r>
        <w:instrText xml:space="preserve"> PAGEREF _Toc234246178 \h </w:instrText>
      </w:r>
      <w:r>
        <w:fldChar w:fldCharType="separate"/>
      </w:r>
      <w:r>
        <w:t>46</w:t>
      </w:r>
      <w:r>
        <w:fldChar w:fldCharType="end"/>
      </w:r>
      <w:r>
        <w:fldChar w:fldCharType="end"/>
      </w:r>
    </w:p>
    <w:p w14:paraId="41D1F5B5">
      <w:pPr>
        <w:pStyle w:val="19"/>
        <w:tabs>
          <w:tab w:val="right" w:leader="dot" w:pos="8890"/>
        </w:tabs>
        <w:spacing w:before="460" w:after="460"/>
        <w:rPr>
          <w:rFonts w:cstheme="minorHAnsi"/>
          <w:sz w:val="36"/>
          <w:szCs w:val="36"/>
        </w:rPr>
      </w:pPr>
      <w:r>
        <w:rPr>
          <w:rFonts w:cstheme="minorHAnsi"/>
          <w:szCs w:val="30"/>
        </w:rPr>
        <w:fldChar w:fldCharType="end"/>
      </w:r>
    </w:p>
    <w:p w14:paraId="2ECBF653">
      <w:pPr>
        <w:widowControl w:val="0"/>
        <w:topLinePunct/>
        <w:jc w:val="both"/>
        <w:rPr>
          <w:rFonts w:eastAsia="宋体" w:cstheme="minorHAnsi"/>
          <w:sz w:val="36"/>
          <w:szCs w:val="36"/>
        </w:rPr>
      </w:pP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0DB8F274">
      <w:pPr>
        <w:pStyle w:val="2"/>
        <w:spacing w:beforeLines="0" w:afterLines="0"/>
      </w:pPr>
      <w:bookmarkStart w:id="0" w:name="_Toc234246174"/>
      <w:r>
        <w:rPr>
          <w:rFonts w:hint="eastAsia"/>
        </w:rPr>
        <w:t>第一章　磋商邀请函</w:t>
      </w:r>
      <w:bookmarkEnd w:id="0"/>
    </w:p>
    <w:p w14:paraId="0B3A0504">
      <w:pPr>
        <w:widowControl w:val="0"/>
        <w:topLinePunct/>
        <w:ind w:firstLine="480" w:firstLineChars="200"/>
        <w:jc w:val="both"/>
      </w:pPr>
      <w:r>
        <w:rPr>
          <w:rFonts w:hint="eastAsia"/>
        </w:rPr>
        <w:t>西安市市级单位政府采购中心受</w:t>
      </w:r>
      <w:r>
        <w:rPr>
          <w:rFonts w:hint="eastAsia"/>
          <w:color w:val="C00000"/>
        </w:rPr>
        <w:t>西安市消防救援支队</w:t>
      </w:r>
      <w:r>
        <w:rPr>
          <w:rFonts w:hint="eastAsia"/>
        </w:rPr>
        <w:t>的委托，经政府采购监管部门批准，按照政府采购程序，对</w:t>
      </w:r>
      <w:r>
        <w:rPr>
          <w:rFonts w:hint="eastAsia"/>
          <w:color w:val="C00000"/>
        </w:rPr>
        <w:t>西安市消防救援支队2026年社会化审计服务采购项目</w:t>
      </w:r>
      <w:r>
        <w:rPr>
          <w:rFonts w:hint="eastAsia"/>
        </w:rPr>
        <w:t>进行竞争性磋商，欢迎符合资格条件的、有能力提供本项目所需货物、服务或</w:t>
      </w:r>
      <w:r>
        <w:t>工程</w:t>
      </w:r>
      <w:r>
        <w:rPr>
          <w:rFonts w:hint="eastAsia"/>
        </w:rPr>
        <w:t>的供应商参加磋商。</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r>
        <w:rPr>
          <w:rFonts w:hint="eastAsia"/>
          <w:color w:val="C00000"/>
        </w:rPr>
        <w:t>西安市消防救援支队2026年社会化审计服务采购项目</w:t>
      </w:r>
    </w:p>
    <w:p w14:paraId="62B33849">
      <w:pPr>
        <w:widowControl w:val="0"/>
        <w:topLinePunct/>
        <w:ind w:firstLine="480" w:firstLineChars="200"/>
        <w:jc w:val="both"/>
      </w:pPr>
      <w:r>
        <w:rPr>
          <w:rFonts w:hint="eastAsia"/>
        </w:rPr>
        <w:t>项目编号：</w:t>
      </w:r>
      <w:r>
        <w:rPr>
          <w:rFonts w:hint="eastAsia"/>
          <w:color w:val="C00000"/>
        </w:rPr>
        <w:t>XCZX2026-0058</w:t>
      </w:r>
    </w:p>
    <w:p w14:paraId="3201ECCD">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w:t>
      </w:r>
      <w:r>
        <w:rPr>
          <w:color w:val="C00000"/>
        </w:rPr>
        <w:t>02810</w:t>
      </w:r>
    </w:p>
    <w:p w14:paraId="11EC738C">
      <w:pPr>
        <w:widowControl w:val="0"/>
        <w:topLinePunct/>
        <w:ind w:firstLine="480" w:firstLineChars="200"/>
        <w:jc w:val="both"/>
      </w:pPr>
      <w:r>
        <w:rPr>
          <w:rFonts w:hint="eastAsia"/>
          <w:b/>
        </w:rPr>
        <w:t>二、项目性质：</w:t>
      </w:r>
      <w:r>
        <w:rPr>
          <w:rFonts w:hint="eastAsia"/>
          <w:color w:val="C00000"/>
        </w:rPr>
        <w:t>专门面向中小企业的采购项目</w:t>
      </w:r>
    </w:p>
    <w:p w14:paraId="143219DA">
      <w:pPr>
        <w:widowControl w:val="0"/>
        <w:topLinePunct/>
        <w:ind w:firstLine="480" w:firstLineChars="200"/>
        <w:jc w:val="both"/>
        <w:rPr>
          <w:color w:val="C00000"/>
        </w:rPr>
      </w:pPr>
      <w:r>
        <w:rPr>
          <w:rFonts w:hint="eastAsia"/>
          <w:b/>
        </w:rPr>
        <w:t>三、采购预算：</w:t>
      </w:r>
      <w:r>
        <w:rPr>
          <w:rFonts w:hint="eastAsia"/>
          <w:color w:val="C00000"/>
        </w:rPr>
        <w:t>〈</w:t>
      </w:r>
      <w:r>
        <w:rPr>
          <w:color w:val="C00000"/>
        </w:rPr>
        <w:t>800000</w:t>
      </w:r>
      <w:r>
        <w:rPr>
          <w:rFonts w:hint="eastAsia"/>
          <w:color w:val="C00000"/>
        </w:rPr>
        <w:t>元〉（最高限价〈</w:t>
      </w:r>
      <w:r>
        <w:rPr>
          <w:color w:val="C00000"/>
        </w:rPr>
        <w:t>800000</w:t>
      </w:r>
      <w:r>
        <w:rPr>
          <w:rFonts w:hint="eastAsia"/>
          <w:color w:val="C00000"/>
        </w:rPr>
        <w:t>元〉），其中：</w:t>
      </w:r>
    </w:p>
    <w:p w14:paraId="3440F4C3">
      <w:pPr>
        <w:widowControl w:val="0"/>
        <w:topLinePunct/>
        <w:ind w:firstLine="480" w:firstLineChars="200"/>
        <w:jc w:val="both"/>
        <w:rPr>
          <w:color w:val="C00000"/>
        </w:rPr>
      </w:pPr>
      <w:r>
        <w:rPr>
          <w:rFonts w:hint="eastAsia"/>
          <w:color w:val="C00000"/>
        </w:rPr>
        <w:t>采购包一预算：1</w:t>
      </w:r>
      <w:r>
        <w:rPr>
          <w:color w:val="C00000"/>
        </w:rPr>
        <w:t>25000</w:t>
      </w:r>
      <w:r>
        <w:rPr>
          <w:rFonts w:hint="eastAsia"/>
          <w:color w:val="C00000"/>
        </w:rPr>
        <w:t>元</w:t>
      </w:r>
    </w:p>
    <w:p w14:paraId="672E8EAF">
      <w:pPr>
        <w:widowControl w:val="0"/>
        <w:topLinePunct/>
        <w:ind w:firstLine="480" w:firstLineChars="200"/>
        <w:jc w:val="both"/>
        <w:rPr>
          <w:color w:val="C00000"/>
        </w:rPr>
      </w:pPr>
      <w:r>
        <w:rPr>
          <w:rFonts w:hint="eastAsia"/>
          <w:color w:val="C00000"/>
        </w:rPr>
        <w:t>采购包二预算：1</w:t>
      </w:r>
      <w:r>
        <w:rPr>
          <w:color w:val="C00000"/>
        </w:rPr>
        <w:t>25000</w:t>
      </w:r>
      <w:r>
        <w:rPr>
          <w:rFonts w:hint="eastAsia"/>
          <w:color w:val="C00000"/>
        </w:rPr>
        <w:t>元</w:t>
      </w:r>
    </w:p>
    <w:p w14:paraId="6AF26E61">
      <w:pPr>
        <w:widowControl w:val="0"/>
        <w:topLinePunct/>
        <w:ind w:firstLine="480" w:firstLineChars="200"/>
        <w:jc w:val="both"/>
        <w:rPr>
          <w:color w:val="C00000"/>
        </w:rPr>
      </w:pPr>
      <w:r>
        <w:rPr>
          <w:rFonts w:hint="eastAsia"/>
          <w:color w:val="C00000"/>
        </w:rPr>
        <w:t>采购包三预算：</w:t>
      </w:r>
      <w:r>
        <w:rPr>
          <w:color w:val="C00000"/>
        </w:rPr>
        <w:t>110000</w:t>
      </w:r>
      <w:r>
        <w:rPr>
          <w:rFonts w:hint="eastAsia"/>
          <w:color w:val="C00000"/>
        </w:rPr>
        <w:t>元</w:t>
      </w:r>
    </w:p>
    <w:p w14:paraId="53CDF6AF">
      <w:pPr>
        <w:widowControl w:val="0"/>
        <w:topLinePunct/>
        <w:ind w:firstLine="480" w:firstLineChars="200"/>
        <w:jc w:val="both"/>
        <w:rPr>
          <w:color w:val="C00000"/>
        </w:rPr>
      </w:pPr>
      <w:r>
        <w:rPr>
          <w:rFonts w:hint="eastAsia"/>
          <w:color w:val="C00000"/>
        </w:rPr>
        <w:t>采购包四预算：1</w:t>
      </w:r>
      <w:r>
        <w:rPr>
          <w:color w:val="C00000"/>
        </w:rPr>
        <w:t>10000</w:t>
      </w:r>
      <w:r>
        <w:rPr>
          <w:rFonts w:hint="eastAsia"/>
          <w:color w:val="C00000"/>
        </w:rPr>
        <w:t>元</w:t>
      </w:r>
    </w:p>
    <w:p w14:paraId="2F8104EB">
      <w:pPr>
        <w:widowControl w:val="0"/>
        <w:topLinePunct/>
        <w:ind w:firstLine="480" w:firstLineChars="200"/>
        <w:jc w:val="both"/>
        <w:rPr>
          <w:color w:val="C00000"/>
        </w:rPr>
      </w:pPr>
      <w:r>
        <w:rPr>
          <w:rFonts w:hint="eastAsia"/>
          <w:color w:val="C00000"/>
        </w:rPr>
        <w:t>采购包五预算：</w:t>
      </w:r>
      <w:r>
        <w:rPr>
          <w:color w:val="C00000"/>
        </w:rPr>
        <w:t>70000</w:t>
      </w:r>
      <w:r>
        <w:rPr>
          <w:rFonts w:hint="eastAsia"/>
          <w:color w:val="C00000"/>
        </w:rPr>
        <w:t>元</w:t>
      </w:r>
    </w:p>
    <w:p w14:paraId="38B07FD5">
      <w:pPr>
        <w:widowControl w:val="0"/>
        <w:topLinePunct/>
        <w:ind w:firstLine="480" w:firstLineChars="200"/>
        <w:jc w:val="both"/>
        <w:rPr>
          <w:color w:val="C00000"/>
        </w:rPr>
      </w:pPr>
      <w:r>
        <w:rPr>
          <w:rFonts w:hint="eastAsia"/>
          <w:color w:val="C00000"/>
        </w:rPr>
        <w:t>采购包六预算：</w:t>
      </w:r>
      <w:r>
        <w:rPr>
          <w:color w:val="C00000"/>
        </w:rPr>
        <w:t>70000</w:t>
      </w:r>
      <w:r>
        <w:rPr>
          <w:rFonts w:hint="eastAsia"/>
          <w:color w:val="C00000"/>
        </w:rPr>
        <w:t>元</w:t>
      </w:r>
    </w:p>
    <w:p w14:paraId="54211C52">
      <w:pPr>
        <w:widowControl w:val="0"/>
        <w:topLinePunct/>
        <w:ind w:firstLine="480" w:firstLineChars="200"/>
        <w:jc w:val="both"/>
        <w:rPr>
          <w:color w:val="C00000"/>
        </w:rPr>
      </w:pPr>
      <w:r>
        <w:rPr>
          <w:rFonts w:hint="eastAsia"/>
          <w:color w:val="C00000"/>
        </w:rPr>
        <w:t>采购包七预算：</w:t>
      </w:r>
      <w:r>
        <w:rPr>
          <w:color w:val="C00000"/>
        </w:rPr>
        <w:t>70000</w:t>
      </w:r>
      <w:r>
        <w:rPr>
          <w:rFonts w:hint="eastAsia"/>
          <w:color w:val="C00000"/>
        </w:rPr>
        <w:t>元</w:t>
      </w:r>
    </w:p>
    <w:p w14:paraId="19F5BE73">
      <w:pPr>
        <w:widowControl w:val="0"/>
        <w:topLinePunct/>
        <w:ind w:firstLine="480" w:firstLineChars="200"/>
        <w:jc w:val="both"/>
        <w:rPr>
          <w:color w:val="C00000"/>
        </w:rPr>
      </w:pPr>
      <w:r>
        <w:rPr>
          <w:rFonts w:hint="eastAsia"/>
          <w:color w:val="C00000"/>
        </w:rPr>
        <w:t>采购包八预算：</w:t>
      </w:r>
      <w:r>
        <w:rPr>
          <w:color w:val="C00000"/>
        </w:rPr>
        <w:t>70000</w:t>
      </w:r>
      <w:r>
        <w:rPr>
          <w:rFonts w:hint="eastAsia"/>
          <w:color w:val="C00000"/>
        </w:rPr>
        <w:t>元</w:t>
      </w:r>
    </w:p>
    <w:p w14:paraId="1834B6E1">
      <w:pPr>
        <w:widowControl w:val="0"/>
        <w:topLinePunct/>
        <w:ind w:firstLine="480" w:firstLineChars="200"/>
        <w:jc w:val="both"/>
        <w:rPr>
          <w:color w:val="C00000"/>
        </w:rPr>
      </w:pPr>
      <w:r>
        <w:rPr>
          <w:rFonts w:hint="eastAsia"/>
          <w:color w:val="C00000"/>
        </w:rPr>
        <w:t>采购包九预算：</w:t>
      </w:r>
      <w:r>
        <w:rPr>
          <w:color w:val="C00000"/>
        </w:rPr>
        <w:t>50000</w:t>
      </w:r>
      <w:r>
        <w:rPr>
          <w:rFonts w:hint="eastAsia"/>
          <w:color w:val="C00000"/>
        </w:rPr>
        <w:t>元</w:t>
      </w:r>
    </w:p>
    <w:p w14:paraId="22CDC1C3">
      <w:pPr>
        <w:widowControl w:val="0"/>
        <w:topLinePunct/>
        <w:ind w:firstLine="480" w:firstLineChars="200"/>
        <w:jc w:val="both"/>
        <w:rPr>
          <w:b/>
        </w:rPr>
      </w:pPr>
      <w:r>
        <w:rPr>
          <w:b/>
        </w:rPr>
        <w:t>四、采购</w:t>
      </w:r>
      <w:r>
        <w:rPr>
          <w:rFonts w:hint="eastAsia"/>
          <w:b/>
        </w:rPr>
        <w:t>内容和要求：</w:t>
      </w:r>
    </w:p>
    <w:p w14:paraId="1C7E6385">
      <w:pPr>
        <w:widowControl w:val="0"/>
        <w:topLinePunct/>
        <w:ind w:firstLine="480" w:firstLineChars="200"/>
        <w:jc w:val="both"/>
        <w:rPr>
          <w:color w:val="C00000"/>
        </w:rPr>
      </w:pPr>
      <w:r>
        <w:rPr>
          <w:rFonts w:hint="eastAsia"/>
          <w:color w:val="C00000"/>
        </w:rPr>
        <w:t>西安市消防救援支队2026年社会化审计服务采购项目，其中：</w:t>
      </w:r>
    </w:p>
    <w:p w14:paraId="16B689FF">
      <w:pPr>
        <w:widowControl w:val="0"/>
        <w:topLinePunct/>
        <w:ind w:firstLine="480" w:firstLineChars="200"/>
        <w:jc w:val="both"/>
        <w:rPr>
          <w:color w:val="C00000"/>
        </w:rPr>
      </w:pPr>
      <w:r>
        <w:rPr>
          <w:rFonts w:hint="eastAsia"/>
          <w:color w:val="C00000"/>
        </w:rPr>
        <w:t>采购包一：</w:t>
      </w:r>
      <w:bookmarkStart w:id="1" w:name="_Hlk234590228"/>
      <w:r>
        <w:rPr>
          <w:rFonts w:hint="eastAsia" w:ascii="Calibri" w:hAnsi="Calibri" w:eastAsia="宋体" w:cs="Calibri"/>
          <w:kern w:val="24"/>
        </w:rPr>
        <w:t>装备采购项目审计</w:t>
      </w:r>
      <w:bookmarkEnd w:id="1"/>
    </w:p>
    <w:p w14:paraId="73D8B302">
      <w:pPr>
        <w:widowControl w:val="0"/>
        <w:topLinePunct/>
        <w:ind w:firstLine="480" w:firstLineChars="200"/>
        <w:jc w:val="both"/>
        <w:rPr>
          <w:color w:val="C00000"/>
        </w:rPr>
      </w:pPr>
      <w:r>
        <w:rPr>
          <w:rFonts w:hint="eastAsia"/>
          <w:color w:val="C00000"/>
        </w:rPr>
        <w:t>采购包二：</w:t>
      </w:r>
      <w:r>
        <w:rPr>
          <w:rFonts w:hint="eastAsia" w:ascii="Calibri" w:hAnsi="Calibri" w:eastAsia="宋体" w:cs="Calibri"/>
          <w:kern w:val="24"/>
        </w:rPr>
        <w:t>装备采购项目审计</w:t>
      </w:r>
    </w:p>
    <w:p w14:paraId="5B58367B">
      <w:pPr>
        <w:widowControl w:val="0"/>
        <w:topLinePunct/>
        <w:ind w:firstLine="480" w:firstLineChars="200"/>
        <w:jc w:val="both"/>
        <w:rPr>
          <w:color w:val="C00000"/>
        </w:rPr>
      </w:pPr>
      <w:r>
        <w:rPr>
          <w:rFonts w:hint="eastAsia"/>
          <w:color w:val="C00000"/>
        </w:rPr>
        <w:t>采购包三：</w:t>
      </w:r>
      <w:bookmarkStart w:id="2" w:name="_Hlk234590281"/>
      <w:r>
        <w:rPr>
          <w:rFonts w:ascii="Calibri" w:hAnsi="Calibri" w:eastAsia="宋体" w:cs="Calibri"/>
          <w:kern w:val="24"/>
        </w:rPr>
        <w:t>服务项目</w:t>
      </w:r>
      <w:r>
        <w:rPr>
          <w:rFonts w:hint="eastAsia" w:ascii="Calibri" w:hAnsi="Calibri" w:eastAsia="宋体" w:cs="Calibri"/>
          <w:kern w:val="24"/>
        </w:rPr>
        <w:t>审计</w:t>
      </w:r>
      <w:bookmarkEnd w:id="2"/>
    </w:p>
    <w:p w14:paraId="622EF61B">
      <w:pPr>
        <w:widowControl w:val="0"/>
        <w:topLinePunct/>
        <w:ind w:firstLine="480" w:firstLineChars="200"/>
        <w:jc w:val="both"/>
        <w:rPr>
          <w:color w:val="C00000"/>
        </w:rPr>
      </w:pPr>
      <w:r>
        <w:rPr>
          <w:rFonts w:hint="eastAsia"/>
          <w:color w:val="C00000"/>
        </w:rPr>
        <w:t>采购包四：</w:t>
      </w:r>
      <w:r>
        <w:rPr>
          <w:rFonts w:ascii="Calibri" w:hAnsi="Calibri" w:eastAsia="宋体" w:cs="Calibri"/>
          <w:kern w:val="24"/>
        </w:rPr>
        <w:t>服务项目</w:t>
      </w:r>
      <w:r>
        <w:rPr>
          <w:rFonts w:hint="eastAsia" w:ascii="Calibri" w:hAnsi="Calibri" w:eastAsia="宋体" w:cs="Calibri"/>
          <w:kern w:val="24"/>
        </w:rPr>
        <w:t>审计</w:t>
      </w:r>
    </w:p>
    <w:p w14:paraId="3EA45974">
      <w:pPr>
        <w:widowControl w:val="0"/>
        <w:topLinePunct/>
        <w:ind w:firstLine="480" w:firstLineChars="200"/>
        <w:jc w:val="both"/>
        <w:rPr>
          <w:color w:val="C00000"/>
        </w:rPr>
      </w:pPr>
      <w:r>
        <w:rPr>
          <w:rFonts w:hint="eastAsia"/>
          <w:color w:val="C00000"/>
        </w:rPr>
        <w:t>采购包五：</w:t>
      </w:r>
      <w:bookmarkStart w:id="3" w:name="_Hlk234590327"/>
      <w:r>
        <w:rPr>
          <w:rFonts w:hint="eastAsia" w:cs="Calibri"/>
          <w:kern w:val="24"/>
        </w:rPr>
        <w:t>工程建设项目审计</w:t>
      </w:r>
      <w:bookmarkEnd w:id="3"/>
    </w:p>
    <w:p w14:paraId="42088358">
      <w:pPr>
        <w:widowControl w:val="0"/>
        <w:topLinePunct/>
        <w:ind w:firstLine="480" w:firstLineChars="200"/>
        <w:jc w:val="both"/>
        <w:rPr>
          <w:color w:val="C00000"/>
        </w:rPr>
      </w:pPr>
      <w:r>
        <w:rPr>
          <w:rFonts w:hint="eastAsia"/>
          <w:color w:val="C00000"/>
        </w:rPr>
        <w:t>采购包六：</w:t>
      </w:r>
      <w:r>
        <w:rPr>
          <w:rFonts w:hint="eastAsia" w:cs="Calibri"/>
          <w:kern w:val="24"/>
        </w:rPr>
        <w:t>工程建设项目审计</w:t>
      </w:r>
    </w:p>
    <w:p w14:paraId="5BA39664">
      <w:pPr>
        <w:widowControl w:val="0"/>
        <w:topLinePunct/>
        <w:ind w:firstLine="480" w:firstLineChars="200"/>
        <w:jc w:val="both"/>
        <w:rPr>
          <w:color w:val="C00000"/>
        </w:rPr>
      </w:pPr>
      <w:r>
        <w:rPr>
          <w:rFonts w:hint="eastAsia"/>
          <w:color w:val="C00000"/>
        </w:rPr>
        <w:t>采购包七：</w:t>
      </w:r>
      <w:bookmarkStart w:id="4" w:name="_Hlk234590429"/>
      <w:r>
        <w:rPr>
          <w:rFonts w:ascii="Calibri" w:hAnsi="Calibri" w:eastAsia="宋体" w:cs="Calibri"/>
          <w:kern w:val="24"/>
        </w:rPr>
        <w:t>货物采购</w:t>
      </w:r>
      <w:r>
        <w:rPr>
          <w:rFonts w:hint="eastAsia" w:ascii="Calibri" w:hAnsi="Calibri" w:eastAsia="宋体" w:cs="Calibri"/>
          <w:kern w:val="24"/>
        </w:rPr>
        <w:t>项目审计</w:t>
      </w:r>
      <w:bookmarkEnd w:id="4"/>
    </w:p>
    <w:p w14:paraId="2DCD68D9">
      <w:pPr>
        <w:widowControl w:val="0"/>
        <w:topLinePunct/>
        <w:ind w:firstLine="480" w:firstLineChars="200"/>
        <w:jc w:val="both"/>
        <w:rPr>
          <w:color w:val="C00000"/>
        </w:rPr>
      </w:pPr>
      <w:r>
        <w:rPr>
          <w:rFonts w:hint="eastAsia"/>
          <w:color w:val="C00000"/>
        </w:rPr>
        <w:t>采购包八：</w:t>
      </w:r>
      <w:bookmarkStart w:id="5" w:name="_Hlk234590634"/>
      <w:r>
        <w:rPr>
          <w:rFonts w:ascii="Calibri" w:hAnsi="Calibri" w:eastAsia="宋体" w:cs="Calibri"/>
          <w:kern w:val="24"/>
        </w:rPr>
        <w:t>货物采购</w:t>
      </w:r>
      <w:r>
        <w:rPr>
          <w:rFonts w:hint="eastAsia" w:ascii="Calibri" w:hAnsi="Calibri" w:eastAsia="宋体" w:cs="Calibri"/>
          <w:kern w:val="24"/>
        </w:rPr>
        <w:t>项目审计</w:t>
      </w:r>
      <w:bookmarkEnd w:id="5"/>
    </w:p>
    <w:p w14:paraId="213F2D35">
      <w:pPr>
        <w:widowControl w:val="0"/>
        <w:topLinePunct/>
        <w:ind w:firstLine="480" w:firstLineChars="200"/>
        <w:jc w:val="both"/>
        <w:rPr>
          <w:color w:val="C00000"/>
        </w:rPr>
      </w:pPr>
      <w:r>
        <w:rPr>
          <w:rFonts w:hint="eastAsia"/>
          <w:color w:val="C00000"/>
        </w:rPr>
        <w:t>采购包九：</w:t>
      </w:r>
      <w:bookmarkStart w:id="6" w:name="_Hlk234590444"/>
      <w:r>
        <w:rPr>
          <w:rFonts w:hint="eastAsia" w:cs="Calibri"/>
          <w:kern w:val="24"/>
        </w:rPr>
        <w:t>信息化建设审计</w:t>
      </w:r>
      <w:bookmarkEnd w:id="6"/>
    </w:p>
    <w:p w14:paraId="64FC89D4">
      <w:pPr>
        <w:widowControl w:val="0"/>
        <w:topLinePunct/>
        <w:ind w:firstLine="480" w:firstLineChars="200"/>
        <w:jc w:val="both"/>
      </w:pPr>
      <w:r>
        <w:rPr>
          <w:rFonts w:hint="eastAsia"/>
        </w:rPr>
        <w:t>详见第三章「磋商内容及要求」。</w:t>
      </w:r>
    </w:p>
    <w:p w14:paraId="448BADF3">
      <w:pPr>
        <w:widowControl w:val="0"/>
        <w:topLinePunct/>
        <w:ind w:firstLine="480" w:firstLineChars="200"/>
        <w:jc w:val="both"/>
      </w:pPr>
      <w:r>
        <w:rPr>
          <w:rFonts w:hint="eastAsia"/>
        </w:rPr>
        <w:t>本项目兼投不兼中。</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六、执行的政府采购政策：</w:t>
      </w:r>
    </w:p>
    <w:p w14:paraId="171B5C27">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0FAB067C">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2F246D02">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2376B4C7">
      <w:pPr>
        <w:widowControl w:val="0"/>
        <w:topLinePunct/>
        <w:ind w:firstLine="480" w:firstLineChars="200"/>
        <w:jc w:val="both"/>
      </w:pPr>
      <w:r>
        <w:rPr>
          <w:rFonts w:hint="eastAsia"/>
        </w:rPr>
        <w:t>4．《国务院办公厅关于在政府采购中实施本国产品标准及相关政策的通知》（国办发〔2025〕34号）。</w:t>
      </w:r>
    </w:p>
    <w:p w14:paraId="1C0201F9">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14127278">
      <w:pPr>
        <w:widowControl w:val="0"/>
        <w:topLinePunct/>
        <w:ind w:firstLine="480" w:firstLineChars="200"/>
        <w:jc w:val="both"/>
      </w:pPr>
      <w:r>
        <w:t>6</w:t>
      </w:r>
      <w:r>
        <w:rPr>
          <w:rFonts w:hint="eastAsia"/>
        </w:rPr>
        <w:t>．详见第二章「关于政府采购政策」。</w:t>
      </w:r>
    </w:p>
    <w:p w14:paraId="25941152">
      <w:pPr>
        <w:widowControl w:val="0"/>
        <w:topLinePunct/>
        <w:ind w:firstLine="480" w:firstLineChars="200"/>
        <w:jc w:val="both"/>
        <w:rPr>
          <w:b/>
        </w:rPr>
      </w:pPr>
      <w:r>
        <w:rPr>
          <w:rFonts w:hint="eastAsia"/>
          <w:b/>
        </w:rPr>
        <w:t>七、获取磋商文件的时间及方式：</w:t>
      </w:r>
    </w:p>
    <w:p w14:paraId="00291F81">
      <w:pPr>
        <w:widowControl w:val="0"/>
        <w:topLinePunct/>
        <w:ind w:firstLine="480" w:firstLineChars="200"/>
        <w:jc w:val="both"/>
      </w:pPr>
      <w:r>
        <w:rPr>
          <w:rFonts w:hint="eastAsia"/>
        </w:rPr>
        <w:t>1．获取时间：自磋商公告发布之日起5个工作日。</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〉交易文件下载〗免费获取本项目电子磋商文件（*.SXSZF）。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（2）制作电子响应文件（*.SXSTF）需要使用专用制作工具。软件下载及操作说明详见西安市公共资源交易平台〖首页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〉答疑文件下载〗获取更新后的电子磋商文件（*.SXSCF），使用旧版电子磋商文件制作的电子响应文件（*.SXSTF），系统将拒绝接收。</w:t>
      </w:r>
    </w:p>
    <w:p w14:paraId="089EDA29">
      <w:pPr>
        <w:widowControl w:val="0"/>
        <w:topLinePunct/>
        <w:ind w:firstLine="480" w:firstLineChars="200"/>
        <w:jc w:val="both"/>
        <w:rPr>
          <w:b/>
        </w:rPr>
      </w:pPr>
      <w:r>
        <w:rPr>
          <w:rFonts w:hint="eastAsia"/>
          <w:b/>
        </w:rPr>
        <w:t>八、提交首次响应文件截止时间及方式：</w:t>
      </w:r>
    </w:p>
    <w:p w14:paraId="51241B74">
      <w:pPr>
        <w:widowControl w:val="0"/>
        <w:topLinePunct/>
        <w:ind w:firstLine="480" w:firstLineChars="200"/>
        <w:jc w:val="both"/>
      </w:pPr>
      <w:r>
        <w:rPr>
          <w:rFonts w:hint="eastAsia"/>
        </w:rPr>
        <w:t>1．提交首次响应文件截止时间：2026年</w:t>
      </w:r>
      <w:r>
        <w:t>7</w:t>
      </w:r>
      <w:r>
        <w:rPr>
          <w:rFonts w:hint="eastAsia"/>
        </w:rPr>
        <w:t>月</w:t>
      </w:r>
      <w:r>
        <w:t>27</w:t>
      </w:r>
      <w:r>
        <w:rPr>
          <w:rFonts w:hint="eastAsia"/>
        </w:rPr>
        <w:t>日10:30，逾期提交的，系统将拒绝接收。</w:t>
      </w:r>
    </w:p>
    <w:p w14:paraId="713E12B2">
      <w:pPr>
        <w:widowControl w:val="0"/>
        <w:topLinePunct/>
        <w:ind w:firstLine="480" w:firstLineChars="200"/>
        <w:jc w:val="both"/>
      </w:pPr>
      <w:r>
        <w:rPr>
          <w:rFonts w:hint="eastAsia"/>
        </w:rPr>
        <w:t>2．提交首次响应文件的方式：从西安市公共资源交易平台〖首页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应文件〗上传加密后的电子响应文件（*.SXSTF）。</w:t>
      </w:r>
    </w:p>
    <w:p w14:paraId="002298FE">
      <w:pPr>
        <w:widowControl w:val="0"/>
        <w:topLinePunct/>
        <w:ind w:firstLine="480" w:firstLineChars="200"/>
        <w:jc w:val="both"/>
      </w:pPr>
      <w:r>
        <w:rPr>
          <w:rFonts w:hint="eastAsia"/>
          <w:b/>
        </w:rPr>
        <w:t>九、开启时间、地点及开标形式：</w:t>
      </w:r>
    </w:p>
    <w:p w14:paraId="1CB81DA3">
      <w:pPr>
        <w:widowControl w:val="0"/>
        <w:topLinePunct/>
        <w:ind w:firstLine="480" w:firstLineChars="200"/>
        <w:jc w:val="both"/>
      </w:pPr>
      <w:r>
        <w:t>1</w:t>
      </w:r>
      <w:r>
        <w:rPr>
          <w:rFonts w:hint="eastAsia"/>
        </w:rPr>
        <w:t>．开启时间：2026年</w:t>
      </w:r>
      <w:r>
        <w:t>7</w:t>
      </w:r>
      <w:r>
        <w:rPr>
          <w:rFonts w:hint="eastAsia"/>
        </w:rPr>
        <w:t>月</w:t>
      </w:r>
      <w:r>
        <w:t>27</w:t>
      </w:r>
      <w:r>
        <w:rPr>
          <w:rFonts w:hint="eastAsia"/>
        </w:rPr>
        <w:t>日10:3</w:t>
      </w:r>
      <w:r>
        <w:t>0</w:t>
      </w:r>
    </w:p>
    <w:p w14:paraId="75602388">
      <w:pPr>
        <w:widowControl w:val="0"/>
        <w:topLinePunct/>
        <w:ind w:firstLine="480" w:firstLineChars="200"/>
        <w:jc w:val="both"/>
      </w:pPr>
      <w:r>
        <w:rPr>
          <w:rFonts w:hint="eastAsia"/>
        </w:rPr>
        <w:t>2．</w:t>
      </w:r>
      <w:r>
        <w:t>开启</w:t>
      </w:r>
      <w:r>
        <w:rPr>
          <w:rFonts w:hint="eastAsia"/>
        </w:rPr>
        <w:t>地点：</w:t>
      </w:r>
      <w:r>
        <w:t>本集采机构</w:t>
      </w:r>
      <w:r>
        <w:rPr>
          <w:rFonts w:hint="eastAsia"/>
        </w:rPr>
        <w:t>虚拟开标室</w:t>
      </w:r>
      <w:r>
        <w:t>5</w:t>
      </w:r>
      <w:r>
        <w:rPr>
          <w:rFonts w:hint="eastAsia"/>
        </w:rPr>
        <w:t>。</w:t>
      </w:r>
    </w:p>
    <w:p w14:paraId="044015C4">
      <w:pPr>
        <w:widowControl w:val="0"/>
        <w:topLinePunct/>
        <w:ind w:firstLine="480" w:firstLineChars="200"/>
        <w:jc w:val="both"/>
      </w:pPr>
      <w:r>
        <w:t>3</w:t>
      </w:r>
      <w:r>
        <w:rPr>
          <w:rFonts w:hint="eastAsia"/>
        </w:rPr>
        <w:t>．</w:t>
      </w:r>
      <w:r>
        <w:rPr>
          <w:rFonts w:asciiTheme="minorEastAsia" w:hAnsiTheme="minorEastAsia"/>
        </w:rPr>
        <w:t>“开标”</w:t>
      </w:r>
      <w:r>
        <w:rPr>
          <w:rFonts w:hint="eastAsia" w:asciiTheme="minorEastAsia" w:hAnsiTheme="minorEastAsia"/>
        </w:rPr>
        <w:t>形式</w:t>
      </w:r>
      <w:r>
        <w:rPr>
          <w:rFonts w:hint="eastAsia"/>
        </w:rPr>
        <w:t>：本项目将采用“不见面开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1．采购人：西安市消防救援支队</w:t>
      </w:r>
    </w:p>
    <w:p w14:paraId="2E9A56AC">
      <w:pPr>
        <w:widowControl w:val="0"/>
        <w:topLinePunct/>
        <w:ind w:firstLine="480" w:firstLineChars="200"/>
        <w:jc w:val="both"/>
      </w:pPr>
      <w:r>
        <w:rPr>
          <w:rFonts w:hint="eastAsia"/>
        </w:rPr>
        <w:t>地址：</w:t>
      </w:r>
      <w:r>
        <w:t>高新区科技七路10号</w:t>
      </w:r>
    </w:p>
    <w:p w14:paraId="71FBD3E8">
      <w:pPr>
        <w:widowControl w:val="0"/>
        <w:topLinePunct/>
        <w:ind w:firstLine="480" w:firstLineChars="200"/>
        <w:jc w:val="both"/>
      </w:pPr>
      <w:r>
        <w:rPr>
          <w:rFonts w:hint="eastAsia"/>
        </w:rPr>
        <w:t>联系人：</w:t>
      </w:r>
      <w:r>
        <w:t>贺老师</w:t>
      </w:r>
    </w:p>
    <w:p w14:paraId="7C403659">
      <w:pPr>
        <w:widowControl w:val="0"/>
        <w:topLinePunct/>
        <w:ind w:firstLine="480" w:firstLineChars="200"/>
        <w:jc w:val="both"/>
      </w:pPr>
      <w:r>
        <w:rPr>
          <w:rFonts w:hint="eastAsia"/>
        </w:rPr>
        <w:t>联系电话：</w:t>
      </w:r>
      <w:r>
        <w:t>86750035</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标书联系人及分机号：冯老师（</w:t>
      </w:r>
      <w:r>
        <w:t>80846</w:t>
      </w:r>
      <w:r>
        <w:rPr>
          <w:rFonts w:hint="eastAsia"/>
        </w:rPr>
        <w:t>）</w:t>
      </w:r>
    </w:p>
    <w:p w14:paraId="6F1334A2">
      <w:pPr>
        <w:widowControl w:val="0"/>
        <w:topLinePunct/>
        <w:ind w:firstLine="480" w:firstLineChars="200"/>
        <w:jc w:val="both"/>
      </w:pPr>
      <w:r>
        <w:rPr>
          <w:rFonts w:hint="eastAsia"/>
        </w:rPr>
        <w:t>开标联系人及分机号：李老师（</w:t>
      </w:r>
      <w:r>
        <w:t>80758</w:t>
      </w:r>
      <w:r>
        <w:rPr>
          <w:rFonts w:hint="eastAsia"/>
        </w:rPr>
        <w:t>）</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7" w:name="_Toc445407251"/>
      <w:bookmarkStart w:id="8" w:name="_Toc498349068"/>
      <w:bookmarkStart w:id="9" w:name="_Toc533363235"/>
      <w:bookmarkStart w:id="10" w:name="_Toc234246175"/>
      <w:bookmarkStart w:id="11" w:name="_Toc534656409"/>
      <w:bookmarkStart w:id="12" w:name="_Toc97563329"/>
      <w:bookmarkStart w:id="13" w:name="_Toc533363262"/>
      <w:bookmarkStart w:id="14" w:name="_Toc534656414"/>
      <w:r>
        <w:t>第二章</w:t>
      </w:r>
      <w:r>
        <w:rPr>
          <w:rFonts w:hint="eastAsia"/>
        </w:rPr>
        <w:t>　</w:t>
      </w:r>
      <w:r>
        <w:t>供应商须知</w:t>
      </w:r>
      <w:bookmarkEnd w:id="7"/>
      <w:bookmarkEnd w:id="8"/>
      <w:bookmarkEnd w:id="9"/>
      <w:bookmarkEnd w:id="10"/>
      <w:bookmarkEnd w:id="11"/>
      <w:bookmarkEnd w:id="12"/>
      <w:bookmarkEnd w:id="13"/>
      <w:bookmarkEnd w:id="14"/>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西安市消防救援支队2026年社会化审计服务采购项目</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XCZX2026-0058</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4D74D8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sz w:val="21"/>
                <w:szCs w:val="21"/>
              </w:rPr>
            </w:pPr>
            <w:r>
              <w:rPr>
                <w:rFonts w:hint="eastAsia" w:ascii="Calibri" w:hAnsi="宋体" w:eastAsia="宋体" w:cstheme="minorHAnsi"/>
                <w:sz w:val="21"/>
              </w:rPr>
              <w:t>〈</w:t>
            </w:r>
            <w:r>
              <w:rPr>
                <w:rFonts w:ascii="Calibri" w:hAnsi="宋体" w:eastAsia="宋体" w:cstheme="minorHAnsi"/>
                <w:sz w:val="21"/>
              </w:rPr>
              <w:t>800000</w:t>
            </w:r>
            <w:r>
              <w:rPr>
                <w:rFonts w:hint="eastAsia" w:ascii="Calibri" w:hAnsi="宋体" w:eastAsia="宋体" w:cstheme="minorHAnsi"/>
                <w:sz w:val="21"/>
              </w:rPr>
              <w:t>元〉（最高限价</w:t>
            </w:r>
            <w:r>
              <w:rPr>
                <w:rFonts w:ascii="Calibri" w:hAnsi="宋体" w:eastAsia="宋体" w:cstheme="minorHAnsi"/>
                <w:sz w:val="21"/>
              </w:rPr>
              <w:t>800000</w:t>
            </w:r>
            <w:r>
              <w:rPr>
                <w:rFonts w:hint="eastAsia" w:ascii="Calibri" w:hAnsi="宋体" w:eastAsia="宋体" w:cstheme="minorHAnsi"/>
                <w:sz w:val="21"/>
              </w:rPr>
              <w:t>元）</w:t>
            </w:r>
          </w:p>
        </w:tc>
      </w:tr>
      <w:tr w14:paraId="57A48D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73D04E91">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62FE00">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采购包一预算</w:t>
            </w:r>
          </w:p>
        </w:tc>
        <w:tc>
          <w:tcPr>
            <w:tcW w:w="5766" w:type="dxa"/>
            <w:shd w:val="clear" w:color="auto" w:fill="auto"/>
            <w:vAlign w:val="center"/>
          </w:tcPr>
          <w:p w14:paraId="05B6FA14">
            <w:pPr>
              <w:spacing w:line="320" w:lineRule="exact"/>
              <w:jc w:val="both"/>
              <w:rPr>
                <w:color w:val="C00000"/>
                <w:sz w:val="21"/>
                <w:szCs w:val="21"/>
              </w:rPr>
            </w:pPr>
            <w:r>
              <w:rPr>
                <w:rFonts w:ascii="Calibri" w:hAnsi="宋体" w:eastAsia="宋体" w:cstheme="minorHAnsi"/>
                <w:color w:val="C00000"/>
                <w:sz w:val="21"/>
                <w:u w:val="single"/>
              </w:rPr>
              <w:t>125000</w:t>
            </w:r>
            <w:r>
              <w:rPr>
                <w:rFonts w:ascii="Calibri" w:hAnsi="宋体" w:eastAsia="宋体" w:cstheme="minorHAnsi"/>
                <w:color w:val="C00000"/>
                <w:sz w:val="21"/>
              </w:rPr>
              <w:t>元</w:t>
            </w:r>
            <w:r>
              <w:rPr>
                <w:rFonts w:hint="eastAsia" w:ascii="Calibri" w:hAnsi="宋体" w:eastAsia="宋体" w:cstheme="minorHAnsi"/>
                <w:color w:val="C00000"/>
                <w:sz w:val="21"/>
              </w:rPr>
              <w:t>；</w:t>
            </w:r>
            <w:r>
              <w:rPr>
                <w:rFonts w:hint="eastAsia" w:ascii="Calibri" w:hAnsi="宋体" w:eastAsia="宋体" w:cstheme="minorHAnsi"/>
                <w:sz w:val="21"/>
              </w:rPr>
              <w:t>（最高限价</w:t>
            </w:r>
            <w:r>
              <w:rPr>
                <w:rFonts w:ascii="Calibri" w:hAnsi="宋体" w:eastAsia="宋体" w:cstheme="minorHAnsi"/>
                <w:sz w:val="21"/>
              </w:rPr>
              <w:t>125000</w:t>
            </w:r>
            <w:r>
              <w:rPr>
                <w:rFonts w:hint="eastAsia" w:ascii="Calibri" w:hAnsi="宋体" w:eastAsia="宋体" w:cstheme="minorHAnsi"/>
                <w:sz w:val="21"/>
              </w:rPr>
              <w:t>元）</w:t>
            </w:r>
          </w:p>
        </w:tc>
      </w:tr>
      <w:tr w14:paraId="139BDE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73755D8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8930565">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采购包二预算</w:t>
            </w:r>
          </w:p>
        </w:tc>
        <w:tc>
          <w:tcPr>
            <w:tcW w:w="5766" w:type="dxa"/>
            <w:shd w:val="clear" w:color="auto" w:fill="auto"/>
            <w:vAlign w:val="center"/>
          </w:tcPr>
          <w:p w14:paraId="3B42FACA">
            <w:pPr>
              <w:spacing w:line="320" w:lineRule="exact"/>
              <w:jc w:val="both"/>
              <w:rPr>
                <w:rFonts w:ascii="Calibri" w:hAnsi="宋体" w:eastAsia="宋体" w:cstheme="minorHAnsi"/>
                <w:color w:val="C00000"/>
                <w:sz w:val="21"/>
                <w:u w:val="single"/>
              </w:rPr>
            </w:pPr>
            <w:r>
              <w:rPr>
                <w:rFonts w:ascii="Calibri" w:hAnsi="宋体" w:eastAsia="宋体" w:cstheme="minorHAnsi"/>
                <w:color w:val="C00000"/>
                <w:sz w:val="21"/>
                <w:u w:val="single"/>
              </w:rPr>
              <w:t>125000</w:t>
            </w:r>
            <w:r>
              <w:rPr>
                <w:rFonts w:ascii="Calibri" w:hAnsi="宋体" w:eastAsia="宋体" w:cstheme="minorHAnsi"/>
                <w:color w:val="C00000"/>
                <w:sz w:val="21"/>
              </w:rPr>
              <w:t>元</w:t>
            </w:r>
            <w:r>
              <w:rPr>
                <w:rFonts w:hint="eastAsia" w:ascii="Calibri" w:hAnsi="宋体" w:eastAsia="宋体" w:cstheme="minorHAnsi"/>
                <w:color w:val="C00000"/>
                <w:sz w:val="21"/>
              </w:rPr>
              <w:t>；</w:t>
            </w:r>
            <w:r>
              <w:rPr>
                <w:rFonts w:hint="eastAsia" w:ascii="Calibri" w:hAnsi="宋体" w:eastAsia="宋体" w:cstheme="minorHAnsi"/>
                <w:sz w:val="21"/>
              </w:rPr>
              <w:t>（最高限价</w:t>
            </w:r>
            <w:r>
              <w:rPr>
                <w:rFonts w:ascii="Calibri" w:hAnsi="宋体" w:eastAsia="宋体" w:cstheme="minorHAnsi"/>
                <w:sz w:val="21"/>
              </w:rPr>
              <w:t>125000</w:t>
            </w:r>
            <w:r>
              <w:rPr>
                <w:rFonts w:hint="eastAsia" w:ascii="Calibri" w:hAnsi="宋体" w:eastAsia="宋体" w:cstheme="minorHAnsi"/>
                <w:sz w:val="21"/>
              </w:rPr>
              <w:t>元）</w:t>
            </w:r>
          </w:p>
        </w:tc>
      </w:tr>
      <w:tr w14:paraId="690B129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546D55A1">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AE047">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采购包三预算</w:t>
            </w:r>
          </w:p>
        </w:tc>
        <w:tc>
          <w:tcPr>
            <w:tcW w:w="5766" w:type="dxa"/>
            <w:shd w:val="clear" w:color="auto" w:fill="auto"/>
            <w:vAlign w:val="center"/>
          </w:tcPr>
          <w:p w14:paraId="61FAAEA6">
            <w:pPr>
              <w:spacing w:line="320" w:lineRule="exact"/>
              <w:jc w:val="both"/>
              <w:rPr>
                <w:rFonts w:ascii="Calibri" w:hAnsi="宋体" w:eastAsia="宋体" w:cstheme="minorHAnsi"/>
                <w:color w:val="C00000"/>
                <w:sz w:val="21"/>
                <w:u w:val="single"/>
              </w:rPr>
            </w:pPr>
            <w:r>
              <w:rPr>
                <w:rFonts w:ascii="Calibri" w:hAnsi="宋体" w:eastAsia="宋体" w:cstheme="minorHAnsi"/>
                <w:color w:val="C00000"/>
                <w:sz w:val="21"/>
                <w:u w:val="single"/>
              </w:rPr>
              <w:t>110000</w:t>
            </w:r>
            <w:r>
              <w:rPr>
                <w:rFonts w:ascii="Calibri" w:hAnsi="宋体" w:eastAsia="宋体" w:cstheme="minorHAnsi"/>
                <w:color w:val="C00000"/>
                <w:sz w:val="21"/>
              </w:rPr>
              <w:t>元</w:t>
            </w:r>
            <w:r>
              <w:rPr>
                <w:rFonts w:hint="eastAsia" w:ascii="Calibri" w:hAnsi="宋体" w:eastAsia="宋体" w:cstheme="minorHAnsi"/>
                <w:color w:val="C00000"/>
                <w:sz w:val="21"/>
              </w:rPr>
              <w:t>；</w:t>
            </w:r>
            <w:r>
              <w:rPr>
                <w:rFonts w:hint="eastAsia" w:ascii="Calibri" w:hAnsi="宋体" w:eastAsia="宋体" w:cstheme="minorHAnsi"/>
                <w:sz w:val="21"/>
              </w:rPr>
              <w:t>（最高限价</w:t>
            </w:r>
            <w:r>
              <w:rPr>
                <w:rFonts w:ascii="Calibri" w:hAnsi="宋体" w:eastAsia="宋体" w:cstheme="minorHAnsi"/>
                <w:sz w:val="21"/>
              </w:rPr>
              <w:t>110000</w:t>
            </w:r>
            <w:r>
              <w:rPr>
                <w:rFonts w:hint="eastAsia" w:ascii="Calibri" w:hAnsi="宋体" w:eastAsia="宋体" w:cstheme="minorHAnsi"/>
                <w:sz w:val="21"/>
              </w:rPr>
              <w:t>元）</w:t>
            </w:r>
          </w:p>
        </w:tc>
      </w:tr>
      <w:tr w14:paraId="6C7219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3532AAC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3CE5806">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采购包四预算</w:t>
            </w:r>
          </w:p>
        </w:tc>
        <w:tc>
          <w:tcPr>
            <w:tcW w:w="5766" w:type="dxa"/>
            <w:shd w:val="clear" w:color="auto" w:fill="auto"/>
            <w:vAlign w:val="center"/>
          </w:tcPr>
          <w:p w14:paraId="4E13E62D">
            <w:pPr>
              <w:spacing w:line="320" w:lineRule="exact"/>
              <w:jc w:val="both"/>
              <w:rPr>
                <w:rFonts w:ascii="Calibri" w:hAnsi="宋体" w:eastAsia="宋体" w:cstheme="minorHAnsi"/>
                <w:color w:val="C00000"/>
                <w:sz w:val="21"/>
                <w:u w:val="single"/>
              </w:rPr>
            </w:pPr>
            <w:r>
              <w:rPr>
                <w:rFonts w:ascii="Calibri" w:hAnsi="宋体" w:eastAsia="宋体" w:cstheme="minorHAnsi"/>
                <w:color w:val="C00000"/>
                <w:sz w:val="21"/>
                <w:u w:val="single"/>
              </w:rPr>
              <w:t>110000</w:t>
            </w:r>
            <w:r>
              <w:rPr>
                <w:rFonts w:ascii="Calibri" w:hAnsi="宋体" w:eastAsia="宋体" w:cstheme="minorHAnsi"/>
                <w:color w:val="C00000"/>
                <w:sz w:val="21"/>
              </w:rPr>
              <w:t>元</w:t>
            </w:r>
            <w:r>
              <w:rPr>
                <w:rFonts w:hint="eastAsia" w:ascii="Calibri" w:hAnsi="宋体" w:eastAsia="宋体" w:cstheme="minorHAnsi"/>
                <w:color w:val="C00000"/>
                <w:sz w:val="21"/>
              </w:rPr>
              <w:t>；</w:t>
            </w:r>
            <w:r>
              <w:rPr>
                <w:rFonts w:hint="eastAsia" w:ascii="Calibri" w:hAnsi="宋体" w:eastAsia="宋体" w:cstheme="minorHAnsi"/>
                <w:sz w:val="21"/>
              </w:rPr>
              <w:t>（最高限价</w:t>
            </w:r>
            <w:r>
              <w:rPr>
                <w:rFonts w:ascii="Calibri" w:hAnsi="宋体" w:eastAsia="宋体" w:cstheme="minorHAnsi"/>
                <w:sz w:val="21"/>
              </w:rPr>
              <w:t>110000</w:t>
            </w:r>
            <w:r>
              <w:rPr>
                <w:rFonts w:hint="eastAsia" w:ascii="Calibri" w:hAnsi="宋体" w:eastAsia="宋体" w:cstheme="minorHAnsi"/>
                <w:sz w:val="21"/>
              </w:rPr>
              <w:t>元）</w:t>
            </w:r>
          </w:p>
        </w:tc>
      </w:tr>
      <w:tr w14:paraId="69244E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4DC7A5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F142602">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采购包五预算</w:t>
            </w:r>
          </w:p>
        </w:tc>
        <w:tc>
          <w:tcPr>
            <w:tcW w:w="5766" w:type="dxa"/>
            <w:shd w:val="clear" w:color="auto" w:fill="auto"/>
            <w:vAlign w:val="center"/>
          </w:tcPr>
          <w:p w14:paraId="43031AB4">
            <w:pPr>
              <w:spacing w:line="320" w:lineRule="exact"/>
              <w:jc w:val="both"/>
              <w:rPr>
                <w:rFonts w:ascii="Calibri" w:hAnsi="宋体" w:eastAsia="宋体" w:cstheme="minorHAnsi"/>
                <w:color w:val="C00000"/>
                <w:sz w:val="21"/>
                <w:u w:val="single"/>
              </w:rPr>
            </w:pPr>
            <w:r>
              <w:rPr>
                <w:rFonts w:ascii="Calibri" w:hAnsi="宋体" w:eastAsia="宋体" w:cstheme="minorHAnsi"/>
                <w:color w:val="C00000"/>
                <w:sz w:val="21"/>
                <w:u w:val="single"/>
              </w:rPr>
              <w:t>70000</w:t>
            </w:r>
            <w:r>
              <w:rPr>
                <w:rFonts w:ascii="Calibri" w:hAnsi="宋体" w:eastAsia="宋体" w:cstheme="minorHAnsi"/>
                <w:color w:val="C00000"/>
                <w:sz w:val="21"/>
              </w:rPr>
              <w:t>元</w:t>
            </w:r>
            <w:r>
              <w:rPr>
                <w:rFonts w:hint="eastAsia" w:ascii="Calibri" w:hAnsi="宋体" w:eastAsia="宋体" w:cstheme="minorHAnsi"/>
                <w:color w:val="C00000"/>
                <w:sz w:val="21"/>
              </w:rPr>
              <w:t>；</w:t>
            </w:r>
            <w:r>
              <w:rPr>
                <w:rFonts w:hint="eastAsia" w:ascii="Calibri" w:hAnsi="宋体" w:eastAsia="宋体" w:cstheme="minorHAnsi"/>
                <w:sz w:val="21"/>
              </w:rPr>
              <w:t>（最高限价7</w:t>
            </w:r>
            <w:r>
              <w:rPr>
                <w:rFonts w:ascii="Calibri" w:hAnsi="宋体" w:eastAsia="宋体" w:cstheme="minorHAnsi"/>
                <w:sz w:val="21"/>
              </w:rPr>
              <w:t>0000</w:t>
            </w:r>
            <w:r>
              <w:rPr>
                <w:rFonts w:hint="eastAsia" w:ascii="Calibri" w:hAnsi="宋体" w:eastAsia="宋体" w:cstheme="minorHAnsi"/>
                <w:sz w:val="21"/>
              </w:rPr>
              <w:t>元）</w:t>
            </w:r>
          </w:p>
        </w:tc>
      </w:tr>
      <w:tr w14:paraId="3DBBF3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52496F81">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64789CB">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采购包六预算</w:t>
            </w:r>
          </w:p>
        </w:tc>
        <w:tc>
          <w:tcPr>
            <w:tcW w:w="5766" w:type="dxa"/>
            <w:shd w:val="clear" w:color="auto" w:fill="auto"/>
            <w:vAlign w:val="center"/>
          </w:tcPr>
          <w:p w14:paraId="617E1A18">
            <w:pPr>
              <w:spacing w:line="320" w:lineRule="exact"/>
              <w:jc w:val="both"/>
              <w:rPr>
                <w:rFonts w:ascii="Calibri" w:hAnsi="宋体" w:eastAsia="宋体" w:cstheme="minorHAnsi"/>
                <w:color w:val="C00000"/>
                <w:sz w:val="21"/>
                <w:u w:val="single"/>
              </w:rPr>
            </w:pPr>
            <w:r>
              <w:rPr>
                <w:rFonts w:ascii="Calibri" w:hAnsi="宋体" w:eastAsia="宋体" w:cstheme="minorHAnsi"/>
                <w:color w:val="C00000"/>
                <w:sz w:val="21"/>
                <w:u w:val="single"/>
              </w:rPr>
              <w:t>70000</w:t>
            </w:r>
            <w:r>
              <w:rPr>
                <w:rFonts w:ascii="Calibri" w:hAnsi="宋体" w:eastAsia="宋体" w:cstheme="minorHAnsi"/>
                <w:color w:val="C00000"/>
                <w:sz w:val="21"/>
              </w:rPr>
              <w:t>元</w:t>
            </w:r>
            <w:r>
              <w:rPr>
                <w:rFonts w:hint="eastAsia" w:ascii="Calibri" w:hAnsi="宋体" w:eastAsia="宋体" w:cstheme="minorHAnsi"/>
                <w:color w:val="C00000"/>
                <w:sz w:val="21"/>
              </w:rPr>
              <w:t>；</w:t>
            </w:r>
            <w:r>
              <w:rPr>
                <w:rFonts w:hint="eastAsia" w:ascii="Calibri" w:hAnsi="宋体" w:eastAsia="宋体" w:cstheme="minorHAnsi"/>
                <w:sz w:val="21"/>
              </w:rPr>
              <w:t>（最高限价7</w:t>
            </w:r>
            <w:r>
              <w:rPr>
                <w:rFonts w:ascii="Calibri" w:hAnsi="宋体" w:eastAsia="宋体" w:cstheme="minorHAnsi"/>
                <w:sz w:val="21"/>
              </w:rPr>
              <w:t>0000</w:t>
            </w:r>
            <w:r>
              <w:rPr>
                <w:rFonts w:hint="eastAsia" w:ascii="Calibri" w:hAnsi="宋体" w:eastAsia="宋体" w:cstheme="minorHAnsi"/>
                <w:sz w:val="21"/>
              </w:rPr>
              <w:t>元）</w:t>
            </w:r>
          </w:p>
        </w:tc>
      </w:tr>
      <w:tr w14:paraId="5EB7B6E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0F79C6DD">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DCEB844">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采购包七预算</w:t>
            </w:r>
          </w:p>
        </w:tc>
        <w:tc>
          <w:tcPr>
            <w:tcW w:w="5766" w:type="dxa"/>
            <w:shd w:val="clear" w:color="auto" w:fill="auto"/>
            <w:vAlign w:val="center"/>
          </w:tcPr>
          <w:p w14:paraId="0E7FFA73">
            <w:pPr>
              <w:spacing w:line="320" w:lineRule="exact"/>
              <w:jc w:val="both"/>
              <w:rPr>
                <w:rFonts w:ascii="Calibri" w:hAnsi="宋体" w:eastAsia="宋体" w:cstheme="minorHAnsi"/>
                <w:color w:val="C00000"/>
                <w:sz w:val="21"/>
                <w:u w:val="single"/>
              </w:rPr>
            </w:pPr>
            <w:r>
              <w:rPr>
                <w:rFonts w:ascii="Calibri" w:hAnsi="宋体" w:eastAsia="宋体" w:cstheme="minorHAnsi"/>
                <w:color w:val="C00000"/>
                <w:sz w:val="21"/>
                <w:u w:val="single"/>
              </w:rPr>
              <w:t>70000</w:t>
            </w:r>
            <w:r>
              <w:rPr>
                <w:rFonts w:ascii="Calibri" w:hAnsi="宋体" w:eastAsia="宋体" w:cstheme="minorHAnsi"/>
                <w:color w:val="C00000"/>
                <w:sz w:val="21"/>
              </w:rPr>
              <w:t>元</w:t>
            </w:r>
            <w:r>
              <w:rPr>
                <w:rFonts w:hint="eastAsia" w:ascii="Calibri" w:hAnsi="宋体" w:eastAsia="宋体" w:cstheme="minorHAnsi"/>
                <w:color w:val="C00000"/>
                <w:sz w:val="21"/>
              </w:rPr>
              <w:t>；</w:t>
            </w:r>
            <w:r>
              <w:rPr>
                <w:rFonts w:hint="eastAsia" w:ascii="Calibri" w:hAnsi="宋体" w:eastAsia="宋体" w:cstheme="minorHAnsi"/>
                <w:sz w:val="21"/>
              </w:rPr>
              <w:t>（最高限价7</w:t>
            </w:r>
            <w:r>
              <w:rPr>
                <w:rFonts w:ascii="Calibri" w:hAnsi="宋体" w:eastAsia="宋体" w:cstheme="minorHAnsi"/>
                <w:sz w:val="21"/>
              </w:rPr>
              <w:t>0000</w:t>
            </w:r>
            <w:r>
              <w:rPr>
                <w:rFonts w:hint="eastAsia" w:ascii="Calibri" w:hAnsi="宋体" w:eastAsia="宋体" w:cstheme="minorHAnsi"/>
                <w:sz w:val="21"/>
              </w:rPr>
              <w:t>元）</w:t>
            </w:r>
          </w:p>
        </w:tc>
      </w:tr>
      <w:tr w14:paraId="22FE21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48C556B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59CF1F0">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采购包八预算</w:t>
            </w:r>
          </w:p>
        </w:tc>
        <w:tc>
          <w:tcPr>
            <w:tcW w:w="5766" w:type="dxa"/>
            <w:shd w:val="clear" w:color="auto" w:fill="auto"/>
            <w:vAlign w:val="center"/>
          </w:tcPr>
          <w:p w14:paraId="00FA7243">
            <w:pPr>
              <w:spacing w:line="320" w:lineRule="exact"/>
              <w:jc w:val="both"/>
              <w:rPr>
                <w:rFonts w:ascii="Calibri" w:hAnsi="宋体" w:eastAsia="宋体" w:cstheme="minorHAnsi"/>
                <w:color w:val="C00000"/>
                <w:sz w:val="21"/>
                <w:u w:val="single"/>
              </w:rPr>
            </w:pPr>
            <w:r>
              <w:rPr>
                <w:rFonts w:ascii="Calibri" w:hAnsi="宋体" w:eastAsia="宋体" w:cstheme="minorHAnsi"/>
                <w:color w:val="C00000"/>
                <w:sz w:val="21"/>
                <w:u w:val="single"/>
              </w:rPr>
              <w:t>70000</w:t>
            </w:r>
            <w:r>
              <w:rPr>
                <w:rFonts w:ascii="Calibri" w:hAnsi="宋体" w:eastAsia="宋体" w:cstheme="minorHAnsi"/>
                <w:color w:val="C00000"/>
                <w:sz w:val="21"/>
              </w:rPr>
              <w:t>元</w:t>
            </w:r>
            <w:r>
              <w:rPr>
                <w:rFonts w:hint="eastAsia" w:ascii="Calibri" w:hAnsi="宋体" w:eastAsia="宋体" w:cstheme="minorHAnsi"/>
                <w:color w:val="C00000"/>
                <w:sz w:val="21"/>
              </w:rPr>
              <w:t>；</w:t>
            </w:r>
            <w:r>
              <w:rPr>
                <w:rFonts w:hint="eastAsia" w:ascii="Calibri" w:hAnsi="宋体" w:eastAsia="宋体" w:cstheme="minorHAnsi"/>
                <w:sz w:val="21"/>
              </w:rPr>
              <w:t>（最高限价7</w:t>
            </w:r>
            <w:r>
              <w:rPr>
                <w:rFonts w:ascii="Calibri" w:hAnsi="宋体" w:eastAsia="宋体" w:cstheme="minorHAnsi"/>
                <w:sz w:val="21"/>
              </w:rPr>
              <w:t>0000</w:t>
            </w:r>
            <w:r>
              <w:rPr>
                <w:rFonts w:hint="eastAsia" w:ascii="Calibri" w:hAnsi="宋体" w:eastAsia="宋体" w:cstheme="minorHAnsi"/>
                <w:sz w:val="21"/>
              </w:rPr>
              <w:t>元）</w:t>
            </w:r>
          </w:p>
        </w:tc>
      </w:tr>
      <w:tr w14:paraId="3E4808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47DD51D2">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098B58A">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采购包九预算</w:t>
            </w:r>
          </w:p>
        </w:tc>
        <w:tc>
          <w:tcPr>
            <w:tcW w:w="5766" w:type="dxa"/>
            <w:shd w:val="clear" w:color="auto" w:fill="auto"/>
            <w:vAlign w:val="center"/>
          </w:tcPr>
          <w:p w14:paraId="4D793737">
            <w:pPr>
              <w:spacing w:line="320" w:lineRule="exact"/>
              <w:jc w:val="both"/>
              <w:rPr>
                <w:color w:val="C00000"/>
                <w:sz w:val="21"/>
                <w:szCs w:val="21"/>
              </w:rPr>
            </w:pPr>
            <w:r>
              <w:rPr>
                <w:rFonts w:ascii="Calibri" w:hAnsi="宋体" w:eastAsia="宋体" w:cstheme="minorHAnsi"/>
                <w:color w:val="C00000"/>
                <w:sz w:val="21"/>
                <w:u w:val="single"/>
              </w:rPr>
              <w:t>50000</w:t>
            </w:r>
            <w:r>
              <w:rPr>
                <w:rFonts w:ascii="Calibri" w:hAnsi="宋体" w:eastAsia="宋体" w:cstheme="minorHAnsi"/>
                <w:color w:val="C00000"/>
                <w:sz w:val="21"/>
              </w:rPr>
              <w:t>元</w:t>
            </w:r>
            <w:r>
              <w:rPr>
                <w:rFonts w:hint="eastAsia" w:ascii="Calibri" w:hAnsi="宋体" w:eastAsia="宋体" w:cstheme="minorHAnsi"/>
                <w:color w:val="C00000"/>
                <w:sz w:val="21"/>
              </w:rPr>
              <w:t>；</w:t>
            </w:r>
            <w:r>
              <w:rPr>
                <w:rFonts w:hint="eastAsia" w:ascii="Calibri" w:hAnsi="宋体" w:eastAsia="宋体" w:cstheme="minorHAnsi"/>
                <w:sz w:val="21"/>
              </w:rPr>
              <w:t>（最高限价</w:t>
            </w:r>
            <w:r>
              <w:rPr>
                <w:rFonts w:ascii="Calibri" w:hAnsi="宋体" w:eastAsia="宋体" w:cstheme="minorHAnsi"/>
                <w:sz w:val="21"/>
              </w:rPr>
              <w:t>50000</w:t>
            </w:r>
            <w:r>
              <w:rPr>
                <w:rFonts w:hint="eastAsia" w:ascii="Calibri" w:hAnsi="宋体" w:eastAsia="宋体" w:cstheme="minorHAnsi"/>
                <w:sz w:val="21"/>
              </w:rPr>
              <w:t>元）</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5713A06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1D0D88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D71065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40C658F">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3DC1D910">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0B106DD">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32613423">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4AA0FCC2">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6232F1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0801E1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E1027A9">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0CCE522B">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磋商保证金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纸质响应文件份数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磋商时，供应商无需提供纸质响应文件；</w:t>
            </w:r>
          </w:p>
          <w:p w14:paraId="3A61785F">
            <w:pPr>
              <w:spacing w:line="320" w:lineRule="exact"/>
              <w:jc w:val="both"/>
              <w:rPr>
                <w:rFonts w:ascii="Calibri" w:hAnsi="宋体" w:eastAsia="宋体" w:cstheme="minorHAnsi"/>
                <w:sz w:val="21"/>
              </w:rPr>
            </w:pPr>
            <w:r>
              <w:rPr>
                <w:rFonts w:ascii="Calibri" w:hAnsi="宋体" w:eastAsia="宋体" w:cstheme="minorHAnsi"/>
                <w:sz w:val="21"/>
              </w:rPr>
              <w:t>成交后，成交供应商在领取成交通知书时提供一正两副。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见第一章「磋商邀请函」中的联系方式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见第一章「磋商邀请函」中的联系方式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同提交首次响应文件截止时间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eastAsia="宋体" w:cstheme="minorHAnsi"/>
                <w:sz w:val="21"/>
              </w:rPr>
            </w:pPr>
            <w:r>
              <w:rPr>
                <w:rFonts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163474F9">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w:t>
            </w:r>
            <w:r>
              <w:rPr>
                <w:rFonts w:hint="eastAsia" w:cstheme="minorHAnsi"/>
                <w:color w:val="595959" w:themeColor="text1" w:themeTint="A6"/>
                <w:sz w:val="21"/>
                <w:szCs w:val="21"/>
                <w14:textFill>
                  <w14:solidFill>
                    <w14:schemeClr w14:val="tx1">
                      <w14:lumMod w14:val="65000"/>
                      <w14:lumOff w14:val="35000"/>
                    </w14:schemeClr>
                  </w14:solidFill>
                </w14:textFill>
              </w:rPr>
              <w:t xml:space="preserve"> </w:t>
            </w:r>
            <w:r>
              <w:rPr>
                <w:rFonts w:cstheme="minorHAnsi"/>
                <w:color w:val="595959" w:themeColor="text1" w:themeTint="A6"/>
                <w:sz w:val="21"/>
                <w:szCs w:val="21"/>
                <w14:textFill>
                  <w14:solidFill>
                    <w14:schemeClr w14:val="tx1">
                      <w14:lumMod w14:val="65000"/>
                      <w14:lumOff w14:val="35000"/>
                    </w14:schemeClr>
                  </w14:solidFill>
                </w14:textFill>
              </w:rPr>
              <w:t>供应商的法定代表人或其授权代表无需到达”开标”现场，即可远程在线</w:t>
            </w:r>
            <w:r>
              <w:rPr>
                <w:rFonts w:hint="eastAsia" w:cstheme="minorHAnsi"/>
                <w:color w:val="595959" w:themeColor="text1" w:themeTint="A6"/>
                <w:sz w:val="21"/>
                <w:szCs w:val="21"/>
                <w14:textFill>
                  <w14:solidFill>
                    <w14:schemeClr w14:val="tx1">
                      <w14:lumMod w14:val="65000"/>
                      <w14:lumOff w14:val="35000"/>
                    </w14:schemeClr>
                  </w14:solidFill>
                </w14:textFill>
              </w:rPr>
              <w:t>实现</w:t>
            </w:r>
            <w:r>
              <w:rPr>
                <w:rFonts w:cstheme="minorHAnsi"/>
                <w:color w:val="595959" w:themeColor="text1" w:themeTint="A6"/>
                <w:sz w:val="21"/>
                <w:szCs w:val="21"/>
                <w14:textFill>
                  <w14:solidFill>
                    <w14:schemeClr w14:val="tx1">
                      <w14:lumMod w14:val="65000"/>
                      <w14:lumOff w14:val="35000"/>
                    </w14:schemeClr>
                  </w14:solidFill>
                </w14:textFill>
              </w:rPr>
              <w:t>“开标”</w:t>
            </w:r>
            <w:r>
              <w:rPr>
                <w:rFonts w:hint="eastAsia" w:cstheme="minorHAnsi"/>
                <w:color w:val="595959" w:themeColor="text1" w:themeTint="A6"/>
                <w:sz w:val="21"/>
                <w:szCs w:val="21"/>
                <w14:textFill>
                  <w14:solidFill>
                    <w14:schemeClr w14:val="tx1">
                      <w14:lumMod w14:val="65000"/>
                      <w14:lumOff w14:val="35000"/>
                    </w14:schemeClr>
                  </w14:solidFill>
                </w14:textFill>
              </w:rPr>
              <w:t>、解密、澄清等操作</w:t>
            </w:r>
            <w:r>
              <w:rPr>
                <w:rFonts w:cstheme="minorHAnsi"/>
                <w:color w:val="595959" w:themeColor="text1" w:themeTint="A6"/>
                <w:sz w:val="21"/>
                <w:szCs w:val="21"/>
                <w14:textFill>
                  <w14:solidFill>
                    <w14:schemeClr w14:val="tx1">
                      <w14:lumMod w14:val="65000"/>
                      <w14:lumOff w14:val="35000"/>
                    </w14:schemeClr>
                  </w14:solidFill>
                </w14:textFill>
              </w:rPr>
              <w:t>。</w:t>
            </w:r>
          </w:p>
          <w:p w14:paraId="75783617">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供应商的法定代表人或其授权代表应当持有效身份证件在协商时间前抵达“开标”现场，并在现场专用机上完成解密、澄清等操作。</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其他未列明行业（包括科学研究和技术服务业，水利、环境和公共设施管理业，居民服务、修理和其他服务业，社会工作，文化、体育和娱乐业等）</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成交通知书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ascii="Calibri" w:hAnsi="Calibri" w:eastAsia="宋体" w:cstheme="minorHAnsi"/>
                <w:sz w:val="21"/>
              </w:rPr>
              <w:t>领取时间及方式见成交公告。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14:paraId="3DC0236E"/>
    <w:p w14:paraId="44152FC5">
      <w:pPr>
        <w:rPr>
          <w:rFonts w:ascii="Calibri" w:hAnsi="Calibri" w:eastAsia="黑体" w:cstheme="majorBidi"/>
          <w:bCs/>
          <w:iCs/>
          <w:kern w:val="32"/>
          <w:sz w:val="28"/>
          <w:szCs w:val="28"/>
        </w:rPr>
      </w:pPr>
      <w:r>
        <w:br w:type="page"/>
      </w:r>
    </w:p>
    <w:p w14:paraId="3669E3A3">
      <w:pPr>
        <w:pStyle w:val="3"/>
        <w:jc w:val="both"/>
      </w:pPr>
      <w:r>
        <w:t>一、有关定义</w:t>
      </w:r>
    </w:p>
    <w:p w14:paraId="174EA960">
      <w:pPr>
        <w:ind w:firstLine="480" w:firstLineChars="200"/>
        <w:jc w:val="both"/>
        <w:rPr>
          <w:rFonts w:cstheme="minorHAnsi"/>
        </w:rPr>
      </w:pPr>
      <w:r>
        <w:rPr>
          <w:rFonts w:hint="eastAsia" w:cstheme="minorHAnsi"/>
        </w:rPr>
        <w:t>1．采购人：依法进行政府采购的西安市市级机关、事业单位或团体组织。</w:t>
      </w:r>
    </w:p>
    <w:p w14:paraId="7DF98CC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C49474">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039F545">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0E7569EA">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hint="eastAsia"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0C993A48">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3199EEC6">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下载电子磋商</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免费获取本项目电子磋商文件（*.SXSZF），</w:t>
      </w:r>
      <w:r>
        <w:rPr>
          <w:rFonts w:hint="eastAsia"/>
        </w:rPr>
        <w:t>详见第一章「获取磋商文件</w:t>
      </w:r>
      <w:r>
        <w:t>的</w:t>
      </w:r>
      <w:r>
        <w:rPr>
          <w:rFonts w:hint="eastAsia"/>
        </w:rPr>
        <w:t>时间及</w:t>
      </w:r>
      <w:r>
        <w:t>方式</w:t>
      </w:r>
      <w:r>
        <w:rPr>
          <w:rFonts w:hint="eastAsia"/>
        </w:rPr>
        <w:t>」。</w:t>
      </w:r>
      <w:r>
        <w:rPr>
          <w:rFonts w:cstheme="minorHAnsi"/>
          <w:color w:val="C00000"/>
        </w:rPr>
        <w:t>请务必在采购文件获取期限内及时下载电子磋商文件并做好备份，逾期无法再下载！</w:t>
      </w:r>
    </w:p>
    <w:p w14:paraId="7969DF98">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6DB3B6DD">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4068C746">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开启</w:t>
      </w:r>
      <w:r>
        <w:rPr>
          <w:rFonts w:cstheme="minorHAnsi"/>
        </w:rPr>
        <w:t>」一节相关内容。</w:t>
      </w:r>
    </w:p>
    <w:p w14:paraId="69400206">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开启</w:t>
      </w:r>
      <w:r>
        <w:rPr>
          <w:rFonts w:cstheme="minorHAnsi"/>
        </w:rPr>
        <w:t>」一节相关内容。</w:t>
      </w:r>
    </w:p>
    <w:p w14:paraId="579A7E70">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w:t>
      </w:r>
      <w:bookmarkStart w:id="15" w:name="OLE_LINK9"/>
      <w:bookmarkStart w:id="16" w:name="OLE_LINK10"/>
      <w:r>
        <w:rPr>
          <w:rFonts w:hint="eastAsia"/>
          <w:color w:val="C00000"/>
        </w:rPr>
        <w:t>采购文件公告期限届满之日</w:t>
      </w:r>
      <w:bookmarkEnd w:id="15"/>
      <w:bookmarkEnd w:id="16"/>
      <w:r>
        <w:rPr>
          <w:rFonts w:hint="eastAsia"/>
          <w:color w:val="C00000"/>
        </w:rPr>
        <w:t>。</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质疑函没有合法有效的签字、盖章或委托授权书的（委托授权代表提出质疑和投诉，应当提交供应商签署的委托授权书）；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rFonts w:hint="eastAsia"/>
          <w:b/>
        </w:rPr>
        <w:t>磋商</w:t>
      </w:r>
      <w:r>
        <w:rPr>
          <w:b/>
        </w:rPr>
        <w:t>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按照西安市财政局《关于促进政府采购公平竞争优化营商环境的通知》第三条规定，供应商参与西安市政府采购活动时，免交磋商保证金。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保函申请人须与供应商名称一致。若供应商为联合体形式，原则上可由联合体任意一方或多方作为保函申请人，然而对于电子保函，目前只能由下载电子磋商文件的一方作为保函申请人。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财政部门审核同意购买进口产品的，磋商文件将明确载明“允许</w:t>
      </w:r>
      <w:r>
        <w:rPr>
          <w:rFonts w:cstheme="minorHAnsi"/>
        </w:rPr>
        <w:t>进口产品参与</w:t>
      </w:r>
      <w:r>
        <w:rPr>
          <w:rFonts w:hint="eastAsia" w:cstheme="minorHAnsi"/>
        </w:rPr>
        <w:t>”，此时满足磋商文件要求的国产产品仍然可以参与竞争；否则，视为拒绝进口产品参与，供应商以进口产品参与磋商时，将作无效响应处理。</w:t>
      </w:r>
    </w:p>
    <w:p w14:paraId="0757EB72">
      <w:pPr>
        <w:pStyle w:val="4"/>
        <w:ind w:firstLine="482"/>
      </w:pPr>
      <w:r>
        <w:t>（五）</w:t>
      </w:r>
      <w:r>
        <w:rPr>
          <w:rFonts w:hint="eastAsia"/>
        </w:rPr>
        <w:t>关于政府采购</w:t>
      </w:r>
      <w:r>
        <w:t>政策</w:t>
      </w:r>
    </w:p>
    <w:p w14:paraId="45D8A6C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238383B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07604E96">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14B37AD4">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447BE28B">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5FAECBEE">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FD256B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53553126">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4B5F04">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1488D8A0">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60EB2021">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373C800F">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（工程</w:t>
      </w:r>
      <w:r>
        <w:rPr>
          <w:rFonts w:cstheme="minorHAnsi"/>
        </w:rPr>
        <w:t>项目为3%~5%</w:t>
      </w:r>
      <w:r>
        <w:rPr>
          <w:rFonts w:hint="eastAsia"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，用扣除后的价格参加评审。未按要求提供《中小企业声明函》\《监狱企业证明函》\《残疾人福利性单位声明函》的，不能享受磋商文件规定的价格扣除，但不影响响应文件的有效性。</w:t>
      </w:r>
    </w:p>
    <w:p w14:paraId="270992C5">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针对专门面向中小企业的采购：仅限符合中小企业划分标准确定的中型企业、小型企业和微型企业参与。未按要求提供《中小企业声明函》\《监狱企业证明函》\《残疾人福利性单位声明函》的，响应无效。</w:t>
      </w:r>
    </w:p>
    <w:p w14:paraId="355068CF">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针对专门面向小型、微型企业的采购：仅限符合中小企业划分标准确定的小型企业、微型企业参与。未按要求提供《中小企业声明函》\《监狱企业证明函》\《残疾人福利性单位声明函》的，响应无效。</w:t>
      </w:r>
    </w:p>
    <w:p w14:paraId="6F0BA031">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2B868CDB">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63D687B2">
      <w:pPr>
        <w:ind w:firstLine="480" w:firstLineChars="200"/>
        <w:jc w:val="both"/>
        <w:rPr>
          <w:rFonts w:cstheme="minorHAnsi"/>
        </w:rPr>
      </w:pPr>
      <w:r>
        <w:rPr>
          <w:rFonts w:hint="eastAsia" w:cstheme="minorHAnsi"/>
        </w:rPr>
        <w:t>（1）本国产品标准</w:t>
      </w:r>
    </w:p>
    <w:p w14:paraId="3820A536">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576ED185">
      <w:pPr>
        <w:ind w:firstLine="480" w:firstLineChars="200"/>
        <w:textAlignment w:val="baseline"/>
        <w:rPr>
          <w:rFonts w:cstheme="minorHAnsi"/>
        </w:rPr>
      </w:pPr>
      <w:r>
        <w:rPr>
          <w:rFonts w:asciiTheme="minorEastAsia" w:hAnsiTheme="minorEastAsia" w:cstheme="minorHAnsi"/>
        </w:rPr>
        <w:t>①</w:t>
      </w:r>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168D167">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3D364073">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6553420F">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61A21D3">
      <w:pPr>
        <w:ind w:firstLine="480" w:firstLineChars="200"/>
        <w:jc w:val="both"/>
        <w:rPr>
          <w:rFonts w:cstheme="minorHAnsi"/>
        </w:rPr>
      </w:pPr>
      <w:r>
        <w:rPr>
          <w:rFonts w:hint="eastAsia" w:cstheme="minorHAnsi"/>
        </w:rPr>
        <w:t>（2）适用范围</w:t>
      </w:r>
    </w:p>
    <w:p w14:paraId="73907676">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1D92C5">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71943374">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5D86E991">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BB4668">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7A88B861">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6A164EB5">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74D65E20">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5EE5F2CD">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14:paraId="36A08202">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46A850E8">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234A760">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7905F892">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4317014E">
      <w:pPr>
        <w:wordWrap w:val="0"/>
        <w:ind w:firstLine="480" w:firstLineChars="200"/>
        <w:jc w:val="both"/>
        <w:rPr>
          <w:rFonts w:cstheme="minorBidi"/>
        </w:rPr>
      </w:pPr>
      <w:r>
        <w:rPr>
          <w:rFonts w:hint="eastAsia" w:cstheme="minorHAnsi"/>
        </w:rPr>
        <w:t>1．</w:t>
      </w:r>
      <w:r>
        <w:rPr>
          <w:rFonts w:cstheme="minorBidi"/>
        </w:rPr>
        <w:t>提供相同品牌产品</w:t>
      </w:r>
      <w:r>
        <w:rPr>
          <w:rFonts w:hint="eastAsia" w:cstheme="minorBidi"/>
        </w:rPr>
        <w:t>且通过资格审查、符合性审查的不同供应商</w:t>
      </w:r>
      <w:r>
        <w:rPr>
          <w:rFonts w:cstheme="minorBidi"/>
        </w:rPr>
        <w:t>参加同一合同项下</w:t>
      </w:r>
      <w:r>
        <w:rPr>
          <w:rFonts w:hint="eastAsia" w:cstheme="minorBidi"/>
        </w:rPr>
        <w:t>磋商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63057E1D">
      <w:pPr>
        <w:wordWrap w:val="0"/>
        <w:ind w:firstLine="480" w:firstLineChars="200"/>
        <w:jc w:val="both"/>
        <w:rPr>
          <w:rFonts w:cstheme="minorBidi"/>
        </w:rPr>
      </w:pPr>
      <w:r>
        <w:rPr>
          <w:rFonts w:cstheme="minorHAnsi"/>
        </w:rPr>
        <w:t>2</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w:t>
      </w:r>
      <w:r>
        <w:rPr>
          <w:rFonts w:cstheme="minorBidi"/>
        </w:rPr>
        <w:t>按照</w:t>
      </w:r>
      <w:r>
        <w:rPr>
          <w:rFonts w:hint="eastAsia" w:cstheme="minorBidi"/>
        </w:rPr>
        <w:t>前一款规定处理</w:t>
      </w:r>
      <w:r>
        <w:rPr>
          <w:rFonts w:cstheme="minorBidi"/>
        </w:rPr>
        <w:t>。</w:t>
      </w:r>
      <w:r>
        <w:rPr>
          <w:rFonts w:hint="eastAsia" w:cstheme="minorBidi"/>
        </w:rPr>
        <w:t>未见载明时，视为不设置核心产品。</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磋商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磋商文件中不一致的内容，以答疑纪要为准。凡未参加现场踏勘或集中答疑的供应商，由此造成的偏差由各供应商自行负责。</w:t>
      </w:r>
    </w:p>
    <w:p w14:paraId="7EFE53F7">
      <w:pPr>
        <w:pStyle w:val="4"/>
      </w:pPr>
      <w:r>
        <w:t>（十）关于联合体</w:t>
      </w:r>
    </w:p>
    <w:p w14:paraId="5CDDB123">
      <w:pPr>
        <w:ind w:firstLine="480" w:firstLineChars="200"/>
        <w:jc w:val="both"/>
      </w:pPr>
      <w:r>
        <w:rPr>
          <w:rFonts w:hint="eastAsia"/>
        </w:rPr>
        <w:t>1．本章「前附表」中明确注明接受联合体的，两个以上的自然人、法人或者其他组织可以组成一个联合体，以一个供应商的身份共同参加政府采购。</w:t>
      </w:r>
    </w:p>
    <w:p w14:paraId="3FE1621C">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14:paraId="447D9035">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0121866">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713EBE0B">
      <w:pPr>
        <w:ind w:firstLine="480" w:firstLineChars="200"/>
        <w:jc w:val="both"/>
      </w:pPr>
      <w:r>
        <w:rPr>
          <w:rFonts w:hint="eastAsia"/>
        </w:rPr>
        <w:t>5．商务响应的评审：采购项目以业绩、奖项作为加分或成</w:t>
      </w:r>
      <w:r>
        <w:rPr>
          <w:rFonts w:hint="eastAsia"/>
          <w:w w:val="1"/>
        </w:rPr>
        <w:t>　</w:t>
      </w:r>
      <w:r>
        <w:rPr>
          <w:rFonts w:hint="eastAsia"/>
        </w:rPr>
        <w:t>交条件时，联合体成员中只要有一方具有相应的业绩、奖项即可。联合体成员间出现同一业绩或同一奖项的，不重复计算。</w:t>
      </w:r>
    </w:p>
    <w:p w14:paraId="0F0DA6A8">
      <w:pPr>
        <w:ind w:firstLine="480" w:firstLineChars="200"/>
        <w:jc w:val="both"/>
      </w:pPr>
      <w:r>
        <w:rPr>
          <w:rFonts w:hint="eastAsia"/>
        </w:rPr>
        <w:t>6．联合体可享受的中小企业优惠政策：</w:t>
      </w:r>
    </w:p>
    <w:p w14:paraId="19BF3BD9">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w:t>
      </w:r>
      <w:r>
        <w:rPr>
          <w:rFonts w:hint="eastAsia"/>
        </w:rPr>
        <w:t>应无效。</w:t>
      </w:r>
    </w:p>
    <w:p w14:paraId="5867ABE1">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1C39AB7C">
      <w:pPr>
        <w:ind w:firstLine="480" w:firstLineChars="200"/>
        <w:jc w:val="both"/>
      </w:pPr>
      <w:r>
        <w:rPr>
          <w:rFonts w:hint="eastAsia"/>
        </w:rPr>
        <w:t>7．联合体出现下列情形之一的，响</w:t>
      </w:r>
      <w:r>
        <w:rPr>
          <w:rFonts w:hint="eastAsia"/>
          <w:w w:val="1"/>
        </w:rPr>
        <w:t>　</w:t>
      </w:r>
      <w:r>
        <w:rPr>
          <w:rFonts w:hint="eastAsia"/>
        </w:rPr>
        <w:t>应无效：</w:t>
      </w:r>
    </w:p>
    <w:p w14:paraId="6B74783B">
      <w:pPr>
        <w:ind w:firstLine="480" w:firstLineChars="200"/>
        <w:jc w:val="both"/>
      </w:pPr>
      <w:r>
        <w:rPr>
          <w:rFonts w:hint="eastAsia"/>
        </w:rPr>
        <w:t>（1）联合体没有提交有效的联合协议的；</w:t>
      </w:r>
    </w:p>
    <w:p w14:paraId="6E355482">
      <w:pPr>
        <w:ind w:firstLine="480" w:firstLineChars="200"/>
        <w:jc w:val="both"/>
      </w:pPr>
      <w:r>
        <w:rPr>
          <w:rFonts w:hint="eastAsia"/>
        </w:rPr>
        <w:t xml:space="preserve">（2）进行资格预审的项目，资格预审后联合体增减、更换成员的； </w:t>
      </w:r>
    </w:p>
    <w:p w14:paraId="2C2A0C41">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hint="eastAsia"/>
        </w:rPr>
        <w:t>磋商</w:t>
      </w:r>
      <w:r>
        <w:rPr>
          <w:rFonts w:cstheme="minorBidi"/>
        </w:rPr>
        <w:t>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三、磋商文件</w:t>
      </w:r>
    </w:p>
    <w:p w14:paraId="57027355">
      <w:pPr>
        <w:pStyle w:val="4"/>
        <w:ind w:firstLine="482"/>
      </w:pPr>
      <w:r>
        <w:t>（一）磋商</w:t>
      </w:r>
      <w:r>
        <w:rPr>
          <w:rFonts w:hint="eastAsia"/>
        </w:rPr>
        <w:t>文件的解释权</w:t>
      </w:r>
    </w:p>
    <w:p w14:paraId="140F6F8E">
      <w:pPr>
        <w:ind w:firstLine="480" w:firstLineChars="200"/>
        <w:jc w:val="both"/>
        <w:rPr>
          <w:rFonts w:cstheme="minorHAnsi"/>
        </w:rPr>
      </w:pPr>
      <w:r>
        <w:rPr>
          <w:rFonts w:cstheme="minorHAnsi"/>
        </w:rPr>
        <w:t>本项目磋商文件的解释权</w:t>
      </w:r>
      <w:r>
        <w:rPr>
          <w:rFonts w:hint="eastAsia" w:cstheme="minorHAnsi"/>
        </w:rPr>
        <w:t>归采购代理机构，磋商小组成员应根据政府采购法律法规和</w:t>
      </w:r>
      <w:r>
        <w:rPr>
          <w:rFonts w:cstheme="minorHAnsi"/>
        </w:rPr>
        <w:t>磋商</w:t>
      </w:r>
      <w:r>
        <w:rPr>
          <w:rFonts w:hint="eastAsia" w:cstheme="minorHAnsi"/>
        </w:rPr>
        <w:t>文件所载明的评审方法、标准进行评审。</w:t>
      </w:r>
    </w:p>
    <w:p w14:paraId="2F374EBD">
      <w:pPr>
        <w:pStyle w:val="4"/>
        <w:ind w:firstLine="482"/>
      </w:pPr>
      <w:r>
        <w:t>（二）磋商文件主要内容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磋商邀请函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磋商内容及要求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w:t>
      </w:r>
      <w:r>
        <w:rPr>
          <w:rFonts w:hint="eastAsia" w:cstheme="minorHAnsi"/>
        </w:rPr>
        <w:t>草案条款</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响应</w:t>
      </w:r>
      <w:r>
        <w:rPr>
          <w:rFonts w:cstheme="minorHAnsi"/>
        </w:rPr>
        <w:t>文件构成及格式</w:t>
      </w:r>
    </w:p>
    <w:p w14:paraId="604A09AD">
      <w:pPr>
        <w:pStyle w:val="4"/>
        <w:ind w:firstLine="482"/>
      </w:pPr>
      <w:r>
        <w:t>（三）磋商文件的检查及阅读</w:t>
      </w:r>
    </w:p>
    <w:p w14:paraId="136227A3">
      <w:pPr>
        <w:ind w:firstLine="480" w:firstLineChars="200"/>
        <w:jc w:val="both"/>
        <w:rPr>
          <w:rFonts w:cstheme="minorHAnsi"/>
        </w:rPr>
      </w:pPr>
      <w:r>
        <w:rPr>
          <w:rFonts w:cstheme="minorHAnsi"/>
        </w:rPr>
        <w:t>供应商应认真阅读和充分理解磋商文件中所有的事项、格式条款和规范要求，在响应文件中对磋商文件做出全面响</w:t>
      </w:r>
      <w:r>
        <w:rPr>
          <w:rFonts w:cstheme="minorHAnsi"/>
          <w:w w:val="1"/>
        </w:rPr>
        <w:t xml:space="preserve"> </w:t>
      </w:r>
      <w:r>
        <w:rPr>
          <w:rFonts w:cstheme="minorHAnsi"/>
        </w:rPr>
        <w:t>应，并按磋商文件的要求提交全部资料。</w:t>
      </w:r>
    </w:p>
    <w:p w14:paraId="3797605F">
      <w:pPr>
        <w:ind w:firstLine="480" w:firstLineChars="200"/>
        <w:jc w:val="both"/>
        <w:rPr>
          <w:rFonts w:cstheme="minorHAnsi"/>
        </w:rPr>
      </w:pPr>
      <w:r>
        <w:rPr>
          <w:rFonts w:cstheme="minorHAnsi"/>
        </w:rPr>
        <w:t>项目废标后重新组织磋商的，采购代理机构将重新编制、发布新的磋商文件，供应商应按新版磋商文件重新编制响应文件。原磋商文件及响应文件失效。</w:t>
      </w:r>
    </w:p>
    <w:p w14:paraId="4558F347">
      <w:pPr>
        <w:pStyle w:val="4"/>
        <w:ind w:firstLine="482"/>
      </w:pPr>
      <w:r>
        <w:t>（四）磋商文件的修改、澄清</w:t>
      </w:r>
    </w:p>
    <w:p w14:paraId="0079D1AC">
      <w:pPr>
        <w:ind w:firstLine="480" w:firstLineChars="200"/>
        <w:jc w:val="both"/>
        <w:rPr>
          <w:rFonts w:cstheme="minorHAnsi"/>
        </w:rPr>
      </w:pPr>
      <w:r>
        <w:rPr>
          <w:rFonts w:hint="eastAsia" w:cstheme="minorHAnsi"/>
        </w:rPr>
        <w:t>1．提交首次响应文件截止之日前，采购人或采购代理机构可能对已发出的磋商文件进行澄清或者修改，</w:t>
      </w:r>
      <w:r>
        <w:rPr>
          <w:rFonts w:cstheme="minorHAnsi"/>
        </w:rPr>
        <w:t>澄清或者修改的内容为</w:t>
      </w:r>
      <w:r>
        <w:rPr>
          <w:rFonts w:hint="eastAsia" w:cstheme="minorHAnsi"/>
        </w:rPr>
        <w:t>磋商</w:t>
      </w:r>
      <w:r>
        <w:rPr>
          <w:rFonts w:cstheme="minorHAnsi"/>
        </w:rPr>
        <w:t>文件的组成部分。</w:t>
      </w:r>
    </w:p>
    <w:p w14:paraId="5C6D7605">
      <w:pPr>
        <w:ind w:firstLine="480" w:firstLineChars="200"/>
        <w:jc w:val="both"/>
        <w:rPr>
          <w:rFonts w:cstheme="minorHAnsi"/>
        </w:rPr>
      </w:pPr>
      <w:r>
        <w:rPr>
          <w:rFonts w:hint="eastAsia" w:cstheme="minorHAnsi"/>
        </w:rPr>
        <w:t>2．当需要澄清或修改时，</w:t>
      </w:r>
      <w:r>
        <w:rPr>
          <w:rFonts w:cstheme="minorHAnsi"/>
        </w:rPr>
        <w:t>采购代理机构将在提交首次响应文件截止之日3个工作日前，在财政部门指定的</w:t>
      </w:r>
      <w:r>
        <w:rPr>
          <w:rFonts w:hint="eastAsia" w:cstheme="minorHAnsi"/>
        </w:rPr>
        <w:t>“</w:t>
      </w:r>
      <w:r>
        <w:rPr>
          <w:rFonts w:hint="eastAsia" w:cstheme="minorHAnsi"/>
          <w:color w:val="7030A0"/>
        </w:rPr>
        <w:t>政府采购信息发布媒体</w:t>
      </w:r>
      <w:r>
        <w:rPr>
          <w:rFonts w:hint="eastAsia" w:cstheme="minorHAnsi"/>
        </w:rPr>
        <w:t>”</w:t>
      </w:r>
      <w:r>
        <w:rPr>
          <w:rFonts w:cstheme="minorHAnsi"/>
        </w:rPr>
        <w:t>上</w:t>
      </w:r>
      <w:r>
        <w:rPr>
          <w:rFonts w:cstheme="minorHAnsi"/>
          <w:color w:val="C00000"/>
        </w:rPr>
        <w:t>发布变更公告</w:t>
      </w:r>
      <w:r>
        <w:rPr>
          <w:rFonts w:cstheme="minorHAnsi"/>
        </w:rPr>
        <w:t>；不足3个工作日的，将顺延提交首次响应文件的截止时间。</w:t>
      </w:r>
    </w:p>
    <w:p w14:paraId="6E55830B">
      <w:pPr>
        <w:ind w:firstLine="480" w:firstLineChars="200"/>
        <w:jc w:val="both"/>
        <w:rPr>
          <w:rFonts w:cstheme="minorHAnsi"/>
        </w:rPr>
      </w:pPr>
      <w:r>
        <w:rPr>
          <w:rFonts w:hint="eastAsia" w:cstheme="minorHAnsi"/>
        </w:rPr>
        <w:t>3．澄清或修改的内容可能影响响应文件编制时，采购代理机构将在发布变更公告的同时，提醒供应商下载</w:t>
      </w:r>
      <w:r>
        <w:rPr>
          <w:rFonts w:cstheme="minorHAnsi"/>
        </w:rPr>
        <w:t>答疑文件（*.SXSCF，即更新后的电子磋商文件）。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〉答疑文件下载〗获取更新后的电子磋商文件（*.SXSCF），使用旧版电子磋商文件制作的电子响应文件（*.SXSTF），系统将拒绝接收。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14:paraId="76A1CFDA">
      <w:pPr>
        <w:pStyle w:val="3"/>
      </w:pPr>
      <w:r>
        <w:t>四、响应文件</w:t>
      </w:r>
    </w:p>
    <w:p w14:paraId="38AFDCFA">
      <w:pPr>
        <w:pStyle w:val="4"/>
        <w:ind w:firstLine="482"/>
      </w:pPr>
      <w:r>
        <w:rPr>
          <w:rFonts w:hint="eastAsia"/>
        </w:rPr>
        <w:t>（一）响应文件</w:t>
      </w:r>
      <w:r>
        <w:t>的式样</w:t>
      </w:r>
    </w:p>
    <w:p w14:paraId="4DBD232F">
      <w:pPr>
        <w:pStyle w:val="81"/>
        <w:ind w:firstLine="480"/>
      </w:pPr>
      <w:r>
        <w:t>1</w:t>
      </w:r>
      <w:r>
        <w:rPr>
          <w:rFonts w:hint="eastAsia"/>
          <w:color w:val="auto"/>
        </w:rPr>
        <w:t>．</w:t>
      </w:r>
      <w:r>
        <w:rPr>
          <w:rFonts w:hint="eastAsia"/>
        </w:rPr>
        <w:t>组成</w:t>
      </w:r>
      <w:r>
        <w:t>及格式</w:t>
      </w:r>
    </w:p>
    <w:p w14:paraId="6BFB9D09">
      <w:pPr>
        <w:pStyle w:val="81"/>
        <w:ind w:firstLine="480"/>
      </w:pPr>
      <w:r>
        <w:t>供应商依照磋商文件</w:t>
      </w:r>
      <w:r>
        <w:rPr>
          <w:color w:val="C00000"/>
        </w:rPr>
        <w:t>第五章《响应文件构成及格式》</w:t>
      </w:r>
      <w:r>
        <w:t>给定形式进行编制响应</w:t>
      </w:r>
      <w:r>
        <w:rPr>
          <w:rFonts w:hint="eastAsia"/>
        </w:rPr>
        <w:t>文件</w:t>
      </w:r>
      <w:r>
        <w:t>。项目分</w:t>
      </w:r>
      <w:r>
        <w:rPr>
          <w:rFonts w:hint="eastAsia"/>
        </w:rPr>
        <w:t>采购包</w:t>
      </w:r>
      <w:r>
        <w:t>的，应按所投</w:t>
      </w:r>
      <w:r>
        <w:rPr>
          <w:rFonts w:hint="eastAsia"/>
          <w:w w:val="1"/>
        </w:rPr>
        <w:t xml:space="preserve"> </w:t>
      </w:r>
      <w:r>
        <w:rPr>
          <w:rFonts w:hint="eastAsia"/>
        </w:rPr>
        <w:t>采购包</w:t>
      </w:r>
      <w:r>
        <w:t>分别准备响应文件。</w:t>
      </w:r>
    </w:p>
    <w:p w14:paraId="2EC44FBE">
      <w:pPr>
        <w:pStyle w:val="81"/>
        <w:ind w:firstLine="480"/>
      </w:pPr>
      <w:r>
        <w:rPr>
          <w:rFonts w:hint="eastAsia"/>
        </w:rPr>
        <w:t>2</w:t>
      </w:r>
      <w:r>
        <w:rPr>
          <w:rFonts w:hint="eastAsia"/>
          <w:color w:val="auto"/>
        </w:rPr>
        <w:t>．</w:t>
      </w:r>
      <w:r>
        <w:rPr>
          <w:rFonts w:hint="eastAsia"/>
        </w:rPr>
        <w:t>语言</w:t>
      </w:r>
    </w:p>
    <w:p w14:paraId="3C33EE09">
      <w:pPr>
        <w:pStyle w:val="81"/>
        <w:ind w:firstLine="480"/>
      </w:pPr>
      <w:r>
        <w:rPr>
          <w:rFonts w:hint="eastAsia"/>
        </w:rPr>
        <w:t>磋商活动的所有文件、资料、函电文字均使用简体中文，确需提交用其他语言形成的资料，必须翻译成简体中文，如有差异，以简体中文为准。</w:t>
      </w:r>
    </w:p>
    <w:p w14:paraId="2F3FAA15">
      <w:pPr>
        <w:pStyle w:val="81"/>
        <w:ind w:firstLine="480"/>
      </w:pPr>
      <w:r>
        <w:rPr>
          <w:rFonts w:hint="eastAsia"/>
        </w:rPr>
        <w:t>3</w:t>
      </w:r>
      <w:r>
        <w:rPr>
          <w:rFonts w:hint="eastAsia"/>
          <w:color w:val="auto"/>
        </w:rPr>
        <w:t>．</w:t>
      </w:r>
      <w:r>
        <w:t>计量单位</w:t>
      </w:r>
    </w:p>
    <w:p w14:paraId="386CC72A">
      <w:pPr>
        <w:pStyle w:val="81"/>
        <w:ind w:firstLine="480"/>
      </w:pPr>
      <w:r>
        <w:rPr>
          <w:rFonts w:hint="eastAsia"/>
        </w:rPr>
        <w:t>响应文件的计量单位应使用中华人民共和国法定计量单位，但磋商文件另有规定的除外。</w:t>
      </w:r>
    </w:p>
    <w:p w14:paraId="40216070">
      <w:pPr>
        <w:pStyle w:val="4"/>
        <w:ind w:firstLine="482"/>
      </w:pPr>
      <w:r>
        <w:rPr>
          <w:rFonts w:hint="eastAsia"/>
        </w:rPr>
        <w:t>（二）响应文件</w:t>
      </w:r>
      <w:r>
        <w:t>的有效期</w:t>
      </w:r>
    </w:p>
    <w:p w14:paraId="5B7D7BC8">
      <w:pPr>
        <w:pStyle w:val="81"/>
        <w:ind w:firstLine="480"/>
      </w:pPr>
      <w:r>
        <w:rPr>
          <w:rFonts w:hint="eastAsia"/>
        </w:rPr>
        <w:t>响应文件有效期为</w:t>
      </w:r>
      <w:r>
        <w:rPr>
          <w:rFonts w:hint="eastAsia"/>
          <w:color w:val="C00000"/>
        </w:rPr>
        <w:t>自磋商开启之日起不少于</w:t>
      </w:r>
      <w:r>
        <w:rPr>
          <w:color w:val="C00000"/>
        </w:rPr>
        <w:t>90个日历日</w:t>
      </w:r>
      <w:r>
        <w:t>。如成交，延长至合同执行完毕时止。</w:t>
      </w:r>
    </w:p>
    <w:p w14:paraId="7802925A">
      <w:pPr>
        <w:pStyle w:val="4"/>
        <w:ind w:firstLine="482"/>
      </w:pPr>
      <w:r>
        <w:rPr>
          <w:rFonts w:hint="eastAsia"/>
        </w:rPr>
        <w:t>（三）磋商</w:t>
      </w:r>
      <w:r>
        <w:t>报价</w:t>
      </w:r>
    </w:p>
    <w:p w14:paraId="15B579B7">
      <w:pPr>
        <w:pStyle w:val="81"/>
        <w:ind w:firstLine="480"/>
      </w:pPr>
      <w:r>
        <w:rPr>
          <w:rFonts w:hint="eastAsia"/>
        </w:rPr>
        <w:t>磋商报价是供应商响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1"/>
        <w:ind w:firstLine="480"/>
      </w:pPr>
      <w:r>
        <w:rPr>
          <w:rFonts w:hint="eastAsia"/>
        </w:rPr>
        <w:t>1</w:t>
      </w:r>
      <w:r>
        <w:rPr>
          <w:rFonts w:hint="eastAsia"/>
          <w:color w:val="auto"/>
        </w:rPr>
        <w:t>．</w:t>
      </w:r>
      <w:r>
        <w:rPr>
          <w:rFonts w:hint="eastAsia"/>
        </w:rPr>
        <w:t>供应商在报价时应充分考虑所有可能发生的费用，磋商文件未列明，而供应商认为应当计取的费用均应列入报价中。报价时不论是否计取，采购人均按已计取对待。</w:t>
      </w:r>
    </w:p>
    <w:p w14:paraId="39275893">
      <w:pPr>
        <w:pStyle w:val="81"/>
        <w:ind w:firstLine="480"/>
      </w:pPr>
      <w:r>
        <w:rPr>
          <w:rFonts w:hint="eastAsia"/>
        </w:rPr>
        <w:t>2</w:t>
      </w:r>
      <w:r>
        <w:rPr>
          <w:rFonts w:hint="eastAsia"/>
          <w:color w:val="auto"/>
        </w:rPr>
        <w:t>．</w:t>
      </w:r>
      <w:r>
        <w:rPr>
          <w:rFonts w:hint="eastAsia"/>
        </w:rPr>
        <w:t>磋商项目实行多轮报价（一般情况下为两次），每轮报价只能提交唯一报价，任何有选择的报价都将不予接受，其响应文件视为无效文件。</w:t>
      </w:r>
    </w:p>
    <w:p w14:paraId="6CA3FA43">
      <w:pPr>
        <w:pStyle w:val="81"/>
        <w:ind w:firstLine="480"/>
      </w:pPr>
      <w:r>
        <w:t>（</w:t>
      </w:r>
      <w:r>
        <w:rPr>
          <w:rFonts w:hint="eastAsia"/>
        </w:rPr>
        <w:t>1</w:t>
      </w:r>
      <w:r>
        <w:t>）第一次报价：</w:t>
      </w:r>
      <w:r>
        <w:rPr>
          <w:rFonts w:hint="eastAsia"/>
        </w:rPr>
        <w:t>供应商应按照响应文件「第一次磋商报价表」中的相关要求填写分类报价及其他需要响应的内容。</w:t>
      </w:r>
    </w:p>
    <w:p w14:paraId="66BA29EA">
      <w:pPr>
        <w:pStyle w:val="81"/>
        <w:ind w:firstLine="480"/>
      </w:pPr>
      <w:r>
        <w:t>（</w:t>
      </w:r>
      <w:r>
        <w:rPr>
          <w:rFonts w:hint="eastAsia"/>
        </w:rPr>
        <w:t>2</w:t>
      </w:r>
      <w:r>
        <w:t>）最后报价：</w:t>
      </w:r>
      <w:r>
        <w:rPr>
          <w:rFonts w:hint="eastAsia"/>
        </w:rPr>
        <w:t>磋商结束后，所有实质性响应磋商文件要求的供应商应当在磋商小组给定的时限内提交最后报价。最后报价也是响应文件的有效组成部分。</w:t>
      </w:r>
    </w:p>
    <w:p w14:paraId="357DD472">
      <w:pPr>
        <w:pStyle w:val="81"/>
        <w:ind w:firstLine="480"/>
      </w:pPr>
      <w:r>
        <w:rPr>
          <w:rFonts w:hint="eastAsia"/>
        </w:rPr>
        <w:t>3</w:t>
      </w:r>
      <w:r>
        <w:rPr>
          <w:rFonts w:hint="eastAsia"/>
          <w:color w:val="auto"/>
        </w:rPr>
        <w:t>．磋商</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2FE47FE1">
      <w:pPr>
        <w:pStyle w:val="81"/>
        <w:ind w:firstLine="480"/>
      </w:pPr>
      <w:r>
        <w:rPr>
          <w:color w:val="auto"/>
        </w:rPr>
        <w:t>4</w:t>
      </w:r>
      <w:r>
        <w:rPr>
          <w:rFonts w:hint="eastAsia"/>
          <w:color w:val="auto"/>
        </w:rPr>
        <w:t>．</w:t>
      </w:r>
      <w:r>
        <w:rPr>
          <w:rFonts w:hint="eastAsia"/>
        </w:rPr>
        <w:t>因供应商对磋商文件理解不透、误解、疏漏或对市场行情了解不清造成的后果和风险，均由供应商自己负责。</w:t>
      </w:r>
    </w:p>
    <w:p w14:paraId="78AE6B8C">
      <w:pPr>
        <w:pStyle w:val="4"/>
        <w:ind w:firstLine="482"/>
      </w:pPr>
      <w:r>
        <w:rPr>
          <w:rFonts w:hint="eastAsia"/>
        </w:rPr>
        <w:t>（四）电子响应文件</w:t>
      </w:r>
      <w:r>
        <w:t>的</w:t>
      </w:r>
      <w:r>
        <w:rPr>
          <w:rFonts w:hint="eastAsia"/>
        </w:rPr>
        <w:t>制作、</w:t>
      </w:r>
      <w:r>
        <w:t>签章及加密</w:t>
      </w:r>
    </w:p>
    <w:p w14:paraId="5660DCD5">
      <w:pPr>
        <w:pStyle w:val="81"/>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5D04C4B3">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14:paraId="1AFAE165">
      <w:pPr>
        <w:pStyle w:val="81"/>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电子磋商文件的备份工作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电子磋商文件</w:t>
      </w:r>
      <w:r>
        <w:rPr>
          <w:rFonts w:hint="eastAsia"/>
        </w:rPr>
        <w:t>（*.SXSZF）或</w:t>
      </w:r>
      <w:r>
        <w:t>答疑文件</w:t>
      </w:r>
      <w:r>
        <w:rPr>
          <w:rFonts w:hint="eastAsia"/>
        </w:rPr>
        <w:t>（*.SXSCF，</w:t>
      </w:r>
      <w:r>
        <w:t>即</w:t>
      </w:r>
      <w:r>
        <w:rPr>
          <w:rFonts w:hint="eastAsia"/>
        </w:rPr>
        <w:t>更新</w:t>
      </w:r>
      <w:r>
        <w:t>后的</w:t>
      </w:r>
      <w:r>
        <w:rPr>
          <w:rFonts w:hint="eastAsia"/>
        </w:rPr>
        <w:t>电子磋商</w:t>
      </w:r>
      <w:r>
        <w:t>文件</w:t>
      </w:r>
      <w:r>
        <w:rPr>
          <w:rFonts w:hint="eastAsia"/>
        </w:rPr>
        <w:t>）导入</w:t>
      </w:r>
      <w:r>
        <w:t>制作</w:t>
      </w:r>
      <w:r>
        <w:rPr>
          <w:rFonts w:hint="eastAsia"/>
        </w:rPr>
        <w:t>软件，最后</w:t>
      </w:r>
      <w:r>
        <w:t>按照章节分别编制响应</w:t>
      </w:r>
      <w:r>
        <w:rPr>
          <w:rFonts w:hint="eastAsia"/>
        </w:rPr>
        <w:t>文件</w:t>
      </w:r>
      <w:r>
        <w:t>各个部分。</w:t>
      </w:r>
    </w:p>
    <w:p w14:paraId="25A5956B">
      <w:pPr>
        <w:pStyle w:val="81"/>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〉答疑文件下载〗获取更新后的电子磋商文件（*.SXSCF）。</w:t>
      </w:r>
    </w:p>
    <w:p w14:paraId="5C61E669">
      <w:pPr>
        <w:pStyle w:val="81"/>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32D1415B">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打开未加密的电子响应文件重新导出。在</w:t>
      </w:r>
      <w:r>
        <w:rPr>
          <w:rFonts w:hint="eastAsia"/>
        </w:rPr>
        <w:t>制作</w:t>
      </w:r>
      <w:r>
        <w:t>过程中，如有其他技术性问题，请先翻阅操作手册，或致电电子化政府采购系统技术支持。</w:t>
      </w:r>
    </w:p>
    <w:p w14:paraId="3350BAB1">
      <w:pPr>
        <w:pStyle w:val="81"/>
        <w:ind w:firstLine="480"/>
      </w:pPr>
      <w:r>
        <w:rPr>
          <w:rFonts w:hint="eastAsia"/>
        </w:rPr>
        <w:t>4．在</w:t>
      </w:r>
      <w:r>
        <w:t>生成电子响应文件时，需要使用CA锁对响应</w:t>
      </w:r>
      <w:r>
        <w:rPr>
          <w:rFonts w:hint="eastAsia"/>
        </w:rPr>
        <w:t>文件</w:t>
      </w:r>
      <w:r>
        <w:t>进行加密（</w:t>
      </w:r>
      <w:r>
        <w:rPr>
          <w:color w:val="C00000"/>
        </w:rPr>
        <w:t>开启时还须使用同一把CA锁进行解密</w:t>
      </w:r>
      <w:r>
        <w:t>）。</w:t>
      </w:r>
    </w:p>
    <w:p w14:paraId="20C51986">
      <w:pPr>
        <w:pStyle w:val="4"/>
        <w:ind w:firstLine="482"/>
      </w:pPr>
      <w:r>
        <w:rPr>
          <w:rFonts w:hint="eastAsia"/>
        </w:rPr>
        <w:t>（五）电子响应文件</w:t>
      </w:r>
      <w:r>
        <w:t>的提交</w:t>
      </w:r>
    </w:p>
    <w:p w14:paraId="0656DC15">
      <w:pPr>
        <w:pStyle w:val="81"/>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的电子响应文件（*.SXSTF）。上传成功后，西安市公共资源交易平台政府采购系统将予以记录。</w:t>
      </w:r>
    </w:p>
    <w:p w14:paraId="1340285A">
      <w:pPr>
        <w:pStyle w:val="81"/>
        <w:ind w:firstLine="480"/>
      </w:pPr>
      <w:r>
        <w:t>出现下述情形的，电子响应文件将被系统拒收：</w:t>
      </w:r>
    </w:p>
    <w:p w14:paraId="4AC6B849">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AA2B29A">
      <w:pPr>
        <w:ind w:firstLine="480" w:firstLineChars="200"/>
        <w:jc w:val="both"/>
        <w:rPr>
          <w:rFonts w:cstheme="minorHAnsi"/>
        </w:rPr>
      </w:pPr>
      <w:r>
        <w:rPr>
          <w:rFonts w:hint="eastAsia" w:cstheme="minorHAnsi"/>
        </w:rPr>
        <w:t>2．</w:t>
      </w:r>
      <w:r>
        <w:rPr>
          <w:rFonts w:cstheme="minorHAnsi"/>
        </w:rPr>
        <w:t>逾期提交电子响应文件的；</w:t>
      </w:r>
    </w:p>
    <w:p w14:paraId="76583FD7">
      <w:pPr>
        <w:ind w:firstLine="480" w:firstLineChars="200"/>
        <w:jc w:val="both"/>
        <w:rPr>
          <w:rFonts w:cstheme="minorHAnsi"/>
        </w:rPr>
      </w:pPr>
      <w:r>
        <w:rPr>
          <w:rFonts w:cstheme="minorHAnsi"/>
        </w:rPr>
        <w:t>3</w:t>
      </w:r>
      <w:r>
        <w:rPr>
          <w:rFonts w:hint="eastAsia" w:cstheme="minorHAnsi"/>
        </w:rPr>
        <w:t>．使用旧版电子磋商文件制作电子响应文件的。</w:t>
      </w:r>
    </w:p>
    <w:p w14:paraId="092E8868">
      <w:pPr>
        <w:pStyle w:val="4"/>
        <w:ind w:firstLine="482"/>
      </w:pPr>
      <w:r>
        <w:t>（</w:t>
      </w:r>
      <w:r>
        <w:rPr>
          <w:rFonts w:hint="eastAsia"/>
        </w:rPr>
        <w:t>六</w:t>
      </w:r>
      <w:r>
        <w:t>）电子响应文件的撤回、补充及修改</w:t>
      </w:r>
    </w:p>
    <w:p w14:paraId="3592412A">
      <w:pPr>
        <w:pStyle w:val="81"/>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38FFA116">
      <w:pPr>
        <w:pStyle w:val="81"/>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41D38B9B">
      <w:pPr>
        <w:pStyle w:val="4"/>
        <w:ind w:firstLine="482"/>
      </w:pPr>
      <w:r>
        <w:rPr>
          <w:rFonts w:hint="eastAsia"/>
        </w:rPr>
        <w:t>（七）关于电子投</w:t>
      </w:r>
      <w:r>
        <w:rPr>
          <w:rFonts w:hint="eastAsia"/>
          <w:w w:val="1"/>
        </w:rPr>
        <w:t>　</w:t>
      </w:r>
      <w:r>
        <w:rPr>
          <w:rFonts w:hint="eastAsia"/>
        </w:rPr>
        <w:t>标文件的雷同性分析</w:t>
      </w:r>
    </w:p>
    <w:p w14:paraId="6B9F7F24">
      <w:pPr>
        <w:pStyle w:val="81"/>
        <w:ind w:firstLine="480"/>
      </w:pPr>
      <w:r>
        <w:rPr>
          <w:rFonts w:hint="eastAsia"/>
        </w:rPr>
        <w:t>根据陕西省公共资源交易中心2021年7月22日印发的《关于在政府采购交易系统中开通标书雷同性分析功能的通知》，在符合性审查环节，将由磋商小组在评标系统中对供应商的电子投</w:t>
      </w:r>
      <w:r>
        <w:rPr>
          <w:rFonts w:hint="eastAsia"/>
          <w:w w:val="1"/>
        </w:rPr>
        <w:t>　</w:t>
      </w:r>
      <w:r>
        <w:rPr>
          <w:rFonts w:hint="eastAsia"/>
        </w:rPr>
        <w:t>标文件进行雷同性分析。</w:t>
      </w:r>
    </w:p>
    <w:p w14:paraId="60DD6D01">
      <w:pPr>
        <w:pStyle w:val="81"/>
        <w:ind w:firstLine="480"/>
      </w:pPr>
      <w:r>
        <w:rPr>
          <w:rFonts w:hint="eastAsia"/>
        </w:rPr>
        <w:t>雷同性分析由两项指标组成，分别是“文件制作机器码”和“文件创建标识码”。其中，前者通过验证电子投</w:t>
      </w:r>
      <w:r>
        <w:rPr>
          <w:rFonts w:hint="eastAsia"/>
          <w:w w:val="1"/>
        </w:rPr>
        <w:t>　</w:t>
      </w:r>
      <w:r>
        <w:rPr>
          <w:rFonts w:hint="eastAsia"/>
        </w:rPr>
        <w:t>标文件制作设备的特征信息（如MAC地址、硬盘序列号、CPU编号、主板号等），判断电子投</w:t>
      </w:r>
      <w:r>
        <w:rPr>
          <w:rFonts w:hint="eastAsia"/>
          <w:w w:val="1"/>
        </w:rPr>
        <w:t>　</w:t>
      </w:r>
      <w:r>
        <w:rPr>
          <w:rFonts w:hint="eastAsia"/>
        </w:rPr>
        <w:t>标文件是否出自同一台设备。</w:t>
      </w:r>
    </w:p>
    <w:p w14:paraId="29ABB2FB">
      <w:pPr>
        <w:pStyle w:val="81"/>
        <w:ind w:firstLine="480"/>
      </w:pPr>
      <w:r>
        <w:rPr>
          <w:rFonts w:hint="eastAsia"/>
        </w:rPr>
        <w:t>若“文件制作机器码”一致，则表明不同供应商的电子投</w:t>
      </w:r>
      <w:r>
        <w:rPr>
          <w:rFonts w:hint="eastAsia"/>
          <w:w w:val="1"/>
        </w:rPr>
        <w:t>　</w:t>
      </w:r>
      <w:r>
        <w:rPr>
          <w:rFonts w:hint="eastAsia"/>
        </w:rPr>
        <w:t>标文件出自同一台制作设备，根据《陕西省财政厅关于政府采购有关政策的复函》（陕财办采函〔2019〕18号），该情形可以视同</w:t>
      </w:r>
      <w:r>
        <w:rPr>
          <w:rFonts w:asciiTheme="minorEastAsia" w:hAnsiTheme="minorEastAsia" w:eastAsiaTheme="minorEastAsia"/>
        </w:rPr>
        <w:t>“</w:t>
      </w:r>
      <w:r>
        <w:rPr>
          <w:rFonts w:hint="eastAsia" w:asciiTheme="minorEastAsia" w:hAnsiTheme="minorEastAsia" w:eastAsiaTheme="minorEastAsia"/>
        </w:rPr>
        <w:t>响应文件由同一单位或者个人编制的</w:t>
      </w:r>
      <w:r>
        <w:rPr>
          <w:rFonts w:asciiTheme="minorEastAsia" w:hAnsiTheme="minorEastAsia" w:eastAsiaTheme="minorEastAsia"/>
        </w:rPr>
        <w:t>”</w:t>
      </w:r>
      <w:r>
        <w:rPr>
          <w:rFonts w:asciiTheme="minorHAnsi" w:hAnsiTheme="minorHAnsi"/>
        </w:rPr>
        <w:t>情形</w:t>
      </w:r>
      <w:r>
        <w:rPr>
          <w:rFonts w:hint="eastAsia"/>
        </w:rPr>
        <w:t>。</w:t>
      </w:r>
    </w:p>
    <w:p w14:paraId="3AFE0513">
      <w:pPr>
        <w:pStyle w:val="81"/>
        <w:ind w:firstLine="480"/>
      </w:pPr>
      <w:r>
        <w:rPr>
          <w:rFonts w:hint="eastAsia"/>
        </w:rPr>
        <w:t>若“文件创建标识码”一致，则表示不同供应商使用投</w:t>
      </w:r>
      <w:r>
        <w:rPr>
          <w:rFonts w:hint="eastAsia"/>
          <w:w w:val="1"/>
        </w:rPr>
        <w:t>　</w:t>
      </w:r>
      <w:r>
        <w:rPr>
          <w:rFonts w:hint="eastAsia"/>
        </w:rPr>
        <w:t>标文件制作软件时，使用同一源工程文件，该情形建议由磋商小组结合项目情况综合判定。</w:t>
      </w:r>
    </w:p>
    <w:p w14:paraId="1601A4A6">
      <w:pPr>
        <w:pStyle w:val="4"/>
        <w:ind w:firstLine="482"/>
      </w:pPr>
      <w:r>
        <w:rPr>
          <w:rFonts w:hint="eastAsia"/>
        </w:rPr>
        <w:t>（八）响应文件出现下列情形之一的，视为供应商串通投</w:t>
      </w:r>
      <w:r>
        <w:rPr>
          <w:rFonts w:hint="eastAsia"/>
          <w:w w:val="1"/>
        </w:rPr>
        <w:t>　</w:t>
      </w:r>
      <w:r>
        <w:rPr>
          <w:rFonts w:hint="eastAsia"/>
        </w:rPr>
        <w:t>标，其响应无效：</w:t>
      </w:r>
    </w:p>
    <w:p w14:paraId="58163BC9">
      <w:pPr>
        <w:pStyle w:val="81"/>
        <w:ind w:firstLine="480"/>
      </w:pPr>
      <w:r>
        <w:rPr>
          <w:rFonts w:hint="eastAsia"/>
        </w:rPr>
        <w:t>1．不同供应商的响应文件由同一单位或者个人编制的；</w:t>
      </w:r>
    </w:p>
    <w:p w14:paraId="680072CC">
      <w:pPr>
        <w:pStyle w:val="81"/>
        <w:ind w:firstLine="480"/>
      </w:pPr>
      <w:r>
        <w:rPr>
          <w:rFonts w:hint="eastAsia"/>
        </w:rPr>
        <w:t>2．不同供应商委托同一单位或者个人办理磋商事宜的；</w:t>
      </w:r>
    </w:p>
    <w:p w14:paraId="7440E1B6">
      <w:pPr>
        <w:pStyle w:val="81"/>
        <w:ind w:firstLine="480"/>
      </w:pPr>
      <w:r>
        <w:rPr>
          <w:rFonts w:hint="eastAsia"/>
        </w:rPr>
        <w:t>3．不同供应商的响应文件载明的项目管理成员或者联系人员为同一人的；</w:t>
      </w:r>
    </w:p>
    <w:p w14:paraId="781FE8A4">
      <w:pPr>
        <w:pStyle w:val="81"/>
        <w:ind w:firstLine="480"/>
      </w:pPr>
      <w:r>
        <w:rPr>
          <w:rFonts w:hint="eastAsia"/>
        </w:rPr>
        <w:t>4．不同供应商的响应文件异常一致或者报价呈规律性差异的；</w:t>
      </w:r>
    </w:p>
    <w:p w14:paraId="3D0E3CF0">
      <w:pPr>
        <w:pStyle w:val="81"/>
        <w:ind w:firstLine="480"/>
      </w:pPr>
      <w:r>
        <w:rPr>
          <w:rFonts w:hint="eastAsia"/>
        </w:rPr>
        <w:t>5．不同供应商的响应文件相互混编或混装的。</w:t>
      </w:r>
    </w:p>
    <w:p w14:paraId="147CE1F7">
      <w:pPr>
        <w:pStyle w:val="3"/>
      </w:pPr>
      <w:r>
        <w:rPr>
          <w:rFonts w:hint="eastAsia"/>
        </w:rPr>
        <w:t>五</w:t>
      </w:r>
      <w:r>
        <w:t>、开启</w:t>
      </w:r>
    </w:p>
    <w:p w14:paraId="7E9B778B">
      <w:pPr>
        <w:pStyle w:val="81"/>
        <w:ind w:firstLine="480"/>
      </w:pPr>
      <w:r>
        <w:rPr>
          <w:rFonts w:hint="eastAsia"/>
        </w:rPr>
        <w:t>开启工作由采购代理机构组织实施，整个过程受同级政府采购监管部门的监督、管理。</w:t>
      </w:r>
    </w:p>
    <w:p w14:paraId="5994D3AC">
      <w:pPr>
        <w:pStyle w:val="81"/>
        <w:ind w:firstLine="480"/>
        <w:rPr>
          <w:color w:val="auto"/>
        </w:rPr>
      </w:pPr>
      <w:r>
        <w:rPr>
          <w:rFonts w:hint="eastAsia"/>
        </w:rPr>
        <w:t>1</w:t>
      </w:r>
      <w:r>
        <w:rPr>
          <w:rFonts w:hint="eastAsia"/>
          <w:color w:val="auto"/>
        </w:rPr>
        <w:t>．提交首次响应文件截止时间前，请各供应商务必确认已正常提交了响应文件。</w:t>
      </w:r>
    </w:p>
    <w:p w14:paraId="7F3B1320">
      <w:pPr>
        <w:pStyle w:val="81"/>
        <w:ind w:firstLine="480"/>
      </w:pPr>
      <w:r>
        <w:rPr>
          <w:color w:val="auto"/>
        </w:rPr>
        <w:t>2</w:t>
      </w:r>
      <w:r>
        <w:rPr>
          <w:rFonts w:hint="eastAsia"/>
          <w:color w:val="auto"/>
        </w:rPr>
        <w:t>．</w:t>
      </w:r>
      <w:r>
        <w:rPr>
          <w:rFonts w:hint="eastAsia"/>
        </w:rPr>
        <w:t>登录</w:t>
      </w:r>
      <w:r>
        <w:t>“不见面开标”系统：各</w:t>
      </w:r>
      <w:r>
        <w:rPr>
          <w:rFonts w:hint="eastAsia"/>
        </w:rPr>
        <w:t>供应商至少提前半小时登录西安市公共资源交易平台〖</w:t>
      </w:r>
      <w:r>
        <w:t>首页·〉不见面开标〗</w:t>
      </w:r>
      <w:r>
        <w:rPr>
          <w:rFonts w:hint="eastAsia"/>
        </w:rPr>
        <w:t>系统。</w:t>
      </w:r>
    </w:p>
    <w:p w14:paraId="1859B800">
      <w:pPr>
        <w:pStyle w:val="81"/>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713755FB">
      <w:pPr>
        <w:pStyle w:val="81"/>
        <w:ind w:firstLine="480"/>
      </w:pPr>
      <w:r>
        <w:rPr>
          <w:rFonts w:hint="eastAsia"/>
        </w:rPr>
        <w:t>（2）链接地址：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14:paraId="554DB15D">
      <w:pPr>
        <w:pStyle w:val="81"/>
        <w:ind w:firstLine="480"/>
      </w:pPr>
      <w:r>
        <w:rPr>
          <w:rStyle w:val="31"/>
          <w:color w:val="auto"/>
          <w:u w:val="none"/>
        </w:rPr>
        <w:t>（</w:t>
      </w:r>
      <w:r>
        <w:rPr>
          <w:rStyle w:val="31"/>
          <w:rFonts w:hint="eastAsia"/>
          <w:color w:val="auto"/>
          <w:u w:val="none"/>
        </w:rPr>
        <w:t>3</w:t>
      </w:r>
      <w:r>
        <w:rPr>
          <w:rStyle w:val="31"/>
          <w:color w:val="auto"/>
          <w:u w:val="none"/>
        </w:rPr>
        <w:t>）突发状况的处置：整个磋商期间，</w:t>
      </w:r>
      <w:r>
        <w:rPr>
          <w:rStyle w:val="31"/>
          <w:rFonts w:hint="eastAsia"/>
          <w:color w:val="auto"/>
          <w:u w:val="none"/>
        </w:rPr>
        <w:t>如因停电、断网、电子化系统故障等特殊原因导致电子化开标、评标工作无法正常进行时，采购代理机构将及时汇报政府采购监管部门，并等待或中止后续活动。</w:t>
      </w:r>
    </w:p>
    <w:p w14:paraId="0FF6D903">
      <w:pPr>
        <w:pStyle w:val="81"/>
        <w:ind w:firstLine="480"/>
      </w:pPr>
      <w:r>
        <w:t>3</w:t>
      </w:r>
      <w:r>
        <w:rPr>
          <w:rFonts w:hint="eastAsia"/>
          <w:color w:val="auto"/>
        </w:rPr>
        <w:t>．开启响应文件</w:t>
      </w:r>
      <w:r>
        <w:t>：</w:t>
      </w:r>
      <w:r>
        <w:rPr>
          <w:rFonts w:hint="eastAsia"/>
        </w:rPr>
        <w:t>供应商在收到主持人“开始解密”指令后，应使用“</w:t>
      </w:r>
      <w:r>
        <w:rPr>
          <w:rFonts w:hint="eastAsia"/>
          <w:color w:val="C00000"/>
        </w:rPr>
        <w:t>加密该电子响应文件时使用的CA锁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14:paraId="46E7318B">
      <w:pPr>
        <w:pStyle w:val="81"/>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14:paraId="2E646EAC">
      <w:pPr>
        <w:pStyle w:val="81"/>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不同、或使用旧版磋商文件编制响应文件</w:t>
      </w:r>
      <w:r>
        <w:rPr>
          <w:color w:val="auto"/>
        </w:rPr>
        <w:t>等情形；</w:t>
      </w:r>
    </w:p>
    <w:p w14:paraId="5DF699C5">
      <w:pPr>
        <w:pStyle w:val="81"/>
        <w:ind w:firstLine="480"/>
        <w:rPr>
          <w:color w:val="auto"/>
        </w:rPr>
      </w:pPr>
      <w:r>
        <w:rPr>
          <w:rFonts w:hint="eastAsia"/>
          <w:color w:val="auto"/>
        </w:rPr>
        <w:t>（3）上传</w:t>
      </w:r>
      <w:r>
        <w:rPr>
          <w:color w:val="auto"/>
        </w:rPr>
        <w:t>的电子响应文件无法正常打开的；</w:t>
      </w:r>
    </w:p>
    <w:p w14:paraId="5875F9E0">
      <w:pPr>
        <w:pStyle w:val="81"/>
        <w:ind w:firstLine="480"/>
        <w:rPr>
          <w:color w:val="auto"/>
        </w:rPr>
      </w:pPr>
      <w:r>
        <w:rPr>
          <w:rFonts w:hint="eastAsia"/>
          <w:color w:val="auto"/>
        </w:rPr>
        <w:t>（4）</w:t>
      </w:r>
      <w:r>
        <w:rPr>
          <w:color w:val="auto"/>
        </w:rPr>
        <w:t>政府采购法律法规规定的其他无效情形。</w:t>
      </w:r>
    </w:p>
    <w:p w14:paraId="76C6C5F6">
      <w:pPr>
        <w:pStyle w:val="81"/>
        <w:ind w:firstLine="480"/>
        <w:rPr>
          <w:color w:val="C00000"/>
        </w:rPr>
      </w:pPr>
      <w:r>
        <w:rPr>
          <w:rFonts w:hint="eastAsia"/>
          <w:color w:val="C00000"/>
        </w:rPr>
        <w:t>按照《政府采购竞争性磋商采购方式管理暂行办法》（财库〔2014〕214号）相关规定，对供应商的各轮磋商报价均不予公开。</w:t>
      </w:r>
    </w:p>
    <w:p w14:paraId="30688DCD">
      <w:pPr>
        <w:pStyle w:val="81"/>
        <w:ind w:firstLine="480"/>
      </w:pPr>
      <w:r>
        <w:t>4</w:t>
      </w:r>
      <w:r>
        <w:rPr>
          <w:rFonts w:hint="eastAsia"/>
          <w:color w:val="auto"/>
        </w:rPr>
        <w:t>．</w:t>
      </w:r>
      <w:r>
        <w:rPr>
          <w:rFonts w:hint="eastAsia"/>
        </w:rPr>
        <w:t>进入评审环节：评审期间磋商小组可能会要求供应商对响应文件做出澄清和最终报价。供应商请保持在位，因供应商擅自离席造成的不利后果，由供应商自行承担。</w:t>
      </w:r>
    </w:p>
    <w:p w14:paraId="22EA54D1">
      <w:pPr>
        <w:pStyle w:val="3"/>
      </w:pPr>
      <w:r>
        <w:t>六、磋商方法和程序</w:t>
      </w:r>
    </w:p>
    <w:p w14:paraId="70C3F6C2">
      <w:pPr>
        <w:pStyle w:val="4"/>
        <w:ind w:firstLine="482"/>
      </w:pPr>
      <w:r>
        <w:rPr>
          <w:rFonts w:hint="eastAsia"/>
        </w:rPr>
        <w:t>（一）组建磋商小组</w:t>
      </w:r>
    </w:p>
    <w:p w14:paraId="2FB0A0CA">
      <w:pPr>
        <w:ind w:firstLine="480" w:firstLineChars="200"/>
        <w:jc w:val="both"/>
      </w:pPr>
      <w:r>
        <w:rPr>
          <w:rFonts w:hint="eastAsia"/>
        </w:rPr>
        <w:t>为了确保评审工作的公平、公正，依据《政府采购法》和《政府采购竞争性磋商采购方式管理暂行办法》（财库〔2014〕214号）有关规定，成立磋商小组。磋商小组由采购人代表和评审专家共3人以上单数组成，其中评审专家人数不少于磋商小组成员总数的三分之二。</w:t>
      </w:r>
    </w:p>
    <w:p w14:paraId="0B85A452">
      <w:pPr>
        <w:ind w:firstLine="480" w:firstLineChars="200"/>
        <w:jc w:val="both"/>
      </w:pPr>
      <w:r>
        <w:rPr>
          <w:rFonts w:hint="eastAsia"/>
        </w:rPr>
        <w:t>评审专家将从省级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w:t>
      </w:r>
    </w:p>
    <w:p w14:paraId="7953B8D3">
      <w:pPr>
        <w:ind w:firstLine="480" w:firstLineChars="200"/>
        <w:jc w:val="both"/>
      </w:pPr>
      <w:r>
        <w:rPr>
          <w:rFonts w:hint="eastAsia"/>
        </w:rPr>
        <w:t>由采购代理机构组织磋商小组推选评审组长，采购人代表不得担任组长。</w:t>
      </w:r>
    </w:p>
    <w:p w14:paraId="147E3A3B">
      <w:pPr>
        <w:ind w:firstLine="480" w:firstLineChars="200"/>
        <w:jc w:val="both"/>
        <w:rPr>
          <w:color w:val="C00000"/>
        </w:rPr>
      </w:pPr>
      <w:r>
        <w:rPr>
          <w:rFonts w:hint="eastAsia"/>
          <w:color w:val="C00000"/>
        </w:rPr>
        <w:t>在采购结果确定前，采购人、采购代理机构对磋商小组名单负有保密责任。磋商小组成员、采购人代表、采购代理机构工作人员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14:paraId="0B86C870">
      <w:pPr>
        <w:pStyle w:val="4"/>
        <w:ind w:firstLine="482"/>
      </w:pPr>
      <w:r>
        <w:t>（二）资格性审查</w:t>
      </w:r>
    </w:p>
    <w:p w14:paraId="72965B24">
      <w:pPr>
        <w:pStyle w:val="81"/>
        <w:ind w:firstLine="480"/>
      </w:pPr>
      <w:r>
        <w:rPr>
          <w:rFonts w:hint="eastAsia"/>
        </w:rPr>
        <w:t>磋商文件经确认后，磋商小组对响应文件中的供应商资格证明文件进行审查（其中供应商信用记录审查由采购人进行）。</w:t>
      </w:r>
    </w:p>
    <w:p w14:paraId="415E7DA6">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14:paraId="61071428">
      <w:pPr>
        <w:pStyle w:val="81"/>
        <w:ind w:firstLine="480"/>
      </w:pPr>
      <w:r>
        <w:rPr>
          <w:rFonts w:hint="eastAsia"/>
        </w:rPr>
        <w:t>（1）不具备磋商文件中规定的资格要求的；</w:t>
      </w:r>
    </w:p>
    <w:p w14:paraId="679D2DFA">
      <w:pPr>
        <w:pStyle w:val="81"/>
        <w:ind w:firstLine="480"/>
      </w:pPr>
      <w:r>
        <w:rPr>
          <w:rFonts w:hint="eastAsia"/>
        </w:rPr>
        <w:t>（2）未按磋商文件要求提供资格证明文件，或资格证明文件未按磋商文件要求签字、盖章的；</w:t>
      </w:r>
    </w:p>
    <w:p w14:paraId="13F9BBCC">
      <w:pPr>
        <w:pStyle w:val="81"/>
        <w:ind w:firstLine="480"/>
      </w:pPr>
      <w:r>
        <w:rPr>
          <w:rFonts w:hint="eastAsia"/>
        </w:rPr>
        <w:t>（3）磋商小组认为供应商的资格证明文件存在疑点，要求供应商通过公共资源电子交易平台（以下简称“平台”）或电子邮件（在平台无法支持的情况下）等形式提供更清晰有效的证明文件，供应商不能在规定时限内提供符合磋商文件要求的证明文件的；</w:t>
      </w:r>
    </w:p>
    <w:p w14:paraId="6EA62AC4">
      <w:pPr>
        <w:pStyle w:val="81"/>
        <w:ind w:firstLine="480"/>
      </w:pPr>
      <w:r>
        <w:rPr>
          <w:rFonts w:hint="eastAsia"/>
        </w:rPr>
        <w:t>（4）法律法规规定的其他无效情形。</w:t>
      </w:r>
    </w:p>
    <w:p w14:paraId="17B8864D">
      <w:pPr>
        <w:pStyle w:val="81"/>
        <w:ind w:firstLine="480"/>
      </w:pPr>
      <w:r>
        <w:rPr>
          <w:rFonts w:hint="eastAsia"/>
        </w:rPr>
        <w:t>资格审查结束后，磋商小组成员应当对审查结果进行签字确认，并告知无效响应供应商资格审查未通过的原因。</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3A72EC81">
            <w:pPr>
              <w:spacing w:line="400" w:lineRule="exact"/>
              <w:jc w:val="both"/>
              <w:rPr>
                <w:rFonts w:ascii="Calibri" w:hAnsi="宋体" w:eastAsia="宋体" w:cstheme="minorHAnsi"/>
                <w:bCs/>
                <w:sz w:val="21"/>
              </w:rPr>
            </w:pPr>
            <w:bookmarkStart w:id="17" w:name="OLE_LINK1"/>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年度经审计的财务会计报告，审计报告须具有注册会计师行业统一监管平台赋予的验证码（成立时间至提交响应文件截止时间不足一年的可提供成立后任意时段的资产负债表）；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bookmarkEnd w:id="17"/>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0140136F">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14:paraId="123631DD">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14:paraId="30F3D5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5F46995">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5C833778">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05D3F9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547FBB9">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0590A008">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14:paraId="185812BF">
            <w:pPr>
              <w:spacing w:line="400" w:lineRule="exact"/>
              <w:jc w:val="both"/>
              <w:rPr>
                <w:rFonts w:ascii="Calibri" w:hAnsi="宋体" w:eastAsia="宋体" w:cstheme="minorHAnsi"/>
                <w:bCs/>
                <w:color w:val="C00000"/>
                <w:sz w:val="21"/>
              </w:rPr>
            </w:pP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1AE48BDE">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CD68908">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3D963">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74C790DD">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14:paraId="4DCD95B1">
      <w:pPr>
        <w:pStyle w:val="4"/>
        <w:ind w:firstLine="482"/>
      </w:pPr>
      <w:r>
        <w:t>（三）符合性审查</w:t>
      </w:r>
    </w:p>
    <w:p w14:paraId="02B54396">
      <w:pPr>
        <w:pStyle w:val="81"/>
        <w:ind w:firstLine="480"/>
        <w:rPr>
          <w:bCs/>
        </w:rPr>
      </w:pPr>
      <w:r>
        <w:t>资格性审查通过后，磋商小组将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的内容，磋商小组应当以书面形式要求供应商作出必要的澄清、说明或者补正。</w:t>
      </w:r>
    </w:p>
    <w:p w14:paraId="1EA97D86">
      <w:pPr>
        <w:pStyle w:val="81"/>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3F8FCF9A">
      <w:pPr>
        <w:pStyle w:val="81"/>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磋商</w:t>
      </w:r>
      <w:r>
        <w:t>小组成员应当对审查结果进行签字确认；</w:t>
      </w:r>
      <w:r>
        <w:rPr>
          <w:rFonts w:hint="eastAsia"/>
        </w:rPr>
        <w:t>对未通过符合性审查的供应商，磋商小组应</w:t>
      </w:r>
      <w:r>
        <w:t>当场告知其未通过的原因。</w:t>
      </w:r>
    </w:p>
    <w:p w14:paraId="4C9FC3B6">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99"/>
        <w:gridCol w:w="6213"/>
      </w:tblGrid>
      <w:tr w14:paraId="29497C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2823F95B">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1999" w:type="dxa"/>
            <w:tcBorders>
              <w:top w:val="single" w:color="auto" w:sz="12" w:space="0"/>
              <w:bottom w:val="single" w:color="auto" w:sz="2" w:space="0"/>
            </w:tcBorders>
            <w:shd w:val="clear" w:color="auto" w:fill="F1F1F1" w:themeFill="background1" w:themeFillShade="F2"/>
            <w:vAlign w:val="center"/>
          </w:tcPr>
          <w:p w14:paraId="0721E28B">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13" w:type="dxa"/>
            <w:tcBorders>
              <w:top w:val="single" w:color="auto" w:sz="12" w:space="0"/>
              <w:bottom w:val="single" w:color="auto" w:sz="2" w:space="0"/>
            </w:tcBorders>
            <w:shd w:val="clear" w:color="auto" w:fill="F1F1F1" w:themeFill="background1" w:themeFillShade="F2"/>
            <w:vAlign w:val="center"/>
          </w:tcPr>
          <w:p w14:paraId="39FC90B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49701B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03486B8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1999" w:type="dxa"/>
            <w:tcBorders>
              <w:top w:val="single" w:color="auto" w:sz="2" w:space="0"/>
            </w:tcBorders>
            <w:vAlign w:val="center"/>
          </w:tcPr>
          <w:p w14:paraId="0C51DED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响应文件与本项目的一致性</w:t>
            </w:r>
          </w:p>
        </w:tc>
        <w:tc>
          <w:tcPr>
            <w:tcW w:w="6213" w:type="dxa"/>
            <w:tcBorders>
              <w:top w:val="single" w:color="auto" w:sz="2" w:space="0"/>
            </w:tcBorders>
            <w:vAlign w:val="center"/>
          </w:tcPr>
          <w:p w14:paraId="3BDE3B1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与「磋商邀请函」中的相一致：</w:t>
            </w:r>
          </w:p>
          <w:p w14:paraId="578EB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文件封面</w:t>
            </w:r>
          </w:p>
          <w:p w14:paraId="1A43A253">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（2）响应</w:t>
            </w:r>
            <w:r>
              <w:rPr>
                <w:rFonts w:ascii="Calibri" w:hAnsi="宋体" w:eastAsia="宋体" w:cstheme="minorHAnsi"/>
                <w:bCs/>
                <w:sz w:val="21"/>
                <w:szCs w:val="21"/>
              </w:rPr>
              <w:t>函</w:t>
            </w:r>
          </w:p>
          <w:p w14:paraId="2FB70CC4">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1C71810A">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项目未划分采购包的，采购包处留空或填写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6AE1FC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CD040B3">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1999" w:type="dxa"/>
            <w:vAlign w:val="center"/>
          </w:tcPr>
          <w:p w14:paraId="0C4F16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响应文件组成</w:t>
            </w:r>
          </w:p>
        </w:tc>
        <w:tc>
          <w:tcPr>
            <w:tcW w:w="6213" w:type="dxa"/>
            <w:vAlign w:val="center"/>
          </w:tcPr>
          <w:p w14:paraId="5125CA3B">
            <w:pPr>
              <w:spacing w:line="400" w:lineRule="exact"/>
              <w:jc w:val="both"/>
              <w:rPr>
                <w:rFonts w:ascii="Calibri" w:hAnsi="宋体" w:eastAsia="宋体" w:cstheme="minorHAnsi"/>
                <w:sz w:val="21"/>
                <w:szCs w:val="21"/>
              </w:rPr>
            </w:pPr>
            <w:r>
              <w:rPr>
                <w:rFonts w:ascii="Calibri" w:hAnsi="宋体" w:eastAsia="宋体" w:cstheme="minorHAnsi"/>
                <w:bCs/>
                <w:sz w:val="21"/>
                <w:szCs w:val="21"/>
              </w:rPr>
              <w:t>响应文件</w:t>
            </w:r>
            <w:r>
              <w:rPr>
                <w:rFonts w:ascii="Calibri" w:hAnsi="宋体" w:eastAsia="宋体" w:cstheme="minorHAnsi"/>
                <w:sz w:val="21"/>
                <w:szCs w:val="21"/>
              </w:rPr>
              <w:t>应包含以下部分：</w:t>
            </w:r>
          </w:p>
          <w:p w14:paraId="31CC1C0A">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函</w:t>
            </w:r>
          </w:p>
          <w:p w14:paraId="7E5C86F8">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（2）第一次报价表</w:t>
            </w:r>
          </w:p>
          <w:p w14:paraId="3EB2C20B">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6ACAF3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（磋商文件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06F962C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）响应方案</w:t>
            </w:r>
          </w:p>
          <w:p w14:paraId="284E9CC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6A98DE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A98E6A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1999" w:type="dxa"/>
            <w:vAlign w:val="center"/>
          </w:tcPr>
          <w:p w14:paraId="56D62016">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13" w:type="dxa"/>
            <w:vAlign w:val="center"/>
          </w:tcPr>
          <w:p w14:paraId="7ADF7BAF">
            <w:pPr>
              <w:spacing w:line="400" w:lineRule="exact"/>
              <w:jc w:val="both"/>
              <w:rPr>
                <w:rFonts w:ascii="Calibri" w:hAnsi="宋体" w:eastAsia="宋体" w:cstheme="minorHAnsi"/>
                <w:bCs/>
                <w:sz w:val="21"/>
                <w:szCs w:val="21"/>
              </w:rPr>
            </w:pPr>
            <w:r>
              <w:rPr>
                <w:rFonts w:hint="eastAsia" w:ascii="Calibri" w:hAnsi="宋体" w:eastAsia="宋体" w:cstheme="minorHAnsi"/>
                <w:sz w:val="21"/>
                <w:szCs w:val="21"/>
              </w:rPr>
              <w:t>签章均符合磋商文件要求，且无遗漏。</w:t>
            </w:r>
          </w:p>
        </w:tc>
      </w:tr>
      <w:tr w14:paraId="4F0C50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059FFDA2">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1999" w:type="dxa"/>
            <w:vAlign w:val="center"/>
          </w:tcPr>
          <w:p w14:paraId="65D1DAD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13" w:type="dxa"/>
            <w:vAlign w:val="center"/>
          </w:tcPr>
          <w:p w14:paraId="3EC60DCD">
            <w:pPr>
              <w:spacing w:line="400" w:lineRule="exact"/>
              <w:jc w:val="both"/>
              <w:rPr>
                <w:rFonts w:ascii="Calibri" w:hAnsi="宋体" w:eastAsia="宋体" w:cstheme="minorHAnsi"/>
                <w:sz w:val="21"/>
                <w:szCs w:val="21"/>
              </w:rPr>
            </w:pPr>
            <w:r>
              <w:rPr>
                <w:rFonts w:ascii="Calibri" w:hAnsi="宋体" w:eastAsia="宋体" w:cstheme="minorHAnsi"/>
                <w:sz w:val="21"/>
                <w:szCs w:val="21"/>
              </w:rPr>
              <w:t>符合磋商文件的要求</w:t>
            </w:r>
          </w:p>
        </w:tc>
      </w:tr>
      <w:tr w14:paraId="5C81A9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66CE55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1999" w:type="dxa"/>
            <w:vAlign w:val="center"/>
          </w:tcPr>
          <w:p w14:paraId="3AA6A195">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响应文件有效期</w:t>
            </w:r>
          </w:p>
        </w:tc>
        <w:tc>
          <w:tcPr>
            <w:tcW w:w="6213" w:type="dxa"/>
            <w:vAlign w:val="center"/>
          </w:tcPr>
          <w:p w14:paraId="25919158">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符合磋商文件的要求</w:t>
            </w:r>
          </w:p>
        </w:tc>
      </w:tr>
      <w:tr w14:paraId="6C1799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5636AF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1999" w:type="dxa"/>
            <w:vAlign w:val="center"/>
          </w:tcPr>
          <w:p w14:paraId="020C2D1A">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磋商报价</w:t>
            </w:r>
          </w:p>
        </w:tc>
        <w:tc>
          <w:tcPr>
            <w:tcW w:w="6213" w:type="dxa"/>
            <w:vAlign w:val="center"/>
          </w:tcPr>
          <w:p w14:paraId="282AF31F">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12BDBA58">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货币单位符合磋商文件要求</w:t>
            </w:r>
          </w:p>
          <w:p w14:paraId="13A2706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59BFD0C0">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2EB836B5">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（4）符合《第一次报价表》的</w:t>
            </w:r>
            <w:r>
              <w:rPr>
                <w:rFonts w:ascii="Calibri" w:hAnsi="宋体" w:eastAsia="宋体" w:cstheme="minorHAnsi"/>
                <w:bCs/>
                <w:sz w:val="21"/>
                <w:szCs w:val="21"/>
              </w:rPr>
              <w:t>填报要求</w:t>
            </w:r>
          </w:p>
        </w:tc>
      </w:tr>
      <w:tr w14:paraId="1CA0AC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05EB10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1999" w:type="dxa"/>
            <w:vAlign w:val="center"/>
          </w:tcPr>
          <w:p w14:paraId="2BBAE4D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14:paraId="3BE8D608">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应磋商文件第三章</w:t>
            </w:r>
            <w:r>
              <w:rPr>
                <w:rFonts w:hint="eastAsia" w:ascii="Calibri" w:hAnsi="宋体" w:eastAsia="宋体" w:cstheme="minorHAnsi"/>
                <w:sz w:val="21"/>
                <w:szCs w:val="21"/>
              </w:rPr>
              <w:t>标</w:t>
            </w:r>
            <w:r>
              <w:rPr>
                <w:rFonts w:ascii="Calibri" w:hAnsi="宋体" w:eastAsia="宋体" w:cstheme="minorHAnsi"/>
                <w:sz w:val="21"/>
                <w:szCs w:val="21"/>
              </w:rPr>
              <w:t>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6E67BBE8">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磋商文件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1A112C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B0CD97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1999" w:type="dxa"/>
            <w:vAlign w:val="center"/>
          </w:tcPr>
          <w:p w14:paraId="1700613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13" w:type="dxa"/>
            <w:vAlign w:val="center"/>
          </w:tcPr>
          <w:p w14:paraId="049D1A93">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应磋商文件合同条款的要求，且未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47A295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FDF665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1999" w:type="dxa"/>
            <w:vAlign w:val="center"/>
          </w:tcPr>
          <w:p w14:paraId="5865014C">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电子响应文件雷同性分析</w:t>
            </w:r>
          </w:p>
        </w:tc>
        <w:tc>
          <w:tcPr>
            <w:tcW w:w="6213" w:type="dxa"/>
            <w:vAlign w:val="center"/>
          </w:tcPr>
          <w:p w14:paraId="35EFB294">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电子响应文件的“文件制作机器码”和“文件创建标识码”通过评标系统的雷同性分析。</w:t>
            </w:r>
          </w:p>
        </w:tc>
      </w:tr>
      <w:tr w14:paraId="7F648D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359E8F6">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1999" w:type="dxa"/>
            <w:vAlign w:val="center"/>
          </w:tcPr>
          <w:p w14:paraId="6B4AF922">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13" w:type="dxa"/>
            <w:vAlign w:val="center"/>
          </w:tcPr>
          <w:p w14:paraId="36449067">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完全理解并接受法律法规和磋商文件对供应商合法经营的各类规约和责任义务要求，没有出现法律法规或磋商文件规定的其他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0A78B2A">
      <w:pPr>
        <w:pStyle w:val="4"/>
        <w:ind w:firstLine="482"/>
      </w:pPr>
      <w:r>
        <w:t>（四）磋商</w:t>
      </w:r>
    </w:p>
    <w:p w14:paraId="6E195E68">
      <w:pPr>
        <w:ind w:firstLine="480" w:firstLineChars="200"/>
        <w:jc w:val="both"/>
      </w:pPr>
      <w:r>
        <w:rPr>
          <w:rFonts w:hint="eastAsia"/>
        </w:rPr>
        <w:t>磋商小组所有成员将集中与单一供应商分别进行磋商，并给予所有参加磋商的供应商平等的磋商机会。</w:t>
      </w:r>
    </w:p>
    <w:p w14:paraId="6692C3F0">
      <w:pPr>
        <w:ind w:firstLine="480" w:firstLineChars="200"/>
        <w:jc w:val="both"/>
      </w:pPr>
      <w:r>
        <w:rPr>
          <w:rFonts w:hint="eastAsia"/>
        </w:rPr>
        <w:t>在磋商过程中，磋商小组可以根据磋商文件和磋商情况</w:t>
      </w:r>
      <w:r>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49E5BC06">
      <w:pPr>
        <w:ind w:firstLine="480" w:firstLineChars="200"/>
        <w:jc w:val="both"/>
      </w:pPr>
      <w:r>
        <w:rPr>
          <w:rFonts w:hint="eastAsia"/>
        </w:rPr>
        <w:t>对磋商文件作出的实质性变动是磋商文件的有效组成部分，磋商小组应当及时以书面形式同时通知所有参加磋商的供应商。</w:t>
      </w:r>
      <w:r>
        <w:rPr>
          <w:rFonts w:hint="eastAsia"/>
          <w:color w:val="C00000"/>
        </w:rPr>
        <w:t>供应商在磋商过程中切勿擅自离席，否则由此引发的不利后果，由该供应商自行承担。</w:t>
      </w:r>
    </w:p>
    <w:p w14:paraId="2773CDCB">
      <w:pPr>
        <w:ind w:firstLine="480" w:firstLineChars="20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EE7525F">
      <w:pPr>
        <w:pStyle w:val="4"/>
        <w:ind w:firstLine="482"/>
      </w:pPr>
      <w:r>
        <w:t>（五）提交最后报价</w:t>
      </w:r>
    </w:p>
    <w:p w14:paraId="09C9AC31">
      <w:pPr>
        <w:ind w:firstLine="480" w:firstLineChars="200"/>
        <w:jc w:val="both"/>
      </w:pPr>
      <w:r>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7DF5D35B">
      <w:pPr>
        <w:ind w:firstLine="480" w:firstLineChars="200"/>
        <w:jc w:val="both"/>
      </w:pPr>
      <w:r>
        <w:rPr>
          <w:rFonts w:hint="eastAsia"/>
        </w:rPr>
        <w:t>提交最后报价的供应商不得少于3家，但以下情形除外：</w:t>
      </w:r>
    </w:p>
    <w:p w14:paraId="1C7866C4">
      <w:pPr>
        <w:ind w:firstLine="480" w:firstLineChars="200"/>
        <w:jc w:val="both"/>
      </w:pPr>
      <w:r>
        <w:t>1</w:t>
      </w:r>
      <w:r>
        <w:rPr>
          <w:rFonts w:hint="eastAsia"/>
        </w:rPr>
        <w:t>．根据《政府采购竞争性磋商采购方式管理暂行办法》（财库〔2014〕214号）第三条第四项，市场竞争不充分的科研项目，以及需要扶持的科技成果转化项目，提交最后报价的供应商可以为2家。</w:t>
      </w:r>
    </w:p>
    <w:p w14:paraId="4C034289">
      <w:pPr>
        <w:ind w:firstLine="480" w:firstLineChars="200"/>
        <w:jc w:val="both"/>
      </w:pPr>
      <w:r>
        <w:t>2</w:t>
      </w:r>
      <w:r>
        <w:rPr>
          <w:rFonts w:hint="eastAsia"/>
        </w:rPr>
        <w:t>．根据《关于政府采购竞争性磋商采购方式管理暂行办法有关问题的补充通知》（财库〔2015〕124号）及国库司的留言答复〔留言编号：5719-3628959〕，政府购买服务项目（含政府和社会资本合作项目），在采购过程中符合要求的供应商（社会资本）只有2家的，竞争性磋商活动可以继续进行，由2家供应商提出最后报价。</w:t>
      </w:r>
    </w:p>
    <w:p w14:paraId="4BC8BA21">
      <w:pPr>
        <w:pStyle w:val="4"/>
        <w:ind w:firstLine="482"/>
      </w:pPr>
      <w:bookmarkStart w:id="18" w:name="OLE_LINK6"/>
      <w:r>
        <w:t>（</w:t>
      </w:r>
      <w:r>
        <w:rPr>
          <w:rFonts w:hint="eastAsia"/>
        </w:rPr>
        <w:t>六</w:t>
      </w:r>
      <w:r>
        <w:t>）</w:t>
      </w:r>
      <w:r>
        <w:rPr>
          <w:rFonts w:hint="eastAsia"/>
        </w:rPr>
        <w:t>异常低价的审查</w:t>
      </w:r>
    </w:p>
    <w:bookmarkEnd w:id="18"/>
    <w:p w14:paraId="6E9950CA">
      <w:pPr>
        <w:pStyle w:val="99"/>
        <w:adjustRightInd/>
        <w:ind w:firstLine="420" w:firstLineChars="200"/>
        <w:textAlignment w:val="auto"/>
        <w:rPr>
          <w:rFonts w:hAnsi="宋体" w:cs="宋体"/>
          <w:sz w:val="24"/>
          <w:szCs w:val="24"/>
        </w:rPr>
      </w:pPr>
      <w:r>
        <w:t>1</w:t>
      </w:r>
      <w:r>
        <w:rPr>
          <w:rFonts w:hint="eastAsia"/>
        </w:rPr>
        <w:t>．</w:t>
      </w:r>
      <w:r>
        <w:rPr>
          <w:rFonts w:hint="eastAsia" w:hAnsi="宋体" w:cs="宋体"/>
          <w:sz w:val="24"/>
          <w:szCs w:val="24"/>
        </w:rPr>
        <w:t>评审中出现下列情形之一的，磋商小组应当启动异常低价响应审查程序：</w:t>
      </w:r>
    </w:p>
    <w:p w14:paraId="0ABD3632">
      <w:pPr>
        <w:pStyle w:val="99"/>
        <w:adjustRightInd/>
        <w:ind w:firstLine="480" w:firstLineChars="20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color w:val="FF0000"/>
          <w:sz w:val="24"/>
          <w:szCs w:val="24"/>
          <w:u w:val="single"/>
        </w:rPr>
        <w:t>50</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u w:val="single"/>
        </w:rPr>
        <w:t>50</w:t>
      </w:r>
      <w:r>
        <w:rPr>
          <w:color w:val="FF0000"/>
          <w:sz w:val="24"/>
          <w:szCs w:val="24"/>
        </w:rPr>
        <w:t>%；</w:t>
      </w:r>
    </w:p>
    <w:p w14:paraId="17D4C35B">
      <w:pPr>
        <w:pStyle w:val="99"/>
        <w:adjustRightInd/>
        <w:ind w:firstLine="480" w:firstLineChars="20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color w:val="FF0000"/>
          <w:sz w:val="24"/>
          <w:szCs w:val="24"/>
          <w:u w:val="single"/>
        </w:rPr>
        <w:t>50</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u w:val="single"/>
        </w:rPr>
        <w:t>50</w:t>
      </w:r>
      <w:r>
        <w:rPr>
          <w:color w:val="FF0000"/>
          <w:sz w:val="24"/>
          <w:szCs w:val="24"/>
        </w:rPr>
        <w:t>%；</w:t>
      </w:r>
    </w:p>
    <w:p w14:paraId="58572D75">
      <w:pPr>
        <w:pStyle w:val="99"/>
        <w:adjustRightInd/>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color w:val="FF0000"/>
          <w:sz w:val="24"/>
          <w:szCs w:val="24"/>
          <w:u w:val="single"/>
        </w:rPr>
        <w:t>45</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14:paraId="2377D293">
      <w:pPr>
        <w:pStyle w:val="99"/>
        <w:adjustRightInd/>
        <w:ind w:firstLine="480" w:firstLineChars="200"/>
        <w:textAlignment w:val="auto"/>
        <w:rPr>
          <w:rFonts w:hAnsi="宋体" w:cs="宋体"/>
          <w:sz w:val="24"/>
          <w:szCs w:val="24"/>
        </w:rPr>
      </w:pPr>
      <w:r>
        <w:rPr>
          <w:rFonts w:hint="eastAsia" w:hAnsi="宋体" w:cs="宋体"/>
          <w:sz w:val="24"/>
          <w:szCs w:val="24"/>
        </w:rPr>
        <w:t>④ 磋商小组基于专业判断，认为供应商报价过低，有可能影响产品质量或者不能诚信履约的其他情形。</w:t>
      </w:r>
    </w:p>
    <w:p w14:paraId="46D6088D">
      <w:pPr>
        <w:pStyle w:val="99"/>
        <w:adjustRightInd/>
        <w:ind w:firstLine="420" w:firstLineChars="200"/>
        <w:textAlignment w:val="auto"/>
        <w:rPr>
          <w:rFonts w:hAnsi="宋体" w:cs="宋体"/>
          <w:sz w:val="24"/>
          <w:szCs w:val="24"/>
        </w:rPr>
      </w:pPr>
      <w:r>
        <w:t>2</w:t>
      </w:r>
      <w:r>
        <w:rPr>
          <w:rFonts w:hint="eastAsia"/>
        </w:rPr>
        <w:t>．</w:t>
      </w:r>
      <w:r>
        <w:rPr>
          <w:rFonts w:hint="eastAsia" w:hAnsi="宋体" w:cs="宋体"/>
          <w:sz w:val="24"/>
          <w:szCs w:val="24"/>
        </w:rPr>
        <w:t>磋商小组启动异常低价响应审查后，属于第①项至第④项情形的，相关供应商应当在40分钟</w:t>
      </w:r>
      <w:r>
        <w:rPr>
          <w:rFonts w:hAnsi="宋体" w:cs="宋体"/>
          <w:sz w:val="24"/>
          <w:szCs w:val="24"/>
        </w:rPr>
        <w:t>内</w:t>
      </w:r>
      <w:r>
        <w:rPr>
          <w:rFonts w:hint="eastAsia" w:hAnsi="宋体" w:cs="宋体"/>
          <w:sz w:val="24"/>
          <w:szCs w:val="24"/>
        </w:rPr>
        <w:t>通过电子化</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14:paraId="1C12D713">
      <w:pPr>
        <w:pStyle w:val="99"/>
        <w:adjustRightInd/>
        <w:ind w:firstLine="480" w:firstLineChars="200"/>
        <w:textAlignment w:val="auto"/>
        <w:rPr>
          <w:rFonts w:hAnsi="宋体" w:cs="宋体"/>
          <w:sz w:val="24"/>
          <w:szCs w:val="24"/>
        </w:rPr>
      </w:pPr>
      <w:r>
        <w:rPr>
          <w:rFonts w:hint="eastAsia" w:hAnsi="宋体" w:cs="宋体"/>
          <w:sz w:val="24"/>
          <w:szCs w:val="24"/>
        </w:rPr>
        <w:t>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19D1C32E">
      <w:pPr>
        <w:pStyle w:val="99"/>
        <w:adjustRightInd/>
        <w:ind w:firstLine="480" w:firstLineChars="200"/>
        <w:textAlignment w:val="auto"/>
        <w:rPr>
          <w:rFonts w:hAnsi="宋体" w:cs="宋体"/>
          <w:sz w:val="24"/>
          <w:szCs w:val="24"/>
        </w:rPr>
      </w:pPr>
      <w:r>
        <w:rPr>
          <w:rFonts w:hint="eastAsia" w:hAnsi="宋体" w:cs="宋体"/>
          <w:sz w:val="24"/>
          <w:szCs w:val="24"/>
        </w:rPr>
        <w:t>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F3975EF">
      <w:pPr>
        <w:pStyle w:val="99"/>
        <w:adjustRightInd/>
        <w:ind w:firstLine="480" w:firstLineChars="200"/>
        <w:textAlignment w:val="auto"/>
        <w:rPr>
          <w:rFonts w:hAnsi="宋体" w:cs="宋体"/>
          <w:sz w:val="24"/>
          <w:szCs w:val="24"/>
        </w:rPr>
      </w:pPr>
      <w:r>
        <w:rPr>
          <w:rFonts w:hint="eastAsia" w:hAnsi="宋体" w:cs="宋体"/>
          <w:sz w:val="24"/>
          <w:szCs w:val="24"/>
        </w:rPr>
        <w:t>异常低价响应审查的启动原因、审查意见和审查结果应当在评审报告中记录，并随供应商提供的相关书面说明及证明材料，以及磋商小组有关互联网浏览、查询历史一并归档。</w:t>
      </w:r>
    </w:p>
    <w:p w14:paraId="28566B72">
      <w:pPr>
        <w:pStyle w:val="4"/>
        <w:ind w:firstLine="482"/>
        <w:jc w:val="both"/>
      </w:pPr>
      <w:r>
        <w:t>（</w:t>
      </w:r>
      <w:r>
        <w:rPr>
          <w:rFonts w:hint="eastAsia"/>
        </w:rPr>
        <w:t>七</w:t>
      </w:r>
      <w:r>
        <w:t>）综合比较与评分</w:t>
      </w:r>
    </w:p>
    <w:p w14:paraId="1664C8C9">
      <w:pPr>
        <w:ind w:firstLine="480" w:firstLineChars="200"/>
        <w:jc w:val="both"/>
      </w:pPr>
      <w:r>
        <w:rPr>
          <w:rFonts w:hint="eastAsia"/>
        </w:rPr>
        <w:t>经磋商确定最终采购需求和提交最后报价的供应商后，由磋商小组采用</w:t>
      </w:r>
      <w:r>
        <w:rPr>
          <w:rFonts w:hint="eastAsia"/>
          <w:color w:val="C00000"/>
        </w:rPr>
        <w:t>综合评分法</w:t>
      </w:r>
      <w:r>
        <w:rPr>
          <w:rFonts w:hint="eastAsia"/>
        </w:rPr>
        <w:t>对提交最后报价的供应商的响应文件和最后报价进行综合评分。</w:t>
      </w:r>
    </w:p>
    <w:p w14:paraId="62034A2C">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6376"/>
        <w:gridCol w:w="851"/>
      </w:tblGrid>
      <w:tr w14:paraId="7FE741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68FD6C4C">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5D30909A">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6376" w:type="dxa"/>
            <w:vMerge w:val="restart"/>
            <w:tcBorders>
              <w:top w:val="single" w:color="auto" w:sz="12" w:space="0"/>
              <w:bottom w:val="single" w:color="auto" w:sz="2" w:space="0"/>
            </w:tcBorders>
            <w:shd w:val="clear" w:color="auto" w:fill="F1F1F1" w:themeFill="background1" w:themeFillShade="F2"/>
            <w:vAlign w:val="center"/>
          </w:tcPr>
          <w:p w14:paraId="2B283A7D">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评审要素</w:t>
            </w:r>
          </w:p>
        </w:tc>
        <w:tc>
          <w:tcPr>
            <w:tcW w:w="851" w:type="dxa"/>
            <w:vMerge w:val="restart"/>
            <w:tcBorders>
              <w:top w:val="single" w:color="auto" w:sz="12" w:space="0"/>
              <w:bottom w:val="single" w:color="auto" w:sz="2" w:space="0"/>
            </w:tcBorders>
            <w:shd w:val="clear" w:color="auto" w:fill="F1F1F1" w:themeFill="background1" w:themeFillShade="F2"/>
            <w:vAlign w:val="center"/>
          </w:tcPr>
          <w:p w14:paraId="41589F62">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286798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65C8AF9A">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5F059A8F">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75074433">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6376" w:type="dxa"/>
            <w:vMerge w:val="continue"/>
            <w:tcBorders>
              <w:top w:val="single" w:color="auto" w:sz="2" w:space="0"/>
              <w:bottom w:val="single" w:color="auto" w:sz="2" w:space="0"/>
            </w:tcBorders>
            <w:shd w:val="clear" w:color="auto" w:fill="F1F1F1" w:themeFill="background1" w:themeFillShade="F2"/>
            <w:vAlign w:val="center"/>
          </w:tcPr>
          <w:p w14:paraId="32D05A14">
            <w:pPr>
              <w:spacing w:line="400" w:lineRule="exact"/>
              <w:ind w:firstLine="420"/>
              <w:jc w:val="center"/>
              <w:rPr>
                <w:rFonts w:ascii="Calibri" w:hAnsi="宋体" w:eastAsia="宋体" w:cstheme="minorHAnsi"/>
                <w:bCs/>
                <w:sz w:val="21"/>
                <w:szCs w:val="21"/>
              </w:rPr>
            </w:pPr>
          </w:p>
        </w:tc>
        <w:tc>
          <w:tcPr>
            <w:tcW w:w="851" w:type="dxa"/>
            <w:vMerge w:val="continue"/>
            <w:tcBorders>
              <w:top w:val="single" w:color="auto" w:sz="2" w:space="0"/>
              <w:bottom w:val="single" w:color="auto" w:sz="2" w:space="0"/>
            </w:tcBorders>
            <w:shd w:val="clear" w:color="auto" w:fill="F1F1F1" w:themeFill="background1" w:themeFillShade="F2"/>
            <w:vAlign w:val="center"/>
          </w:tcPr>
          <w:p w14:paraId="7E1C8D59">
            <w:pPr>
              <w:spacing w:line="400" w:lineRule="exact"/>
              <w:jc w:val="center"/>
              <w:rPr>
                <w:rFonts w:ascii="Calibri" w:hAnsi="宋体" w:eastAsia="宋体" w:cstheme="minorHAnsi"/>
                <w:bCs/>
                <w:sz w:val="21"/>
                <w:szCs w:val="21"/>
              </w:rPr>
            </w:pPr>
          </w:p>
        </w:tc>
      </w:tr>
      <w:tr w14:paraId="2D8B2F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29561CCB">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679B7135">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14:paraId="5152F9CF">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6376" w:type="dxa"/>
            <w:tcBorders>
              <w:top w:val="single" w:color="auto" w:sz="2" w:space="0"/>
            </w:tcBorders>
            <w:shd w:val="clear" w:color="auto" w:fill="auto"/>
            <w:vAlign w:val="center"/>
          </w:tcPr>
          <w:p w14:paraId="77466831">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满足磋商文件要求且最后报价最低的供应商的价格为磋商基准价得</w:t>
            </w:r>
            <w:r>
              <w:rPr>
                <w:rFonts w:ascii="Calibri" w:hAnsi="宋体" w:eastAsia="宋体" w:cs="宋体"/>
                <w:sz w:val="21"/>
                <w:szCs w:val="21"/>
              </w:rPr>
              <w:t>3</w:t>
            </w:r>
            <w:r>
              <w:rPr>
                <w:rFonts w:hint="eastAsia" w:ascii="Calibri" w:hAnsi="宋体" w:eastAsia="宋体" w:cs="宋体"/>
                <w:sz w:val="21"/>
                <w:szCs w:val="21"/>
              </w:rPr>
              <w:t>0分，其他各供应商的最后报价得分按下列公式计算：（磋商基准价/最后磋商报价）×</w:t>
            </w:r>
            <w:r>
              <w:rPr>
                <w:rFonts w:ascii="Calibri" w:hAnsi="宋体" w:eastAsia="宋体" w:cs="宋体"/>
                <w:sz w:val="21"/>
                <w:szCs w:val="21"/>
              </w:rPr>
              <w:t>3</w:t>
            </w:r>
            <w:r>
              <w:rPr>
                <w:rFonts w:hint="eastAsia" w:ascii="Calibri" w:hAnsi="宋体" w:eastAsia="宋体" w:cs="宋体"/>
                <w:sz w:val="21"/>
                <w:szCs w:val="21"/>
              </w:rPr>
              <w:t>0％×100。</w:t>
            </w:r>
          </w:p>
        </w:tc>
        <w:tc>
          <w:tcPr>
            <w:tcW w:w="851" w:type="dxa"/>
            <w:tcBorders>
              <w:top w:val="single" w:color="auto" w:sz="2" w:space="0"/>
            </w:tcBorders>
            <w:shd w:val="clear" w:color="auto" w:fill="auto"/>
            <w:vAlign w:val="center"/>
          </w:tcPr>
          <w:p w14:paraId="63181284">
            <w:pPr>
              <w:spacing w:line="400" w:lineRule="exact"/>
              <w:jc w:val="center"/>
              <w:rPr>
                <w:rFonts w:ascii="Calibri" w:hAnsi="宋体" w:eastAsia="宋体" w:cs="宋体"/>
                <w:bCs/>
                <w:color w:val="FF0000"/>
                <w:sz w:val="21"/>
                <w:szCs w:val="21"/>
              </w:rPr>
            </w:pPr>
          </w:p>
        </w:tc>
      </w:tr>
      <w:tr w14:paraId="4A5A46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25" w:hRule="atLeast"/>
        </w:trPr>
        <w:tc>
          <w:tcPr>
            <w:tcW w:w="756" w:type="dxa"/>
            <w:vMerge w:val="restart"/>
            <w:tcBorders>
              <w:top w:val="single" w:color="auto" w:sz="2" w:space="0"/>
            </w:tcBorders>
            <w:shd w:val="clear" w:color="auto" w:fill="auto"/>
            <w:vAlign w:val="center"/>
          </w:tcPr>
          <w:p w14:paraId="4FA5D636">
            <w:pPr>
              <w:spacing w:line="400" w:lineRule="exact"/>
              <w:jc w:val="center"/>
              <w:rPr>
                <w:rFonts w:ascii="Calibri" w:hAnsi="宋体" w:eastAsia="宋体" w:cs="宋体"/>
                <w:b/>
                <w:sz w:val="21"/>
                <w:szCs w:val="21"/>
              </w:rPr>
            </w:pPr>
            <w:r>
              <w:rPr>
                <w:rFonts w:hint="eastAsia" w:ascii="Calibri" w:hAnsi="宋体" w:eastAsia="宋体" w:cs="宋体"/>
                <w:b/>
                <w:sz w:val="21"/>
                <w:szCs w:val="21"/>
              </w:rPr>
              <w:t>技术/服务部</w:t>
            </w:r>
          </w:p>
        </w:tc>
        <w:tc>
          <w:tcPr>
            <w:tcW w:w="640" w:type="dxa"/>
            <w:vMerge w:val="restart"/>
            <w:tcBorders>
              <w:top w:val="single" w:color="auto" w:sz="2" w:space="0"/>
            </w:tcBorders>
            <w:shd w:val="clear" w:color="auto" w:fill="auto"/>
            <w:vAlign w:val="center"/>
          </w:tcPr>
          <w:p w14:paraId="2817A904">
            <w:pPr>
              <w:spacing w:line="400" w:lineRule="exact"/>
              <w:jc w:val="center"/>
              <w:rPr>
                <w:rFonts w:ascii="Calibri" w:hAnsi="宋体" w:eastAsia="宋体" w:cs="宋体"/>
                <w:bCs/>
                <w:sz w:val="21"/>
                <w:szCs w:val="21"/>
              </w:rPr>
            </w:pPr>
            <w:r>
              <w:rPr>
                <w:rFonts w:hint="eastAsia" w:ascii="Calibri" w:hAnsi="宋体" w:eastAsia="宋体" w:cs="宋体"/>
                <w:bCs/>
                <w:sz w:val="21"/>
                <w:szCs w:val="21"/>
              </w:rPr>
              <w:t>4</w:t>
            </w:r>
            <w:r>
              <w:rPr>
                <w:rFonts w:ascii="Calibri" w:hAnsi="宋体" w:eastAsia="宋体" w:cs="宋体"/>
                <w:bCs/>
                <w:sz w:val="21"/>
                <w:szCs w:val="21"/>
              </w:rPr>
              <w:t>0</w:t>
            </w:r>
          </w:p>
        </w:tc>
        <w:tc>
          <w:tcPr>
            <w:tcW w:w="860" w:type="dxa"/>
            <w:shd w:val="clear" w:color="auto" w:fill="auto"/>
            <w:vAlign w:val="center"/>
          </w:tcPr>
          <w:p w14:paraId="2EBBB84D">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6376" w:type="dxa"/>
            <w:tcBorders>
              <w:top w:val="single" w:color="auto" w:sz="2" w:space="0"/>
            </w:tcBorders>
            <w:shd w:val="clear" w:color="auto" w:fill="auto"/>
            <w:vAlign w:val="center"/>
          </w:tcPr>
          <w:p w14:paraId="3EB0CA61">
            <w:pPr>
              <w:tabs>
                <w:tab w:val="left" w:pos="547"/>
              </w:tabs>
              <w:spacing w:line="400" w:lineRule="exact"/>
              <w:ind w:firstLine="420"/>
              <w:jc w:val="both"/>
              <w:rPr>
                <w:rFonts w:ascii="Calibri" w:hAnsi="宋体" w:eastAsia="宋体" w:cs="宋体"/>
                <w:b/>
                <w:bCs/>
                <w:sz w:val="21"/>
                <w:szCs w:val="21"/>
              </w:rPr>
            </w:pPr>
            <w:r>
              <w:rPr>
                <w:rFonts w:hint="eastAsia" w:ascii="Calibri" w:hAnsi="宋体" w:eastAsia="宋体" w:cs="宋体"/>
                <w:b/>
                <w:bCs/>
                <w:sz w:val="21"/>
                <w:szCs w:val="21"/>
              </w:rPr>
              <w:t>审计实施方案：</w:t>
            </w:r>
          </w:p>
          <w:p w14:paraId="1F50B6D8">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76833A82">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针对本采购包提出审计实施方案，内容包括：①审计范围及目标；②审计方法和程序；③重难点分析及解决措施。</w:t>
            </w:r>
          </w:p>
          <w:p w14:paraId="2368765A">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79912E89">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1、完整性：方案必须全面，对评审内容中的各项要求有详细描述；</w:t>
            </w:r>
          </w:p>
          <w:p w14:paraId="51B347C9">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2、可实施性：切合本采购包实际情况，提出步骤清晰、合理的方案；</w:t>
            </w:r>
          </w:p>
          <w:p w14:paraId="65D5DA56">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3、针对性：方案能够紧扣采购包实际情况，内容科学合理。</w:t>
            </w:r>
          </w:p>
          <w:p w14:paraId="5825F9CB">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43ECD7CF">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①审计范围及目标：每满足一项评审标准得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14:paraId="701FEBB9">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②审计方法和程序：每满足一项评审标准得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14:paraId="729A1E23">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③重难点分析及解决措施：每满足一个评审标准得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tc>
        <w:tc>
          <w:tcPr>
            <w:tcW w:w="851" w:type="dxa"/>
            <w:tcBorders>
              <w:top w:val="single" w:color="auto" w:sz="2" w:space="0"/>
            </w:tcBorders>
            <w:shd w:val="clear" w:color="auto" w:fill="auto"/>
            <w:vAlign w:val="center"/>
          </w:tcPr>
          <w:p w14:paraId="1D831F73">
            <w:pPr>
              <w:spacing w:line="400" w:lineRule="exact"/>
              <w:jc w:val="center"/>
              <w:rPr>
                <w:rFonts w:ascii="Calibri" w:hAnsi="宋体" w:eastAsia="宋体" w:cs="宋体"/>
                <w:bCs/>
                <w:color w:val="FF0000"/>
                <w:sz w:val="21"/>
                <w:szCs w:val="21"/>
              </w:rPr>
            </w:pPr>
          </w:p>
        </w:tc>
      </w:tr>
      <w:tr w14:paraId="1A3A4D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25" w:hRule="atLeast"/>
        </w:trPr>
        <w:tc>
          <w:tcPr>
            <w:tcW w:w="756" w:type="dxa"/>
            <w:vMerge w:val="continue"/>
            <w:shd w:val="clear" w:color="auto" w:fill="auto"/>
            <w:vAlign w:val="center"/>
          </w:tcPr>
          <w:p w14:paraId="7218BBD7">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39EB0930">
            <w:pPr>
              <w:spacing w:line="400" w:lineRule="exact"/>
              <w:jc w:val="center"/>
              <w:rPr>
                <w:rFonts w:ascii="Calibri" w:hAnsi="宋体" w:eastAsia="宋体" w:cs="宋体"/>
                <w:bCs/>
                <w:sz w:val="21"/>
                <w:szCs w:val="21"/>
              </w:rPr>
            </w:pPr>
          </w:p>
        </w:tc>
        <w:tc>
          <w:tcPr>
            <w:tcW w:w="860" w:type="dxa"/>
            <w:shd w:val="clear" w:color="auto" w:fill="auto"/>
            <w:vAlign w:val="center"/>
          </w:tcPr>
          <w:p w14:paraId="08CC4770">
            <w:pPr>
              <w:spacing w:line="400" w:lineRule="exact"/>
              <w:jc w:val="center"/>
              <w:rPr>
                <w:rFonts w:ascii="Calibri" w:hAnsi="宋体" w:eastAsia="宋体" w:cs="宋体"/>
                <w:bCs/>
                <w:sz w:val="21"/>
                <w:szCs w:val="21"/>
              </w:rPr>
            </w:pPr>
            <w:r>
              <w:rPr>
                <w:rFonts w:ascii="Calibri" w:hAnsi="宋体" w:eastAsia="宋体" w:cs="宋体"/>
                <w:bCs/>
                <w:sz w:val="21"/>
                <w:szCs w:val="21"/>
              </w:rPr>
              <w:t>6</w:t>
            </w:r>
          </w:p>
        </w:tc>
        <w:tc>
          <w:tcPr>
            <w:tcW w:w="6376" w:type="dxa"/>
            <w:tcBorders>
              <w:top w:val="single" w:color="auto" w:sz="2" w:space="0"/>
            </w:tcBorders>
            <w:shd w:val="clear" w:color="auto" w:fill="auto"/>
            <w:vAlign w:val="center"/>
          </w:tcPr>
          <w:p w14:paraId="3D585C49">
            <w:pPr>
              <w:tabs>
                <w:tab w:val="left" w:pos="547"/>
              </w:tabs>
              <w:spacing w:line="400" w:lineRule="exact"/>
              <w:ind w:firstLine="420"/>
              <w:jc w:val="both"/>
              <w:rPr>
                <w:rFonts w:ascii="Calibri" w:hAnsi="宋体" w:eastAsia="宋体" w:cs="宋体"/>
                <w:b/>
                <w:bCs/>
                <w:sz w:val="21"/>
                <w:szCs w:val="21"/>
              </w:rPr>
            </w:pPr>
            <w:r>
              <w:rPr>
                <w:rFonts w:hint="eastAsia" w:ascii="Calibri" w:hAnsi="宋体" w:eastAsia="宋体" w:cs="宋体"/>
                <w:b/>
                <w:bCs/>
                <w:sz w:val="21"/>
                <w:szCs w:val="21"/>
              </w:rPr>
              <w:t>质量方案：</w:t>
            </w:r>
          </w:p>
          <w:p w14:paraId="01D93E15">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062F4BC7">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针对本采购包提出质量方案，方案包括：①质量控制方案；②质量保证措施。</w:t>
            </w:r>
          </w:p>
          <w:p w14:paraId="5F7AC1D9">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036B8748">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1、完整性：方案必须全面，对评审内容中的各项要求有详细描述；</w:t>
            </w:r>
          </w:p>
          <w:p w14:paraId="4F317719">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2、可实施性：切合本采购包实际情况，提出步骤清晰、合理的方案；</w:t>
            </w:r>
          </w:p>
          <w:p w14:paraId="37B2DEC9">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3、针对性：方案能够紧扣采购包实际情况，内容科学合理。</w:t>
            </w:r>
          </w:p>
          <w:p w14:paraId="6419A3A7">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46A82751">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①质量控制方案：每满足一个评审标准得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14:paraId="1FDD54BA">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②质量保证措施：每满足一个评审标准得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tc>
        <w:tc>
          <w:tcPr>
            <w:tcW w:w="851" w:type="dxa"/>
            <w:tcBorders>
              <w:top w:val="single" w:color="auto" w:sz="2" w:space="0"/>
            </w:tcBorders>
            <w:shd w:val="clear" w:color="auto" w:fill="auto"/>
            <w:vAlign w:val="center"/>
          </w:tcPr>
          <w:p w14:paraId="09083086">
            <w:pPr>
              <w:spacing w:line="400" w:lineRule="exact"/>
              <w:jc w:val="center"/>
              <w:rPr>
                <w:rFonts w:ascii="Calibri" w:hAnsi="宋体" w:eastAsia="宋体" w:cs="宋体"/>
                <w:bCs/>
                <w:color w:val="FF0000"/>
                <w:sz w:val="21"/>
                <w:szCs w:val="21"/>
              </w:rPr>
            </w:pPr>
          </w:p>
        </w:tc>
      </w:tr>
      <w:tr w14:paraId="6B8D2D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CB91F5B">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24F4B350">
            <w:pPr>
              <w:spacing w:line="400" w:lineRule="exact"/>
              <w:jc w:val="center"/>
              <w:rPr>
                <w:rFonts w:ascii="Calibri" w:hAnsi="宋体" w:eastAsia="宋体" w:cs="宋体"/>
                <w:bCs/>
                <w:sz w:val="21"/>
                <w:szCs w:val="21"/>
              </w:rPr>
            </w:pPr>
          </w:p>
        </w:tc>
        <w:tc>
          <w:tcPr>
            <w:tcW w:w="860" w:type="dxa"/>
            <w:shd w:val="clear" w:color="auto" w:fill="auto"/>
            <w:vAlign w:val="center"/>
          </w:tcPr>
          <w:p w14:paraId="5A8FC1F4">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6376" w:type="dxa"/>
            <w:tcBorders>
              <w:top w:val="single" w:color="auto" w:sz="2" w:space="0"/>
            </w:tcBorders>
            <w:shd w:val="clear" w:color="auto" w:fill="auto"/>
            <w:vAlign w:val="center"/>
          </w:tcPr>
          <w:p w14:paraId="3A2BBBC3">
            <w:pPr>
              <w:tabs>
                <w:tab w:val="left" w:pos="547"/>
              </w:tabs>
              <w:spacing w:line="400" w:lineRule="exact"/>
              <w:ind w:firstLine="420"/>
              <w:jc w:val="both"/>
              <w:rPr>
                <w:rFonts w:ascii="Calibri" w:hAnsi="宋体" w:eastAsia="宋体" w:cs="宋体"/>
                <w:b/>
                <w:bCs/>
                <w:sz w:val="21"/>
                <w:szCs w:val="21"/>
              </w:rPr>
            </w:pPr>
            <w:r>
              <w:rPr>
                <w:rFonts w:hint="eastAsia" w:ascii="Calibri" w:hAnsi="宋体" w:eastAsia="宋体" w:cs="宋体"/>
                <w:b/>
                <w:bCs/>
                <w:sz w:val="21"/>
                <w:szCs w:val="21"/>
              </w:rPr>
              <w:t>风险防控方案：</w:t>
            </w:r>
          </w:p>
          <w:p w14:paraId="734E1C1C">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169956CF">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针对本采购包提出风险防控方案，方案包括：①风险防控制度；②风险防范措施；③廉洁从业措施。</w:t>
            </w:r>
          </w:p>
          <w:p w14:paraId="13A407C3">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133FCA10">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1、完整性：方案必须全面，对评审内容中的各项要求有详细描述；</w:t>
            </w:r>
          </w:p>
          <w:p w14:paraId="4E83E0AE">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2、可实施性：切合本采购包实际情况，提出步骤清晰、合理的方案；</w:t>
            </w:r>
          </w:p>
          <w:p w14:paraId="16CA7F09">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3、针对性：方案能够紧扣采购包实际情况，内容科学合理。</w:t>
            </w:r>
          </w:p>
          <w:p w14:paraId="717842C6">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34AD0EBB">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①风险防控制度：每满足一个评审标准得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14:paraId="4C0610F2">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②风险防范措施：每满足一个评审标准得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14:paraId="581088D4">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③廉洁从业措施：每满足一个评审标准得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tc>
        <w:tc>
          <w:tcPr>
            <w:tcW w:w="851" w:type="dxa"/>
            <w:tcBorders>
              <w:top w:val="single" w:color="auto" w:sz="2" w:space="0"/>
            </w:tcBorders>
            <w:shd w:val="clear" w:color="auto" w:fill="auto"/>
            <w:vAlign w:val="center"/>
          </w:tcPr>
          <w:p w14:paraId="0D5E0908">
            <w:pPr>
              <w:spacing w:line="400" w:lineRule="exact"/>
              <w:jc w:val="center"/>
              <w:rPr>
                <w:rFonts w:ascii="Calibri" w:hAnsi="宋体" w:eastAsia="宋体" w:cs="宋体"/>
                <w:bCs/>
                <w:color w:val="FF0000"/>
                <w:sz w:val="21"/>
                <w:szCs w:val="21"/>
              </w:rPr>
            </w:pPr>
          </w:p>
        </w:tc>
      </w:tr>
      <w:tr w14:paraId="2F5468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059EE3CD">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3B95E173">
            <w:pPr>
              <w:spacing w:line="400" w:lineRule="exact"/>
              <w:jc w:val="center"/>
              <w:rPr>
                <w:rFonts w:ascii="Calibri" w:hAnsi="宋体" w:eastAsia="宋体" w:cs="宋体"/>
                <w:bCs/>
                <w:sz w:val="21"/>
                <w:szCs w:val="21"/>
              </w:rPr>
            </w:pPr>
          </w:p>
        </w:tc>
        <w:tc>
          <w:tcPr>
            <w:tcW w:w="860" w:type="dxa"/>
            <w:shd w:val="clear" w:color="auto" w:fill="auto"/>
            <w:vAlign w:val="center"/>
          </w:tcPr>
          <w:p w14:paraId="7FF6D888">
            <w:pPr>
              <w:spacing w:line="400" w:lineRule="exact"/>
              <w:jc w:val="center"/>
              <w:rPr>
                <w:rFonts w:ascii="Calibri" w:hAnsi="宋体" w:eastAsia="宋体" w:cs="宋体"/>
                <w:bCs/>
                <w:sz w:val="21"/>
                <w:szCs w:val="21"/>
              </w:rPr>
            </w:pPr>
            <w:r>
              <w:rPr>
                <w:rFonts w:ascii="Calibri" w:hAnsi="宋体" w:eastAsia="宋体" w:cs="宋体"/>
                <w:bCs/>
                <w:sz w:val="21"/>
                <w:szCs w:val="21"/>
              </w:rPr>
              <w:t>6</w:t>
            </w:r>
          </w:p>
        </w:tc>
        <w:tc>
          <w:tcPr>
            <w:tcW w:w="6376" w:type="dxa"/>
            <w:tcBorders>
              <w:top w:val="single" w:color="auto" w:sz="2" w:space="0"/>
            </w:tcBorders>
            <w:shd w:val="clear" w:color="auto" w:fill="auto"/>
            <w:vAlign w:val="center"/>
          </w:tcPr>
          <w:p w14:paraId="66A16E46">
            <w:pPr>
              <w:tabs>
                <w:tab w:val="left" w:pos="547"/>
              </w:tabs>
              <w:spacing w:line="400" w:lineRule="exact"/>
              <w:ind w:firstLine="420"/>
              <w:jc w:val="both"/>
              <w:rPr>
                <w:rFonts w:ascii="Calibri" w:hAnsi="宋体" w:eastAsia="宋体" w:cs="宋体"/>
                <w:b/>
                <w:bCs/>
                <w:sz w:val="21"/>
                <w:szCs w:val="21"/>
              </w:rPr>
            </w:pPr>
            <w:r>
              <w:rPr>
                <w:rFonts w:hint="eastAsia" w:ascii="Calibri" w:hAnsi="宋体" w:eastAsia="宋体" w:cs="宋体"/>
                <w:b/>
                <w:bCs/>
                <w:sz w:val="21"/>
                <w:szCs w:val="21"/>
              </w:rPr>
              <w:t>保密方案：</w:t>
            </w:r>
          </w:p>
          <w:p w14:paraId="5BA339F7">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1FF397D1">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针对本采购包制定保密方案，方案包括：①保密管理制度；②保密措施。</w:t>
            </w:r>
            <w:r>
              <w:rPr>
                <w:rFonts w:ascii="Calibri" w:hAnsi="宋体" w:eastAsia="宋体" w:cs="宋体"/>
                <w:sz w:val="21"/>
                <w:szCs w:val="21"/>
              </w:rPr>
              <w:t xml:space="preserve"> </w:t>
            </w:r>
          </w:p>
          <w:p w14:paraId="5F13F3A8">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107C23C6">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1、完整性：方案必须全面，对评审内容中的各项要求有详细描述；</w:t>
            </w:r>
          </w:p>
          <w:p w14:paraId="1B775FDB">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2、可实施性：切合本采购包实际情况，提出步骤清晰、合理的方案；</w:t>
            </w:r>
          </w:p>
          <w:p w14:paraId="69C87624">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3、针对性：方案能够紧扣采购包实际情况，内容科学合理。</w:t>
            </w:r>
          </w:p>
          <w:p w14:paraId="4DA516A5">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2B3D60C8">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①保密管理制度：每满足一个评审标准得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p w14:paraId="3BDDDEDB">
            <w:pPr>
              <w:tabs>
                <w:tab w:val="left" w:pos="547"/>
              </w:tabs>
              <w:spacing w:line="40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②保密措施：每满足一个评审标准得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p>
        </w:tc>
        <w:tc>
          <w:tcPr>
            <w:tcW w:w="851" w:type="dxa"/>
            <w:tcBorders>
              <w:top w:val="single" w:color="auto" w:sz="2" w:space="0"/>
            </w:tcBorders>
            <w:shd w:val="clear" w:color="auto" w:fill="auto"/>
            <w:vAlign w:val="center"/>
          </w:tcPr>
          <w:p w14:paraId="49BB3E5E">
            <w:pPr>
              <w:spacing w:line="400" w:lineRule="exact"/>
              <w:jc w:val="center"/>
              <w:rPr>
                <w:rFonts w:ascii="Calibri" w:hAnsi="宋体" w:eastAsia="宋体" w:cs="宋体"/>
                <w:bCs/>
                <w:color w:val="FF0000"/>
                <w:sz w:val="21"/>
                <w:szCs w:val="21"/>
              </w:rPr>
            </w:pPr>
          </w:p>
        </w:tc>
      </w:tr>
      <w:tr w14:paraId="12DD75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74F3E11E">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4B102DF0">
            <w:pPr>
              <w:spacing w:line="400" w:lineRule="exact"/>
              <w:jc w:val="center"/>
              <w:rPr>
                <w:rFonts w:ascii="Calibri" w:hAnsi="宋体" w:eastAsia="宋体" w:cs="宋体"/>
                <w:bCs/>
                <w:sz w:val="21"/>
                <w:szCs w:val="21"/>
              </w:rPr>
            </w:pPr>
          </w:p>
        </w:tc>
        <w:tc>
          <w:tcPr>
            <w:tcW w:w="860" w:type="dxa"/>
            <w:shd w:val="clear" w:color="auto" w:fill="auto"/>
            <w:vAlign w:val="center"/>
          </w:tcPr>
          <w:p w14:paraId="46BF3BB6">
            <w:pPr>
              <w:spacing w:line="400" w:lineRule="exact"/>
              <w:jc w:val="center"/>
              <w:rPr>
                <w:rFonts w:ascii="Calibri" w:hAnsi="宋体" w:eastAsia="宋体" w:cs="宋体"/>
                <w:bCs/>
                <w:sz w:val="21"/>
                <w:szCs w:val="21"/>
              </w:rPr>
            </w:pPr>
            <w:r>
              <w:rPr>
                <w:rFonts w:ascii="Calibri" w:hAnsi="宋体" w:eastAsia="宋体" w:cs="宋体"/>
                <w:bCs/>
                <w:sz w:val="21"/>
                <w:szCs w:val="21"/>
              </w:rPr>
              <w:t>2</w:t>
            </w:r>
          </w:p>
        </w:tc>
        <w:tc>
          <w:tcPr>
            <w:tcW w:w="6376" w:type="dxa"/>
            <w:tcBorders>
              <w:top w:val="single" w:color="auto" w:sz="2" w:space="0"/>
            </w:tcBorders>
            <w:shd w:val="clear" w:color="auto" w:fill="auto"/>
            <w:vAlign w:val="center"/>
          </w:tcPr>
          <w:p w14:paraId="5B57895D">
            <w:pPr>
              <w:tabs>
                <w:tab w:val="left" w:pos="547"/>
              </w:tabs>
              <w:spacing w:line="400" w:lineRule="exact"/>
              <w:ind w:firstLine="420"/>
              <w:jc w:val="both"/>
              <w:rPr>
                <w:rFonts w:ascii="Calibri" w:hAnsi="宋体" w:eastAsia="宋体" w:cs="宋体"/>
                <w:b/>
                <w:bCs/>
                <w:sz w:val="21"/>
                <w:szCs w:val="21"/>
              </w:rPr>
            </w:pPr>
            <w:r>
              <w:rPr>
                <w:rFonts w:hint="eastAsia" w:ascii="Calibri" w:hAnsi="宋体" w:eastAsia="宋体" w:cs="宋体"/>
                <w:b/>
                <w:bCs/>
                <w:sz w:val="21"/>
                <w:szCs w:val="21"/>
              </w:rPr>
              <w:t>应急处置方案：</w:t>
            </w:r>
          </w:p>
          <w:p w14:paraId="69EBA258">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0FBFEC47">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针对在审计工作可能遇到的紧急或意外情况，制定应急处置方案。</w:t>
            </w:r>
          </w:p>
          <w:p w14:paraId="4417889D">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52FA959F">
            <w:pPr>
              <w:tabs>
                <w:tab w:val="left" w:pos="547"/>
              </w:tabs>
              <w:spacing w:line="400" w:lineRule="exact"/>
              <w:ind w:firstLine="420"/>
              <w:jc w:val="both"/>
              <w:rPr>
                <w:rFonts w:ascii="Calibri" w:hAnsi="宋体" w:eastAsia="宋体" w:cs="宋体"/>
                <w:sz w:val="21"/>
                <w:szCs w:val="21"/>
              </w:rPr>
            </w:pPr>
            <w:r>
              <w:rPr>
                <w:rFonts w:ascii="Calibri" w:hAnsi="宋体" w:eastAsia="宋体" w:cs="宋体"/>
                <w:sz w:val="21"/>
                <w:szCs w:val="21"/>
              </w:rPr>
              <w:t>1</w:t>
            </w:r>
            <w:r>
              <w:rPr>
                <w:rFonts w:hint="eastAsia" w:ascii="Calibri" w:hAnsi="宋体" w:eastAsia="宋体" w:cs="宋体"/>
                <w:sz w:val="21"/>
                <w:szCs w:val="21"/>
              </w:rPr>
              <w:t>、可实施性：切合本采购包实际情况，提出步骤清晰、合理的方案；</w:t>
            </w:r>
          </w:p>
          <w:p w14:paraId="0E33FB0D">
            <w:pPr>
              <w:tabs>
                <w:tab w:val="left" w:pos="547"/>
              </w:tabs>
              <w:spacing w:line="400" w:lineRule="exact"/>
              <w:ind w:firstLine="420"/>
              <w:jc w:val="both"/>
              <w:rPr>
                <w:rFonts w:ascii="Calibri" w:hAnsi="宋体" w:eastAsia="宋体" w:cs="宋体"/>
                <w:sz w:val="21"/>
                <w:szCs w:val="21"/>
              </w:rPr>
            </w:pPr>
            <w:r>
              <w:rPr>
                <w:rFonts w:ascii="Calibri" w:hAnsi="宋体" w:eastAsia="宋体" w:cs="宋体"/>
                <w:sz w:val="21"/>
                <w:szCs w:val="21"/>
              </w:rPr>
              <w:t>2</w:t>
            </w:r>
            <w:r>
              <w:rPr>
                <w:rFonts w:hint="eastAsia" w:ascii="Calibri" w:hAnsi="宋体" w:eastAsia="宋体" w:cs="宋体"/>
                <w:sz w:val="21"/>
                <w:szCs w:val="21"/>
              </w:rPr>
              <w:t>、针对性：方案能够紧扣采购包实际情况，内容科学合理。</w:t>
            </w:r>
          </w:p>
          <w:p w14:paraId="7B32CD8D">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316281B2">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每满足一个评审标准得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2</w:t>
            </w:r>
            <w:r>
              <w:rPr>
                <w:rFonts w:hint="eastAsia" w:ascii="Calibri" w:hAnsi="宋体" w:eastAsia="宋体" w:cs="宋体"/>
                <w:sz w:val="21"/>
                <w:szCs w:val="21"/>
              </w:rPr>
              <w:t>分。</w:t>
            </w:r>
          </w:p>
        </w:tc>
        <w:tc>
          <w:tcPr>
            <w:tcW w:w="851" w:type="dxa"/>
            <w:tcBorders>
              <w:top w:val="single" w:color="auto" w:sz="2" w:space="0"/>
            </w:tcBorders>
            <w:shd w:val="clear" w:color="auto" w:fill="auto"/>
            <w:vAlign w:val="center"/>
          </w:tcPr>
          <w:p w14:paraId="2B165591">
            <w:pPr>
              <w:spacing w:line="400" w:lineRule="exact"/>
              <w:jc w:val="center"/>
              <w:rPr>
                <w:rFonts w:ascii="Calibri" w:hAnsi="宋体" w:eastAsia="宋体" w:cs="宋体"/>
                <w:bCs/>
                <w:color w:val="FF0000"/>
                <w:sz w:val="21"/>
                <w:szCs w:val="21"/>
              </w:rPr>
            </w:pPr>
          </w:p>
        </w:tc>
      </w:tr>
      <w:tr w14:paraId="60BB7C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27AE215B">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5E426511">
            <w:pPr>
              <w:spacing w:line="400" w:lineRule="exact"/>
              <w:jc w:val="center"/>
              <w:rPr>
                <w:rFonts w:ascii="Calibri" w:hAnsi="宋体" w:eastAsia="宋体" w:cs="宋体"/>
                <w:bCs/>
                <w:sz w:val="21"/>
                <w:szCs w:val="21"/>
              </w:rPr>
            </w:pPr>
          </w:p>
        </w:tc>
        <w:tc>
          <w:tcPr>
            <w:tcW w:w="860" w:type="dxa"/>
            <w:shd w:val="clear" w:color="auto" w:fill="auto"/>
            <w:vAlign w:val="center"/>
          </w:tcPr>
          <w:p w14:paraId="342C222E">
            <w:pPr>
              <w:spacing w:line="400" w:lineRule="exact"/>
              <w:jc w:val="center"/>
              <w:rPr>
                <w:rFonts w:ascii="Calibri" w:hAnsi="宋体" w:eastAsia="宋体" w:cs="宋体"/>
                <w:bCs/>
                <w:sz w:val="21"/>
                <w:szCs w:val="21"/>
              </w:rPr>
            </w:pPr>
            <w:r>
              <w:rPr>
                <w:rFonts w:ascii="Calibri" w:hAnsi="宋体" w:eastAsia="宋体" w:cs="宋体"/>
                <w:bCs/>
                <w:sz w:val="21"/>
                <w:szCs w:val="21"/>
              </w:rPr>
              <w:t>1</w:t>
            </w:r>
          </w:p>
        </w:tc>
        <w:tc>
          <w:tcPr>
            <w:tcW w:w="6376" w:type="dxa"/>
            <w:tcBorders>
              <w:top w:val="single" w:color="auto" w:sz="2" w:space="0"/>
            </w:tcBorders>
            <w:shd w:val="clear" w:color="auto" w:fill="auto"/>
            <w:vAlign w:val="center"/>
          </w:tcPr>
          <w:p w14:paraId="2EA7860A">
            <w:pPr>
              <w:tabs>
                <w:tab w:val="left" w:pos="547"/>
              </w:tabs>
              <w:spacing w:line="400" w:lineRule="exact"/>
              <w:ind w:firstLine="420"/>
              <w:jc w:val="both"/>
              <w:rPr>
                <w:rFonts w:ascii="Calibri" w:hAnsi="宋体" w:eastAsia="宋体" w:cs="宋体"/>
                <w:b/>
                <w:bCs/>
                <w:sz w:val="21"/>
                <w:szCs w:val="21"/>
              </w:rPr>
            </w:pPr>
            <w:r>
              <w:rPr>
                <w:rFonts w:hint="eastAsia" w:ascii="Calibri" w:hAnsi="宋体" w:eastAsia="宋体" w:cs="宋体"/>
                <w:b/>
                <w:bCs/>
                <w:sz w:val="21"/>
                <w:szCs w:val="21"/>
              </w:rPr>
              <w:t>反馈机制：</w:t>
            </w:r>
          </w:p>
          <w:p w14:paraId="2899AC9B">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2A7F7A92">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针对本采购包提供反馈机制针对服务工作中的常见问题进行梳理，提出解决方案并及时向采购人建议。</w:t>
            </w:r>
          </w:p>
          <w:p w14:paraId="5F769B9B">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5E8B5383">
            <w:pPr>
              <w:tabs>
                <w:tab w:val="left" w:pos="547"/>
              </w:tabs>
              <w:spacing w:line="400" w:lineRule="exact"/>
              <w:ind w:firstLine="420"/>
              <w:jc w:val="both"/>
              <w:rPr>
                <w:rFonts w:ascii="Calibri" w:hAnsi="宋体" w:eastAsia="宋体" w:cs="宋体"/>
                <w:sz w:val="21"/>
                <w:szCs w:val="21"/>
              </w:rPr>
            </w:pPr>
            <w:r>
              <w:rPr>
                <w:rFonts w:ascii="Calibri" w:hAnsi="宋体" w:eastAsia="宋体" w:cs="宋体"/>
                <w:sz w:val="21"/>
                <w:szCs w:val="21"/>
              </w:rPr>
              <w:t>1</w:t>
            </w:r>
            <w:r>
              <w:rPr>
                <w:rFonts w:hint="eastAsia" w:ascii="Calibri" w:hAnsi="宋体" w:eastAsia="宋体" w:cs="宋体"/>
                <w:sz w:val="21"/>
                <w:szCs w:val="21"/>
              </w:rPr>
              <w:t>、可实施性：切合本采购包实际情况，提出步骤清晰、合理的方案；</w:t>
            </w:r>
          </w:p>
          <w:p w14:paraId="1C8BA834">
            <w:pPr>
              <w:tabs>
                <w:tab w:val="left" w:pos="547"/>
              </w:tabs>
              <w:spacing w:line="400" w:lineRule="exact"/>
              <w:ind w:firstLine="420"/>
              <w:jc w:val="both"/>
              <w:rPr>
                <w:rFonts w:ascii="Calibri" w:hAnsi="宋体" w:eastAsia="宋体" w:cs="宋体"/>
                <w:sz w:val="21"/>
                <w:szCs w:val="21"/>
              </w:rPr>
            </w:pPr>
            <w:r>
              <w:rPr>
                <w:rFonts w:ascii="Calibri" w:hAnsi="宋体" w:eastAsia="宋体" w:cs="宋体"/>
                <w:sz w:val="21"/>
                <w:szCs w:val="21"/>
              </w:rPr>
              <w:t>2</w:t>
            </w:r>
            <w:r>
              <w:rPr>
                <w:rFonts w:hint="eastAsia" w:ascii="Calibri" w:hAnsi="宋体" w:eastAsia="宋体" w:cs="宋体"/>
                <w:sz w:val="21"/>
                <w:szCs w:val="21"/>
              </w:rPr>
              <w:t>、针对性：方案能够紧扣采购包实际情况，内容科学合理。</w:t>
            </w:r>
          </w:p>
          <w:p w14:paraId="34C08206">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1C2812DC">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每满足一个评审标准得</w:t>
            </w:r>
            <w:r>
              <w:rPr>
                <w:rFonts w:ascii="Calibri" w:hAnsi="宋体" w:eastAsia="宋体" w:cs="宋体"/>
                <w:sz w:val="21"/>
                <w:szCs w:val="21"/>
              </w:rPr>
              <w:t>0.5</w:t>
            </w:r>
            <w:r>
              <w:rPr>
                <w:rFonts w:hint="eastAsia" w:ascii="Calibri" w:hAnsi="宋体" w:eastAsia="宋体" w:cs="宋体"/>
                <w:sz w:val="21"/>
                <w:szCs w:val="21"/>
              </w:rPr>
              <w:t>分，满分</w:t>
            </w:r>
            <w:r>
              <w:rPr>
                <w:rFonts w:ascii="Calibri" w:hAnsi="宋体" w:eastAsia="宋体" w:cs="宋体"/>
                <w:sz w:val="21"/>
                <w:szCs w:val="21"/>
              </w:rPr>
              <w:t>1</w:t>
            </w:r>
            <w:r>
              <w:rPr>
                <w:rFonts w:hint="eastAsia" w:ascii="Calibri" w:hAnsi="宋体" w:eastAsia="宋体" w:cs="宋体"/>
                <w:sz w:val="21"/>
                <w:szCs w:val="21"/>
              </w:rPr>
              <w:t>分。</w:t>
            </w:r>
          </w:p>
        </w:tc>
        <w:tc>
          <w:tcPr>
            <w:tcW w:w="851" w:type="dxa"/>
            <w:tcBorders>
              <w:top w:val="single" w:color="auto" w:sz="2" w:space="0"/>
            </w:tcBorders>
            <w:shd w:val="clear" w:color="auto" w:fill="auto"/>
            <w:vAlign w:val="center"/>
          </w:tcPr>
          <w:p w14:paraId="486834B9">
            <w:pPr>
              <w:spacing w:line="400" w:lineRule="exact"/>
              <w:jc w:val="center"/>
              <w:rPr>
                <w:rFonts w:ascii="Calibri" w:hAnsi="宋体" w:eastAsia="宋体" w:cs="宋体"/>
                <w:bCs/>
                <w:color w:val="FF0000"/>
                <w:sz w:val="21"/>
                <w:szCs w:val="21"/>
              </w:rPr>
            </w:pPr>
          </w:p>
        </w:tc>
      </w:tr>
      <w:tr w14:paraId="766E41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D512D7A">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6E4A65E1">
            <w:pPr>
              <w:spacing w:line="400" w:lineRule="exact"/>
              <w:jc w:val="center"/>
              <w:rPr>
                <w:rFonts w:ascii="Calibri" w:hAnsi="宋体" w:eastAsia="宋体" w:cs="宋体"/>
                <w:bCs/>
                <w:sz w:val="21"/>
                <w:szCs w:val="21"/>
              </w:rPr>
            </w:pPr>
          </w:p>
        </w:tc>
        <w:tc>
          <w:tcPr>
            <w:tcW w:w="860" w:type="dxa"/>
            <w:shd w:val="clear" w:color="auto" w:fill="auto"/>
            <w:vAlign w:val="center"/>
          </w:tcPr>
          <w:p w14:paraId="37334A4C">
            <w:pPr>
              <w:spacing w:line="400" w:lineRule="exact"/>
              <w:jc w:val="center"/>
              <w:rPr>
                <w:rFonts w:ascii="Calibri" w:hAnsi="宋体" w:eastAsia="宋体" w:cs="宋体"/>
                <w:bCs/>
                <w:sz w:val="21"/>
                <w:szCs w:val="21"/>
              </w:rPr>
            </w:pPr>
            <w:r>
              <w:rPr>
                <w:rFonts w:ascii="Calibri" w:hAnsi="宋体" w:eastAsia="宋体" w:cs="宋体"/>
                <w:bCs/>
                <w:sz w:val="21"/>
                <w:szCs w:val="21"/>
              </w:rPr>
              <w:t>3</w:t>
            </w:r>
          </w:p>
        </w:tc>
        <w:tc>
          <w:tcPr>
            <w:tcW w:w="6376" w:type="dxa"/>
            <w:tcBorders>
              <w:top w:val="single" w:color="auto" w:sz="2" w:space="0"/>
            </w:tcBorders>
            <w:shd w:val="clear" w:color="auto" w:fill="auto"/>
            <w:vAlign w:val="center"/>
          </w:tcPr>
          <w:p w14:paraId="229B1D1D">
            <w:pPr>
              <w:spacing w:line="400" w:lineRule="exact"/>
              <w:ind w:firstLine="420" w:firstLineChars="200"/>
              <w:jc w:val="both"/>
              <w:rPr>
                <w:rFonts w:hAnsi="宋体"/>
                <w:b/>
                <w:bCs/>
                <w:sz w:val="21"/>
              </w:rPr>
            </w:pPr>
            <w:r>
              <w:rPr>
                <w:rFonts w:hint="eastAsia" w:hAnsi="宋体"/>
                <w:b/>
                <w:bCs/>
                <w:sz w:val="21"/>
              </w:rPr>
              <w:t>管理制度：</w:t>
            </w:r>
          </w:p>
          <w:p w14:paraId="32CEADF5">
            <w:pPr>
              <w:spacing w:line="400" w:lineRule="exact"/>
              <w:ind w:firstLine="420" w:firstLineChars="200"/>
              <w:jc w:val="both"/>
              <w:rPr>
                <w:rFonts w:hAnsi="宋体"/>
                <w:sz w:val="21"/>
              </w:rPr>
            </w:pPr>
            <w:r>
              <w:rPr>
                <w:rFonts w:hint="eastAsia" w:hAnsi="宋体"/>
                <w:sz w:val="21"/>
              </w:rPr>
              <w:t>一、评审内容</w:t>
            </w:r>
          </w:p>
          <w:p w14:paraId="3DF454CA">
            <w:pPr>
              <w:spacing w:line="400" w:lineRule="exact"/>
              <w:ind w:firstLine="420" w:firstLineChars="200"/>
              <w:jc w:val="both"/>
              <w:rPr>
                <w:rFonts w:hAnsi="宋体"/>
                <w:sz w:val="21"/>
              </w:rPr>
            </w:pPr>
            <w:r>
              <w:rPr>
                <w:rFonts w:hint="eastAsia" w:hAnsi="宋体"/>
                <w:sz w:val="21"/>
              </w:rPr>
              <w:t>供应商针对本采购包具有良好的管理制度，方案内容包括：①岗位要求：具有岗位职责、服务质量标准；②内控制度：具有廉洁敬业制度、监督机制、自查制度；③人员管理制度：具有员工日常管理制度、请销假制度、奖惩措施、激励机制。</w:t>
            </w:r>
          </w:p>
          <w:p w14:paraId="6165997B">
            <w:pPr>
              <w:spacing w:line="400" w:lineRule="exact"/>
              <w:ind w:firstLine="420" w:firstLineChars="200"/>
              <w:jc w:val="both"/>
              <w:rPr>
                <w:rFonts w:hAnsi="宋体"/>
                <w:sz w:val="21"/>
              </w:rPr>
            </w:pPr>
            <w:r>
              <w:rPr>
                <w:rFonts w:hint="eastAsia" w:hAnsi="宋体"/>
                <w:sz w:val="21"/>
              </w:rPr>
              <w:t>二、评审标准</w:t>
            </w:r>
          </w:p>
          <w:p w14:paraId="35F73A0F">
            <w:pPr>
              <w:spacing w:line="400" w:lineRule="exact"/>
              <w:ind w:firstLine="420" w:firstLineChars="200"/>
              <w:jc w:val="both"/>
              <w:rPr>
                <w:rFonts w:hAnsi="宋体"/>
                <w:sz w:val="21"/>
              </w:rPr>
            </w:pPr>
            <w:r>
              <w:rPr>
                <w:rFonts w:hint="eastAsia" w:hAnsi="宋体"/>
                <w:sz w:val="21"/>
              </w:rPr>
              <w:t>1、完整性：方案必须全面，对评审内容中的各项要求有详细描述；</w:t>
            </w:r>
          </w:p>
          <w:p w14:paraId="11BDE432">
            <w:pPr>
              <w:spacing w:line="400" w:lineRule="exact"/>
              <w:ind w:firstLine="420" w:firstLineChars="200"/>
              <w:jc w:val="both"/>
              <w:rPr>
                <w:rFonts w:hAnsi="宋体"/>
                <w:sz w:val="21"/>
              </w:rPr>
            </w:pPr>
            <w:r>
              <w:rPr>
                <w:rFonts w:hAnsi="宋体"/>
                <w:sz w:val="21"/>
              </w:rPr>
              <w:t>2</w:t>
            </w:r>
            <w:r>
              <w:rPr>
                <w:rFonts w:hint="eastAsia" w:hAnsi="宋体"/>
                <w:sz w:val="21"/>
              </w:rPr>
              <w:t>、针对性：方案能够紧扣采购包实际情况，内容科学合理。</w:t>
            </w:r>
          </w:p>
          <w:p w14:paraId="3CE803D8">
            <w:pPr>
              <w:spacing w:line="400" w:lineRule="exact"/>
              <w:ind w:firstLine="420" w:firstLineChars="200"/>
              <w:jc w:val="both"/>
              <w:rPr>
                <w:rFonts w:hAnsi="宋体"/>
                <w:sz w:val="21"/>
              </w:rPr>
            </w:pPr>
            <w:r>
              <w:rPr>
                <w:rFonts w:hint="eastAsia" w:hAnsi="宋体"/>
                <w:sz w:val="21"/>
              </w:rPr>
              <w:t>三、赋分标准</w:t>
            </w:r>
          </w:p>
          <w:p w14:paraId="277DECBE">
            <w:pPr>
              <w:tabs>
                <w:tab w:val="left" w:pos="547"/>
              </w:tabs>
              <w:spacing w:line="400" w:lineRule="exact"/>
              <w:ind w:firstLine="420"/>
              <w:jc w:val="both"/>
              <w:rPr>
                <w:rFonts w:hAnsi="宋体"/>
                <w:sz w:val="21"/>
              </w:rPr>
            </w:pPr>
            <w:r>
              <w:rPr>
                <w:rFonts w:hint="eastAsia" w:hAnsi="宋体"/>
                <w:sz w:val="21"/>
              </w:rPr>
              <w:t>①岗位要求：每满足一个评审标准得0.5分，满分1分；</w:t>
            </w:r>
          </w:p>
          <w:p w14:paraId="21023AC9">
            <w:pPr>
              <w:tabs>
                <w:tab w:val="left" w:pos="547"/>
              </w:tabs>
              <w:spacing w:line="400" w:lineRule="exact"/>
              <w:ind w:firstLine="420"/>
              <w:jc w:val="both"/>
              <w:rPr>
                <w:rFonts w:hAnsi="宋体"/>
                <w:sz w:val="21"/>
              </w:rPr>
            </w:pPr>
            <w:r>
              <w:rPr>
                <w:rFonts w:hint="eastAsia" w:hAnsi="宋体"/>
                <w:sz w:val="21"/>
              </w:rPr>
              <w:t>②内控制度：每满足一个评审标准得0.5分，满分</w:t>
            </w:r>
            <w:r>
              <w:rPr>
                <w:rFonts w:hAnsi="宋体"/>
                <w:sz w:val="21"/>
              </w:rPr>
              <w:t>1</w:t>
            </w:r>
            <w:r>
              <w:rPr>
                <w:rFonts w:hint="eastAsia" w:hAnsi="宋体"/>
                <w:sz w:val="21"/>
              </w:rPr>
              <w:t>分；</w:t>
            </w:r>
          </w:p>
          <w:p w14:paraId="45B60C44">
            <w:pPr>
              <w:tabs>
                <w:tab w:val="left" w:pos="547"/>
              </w:tabs>
              <w:spacing w:line="400" w:lineRule="exact"/>
              <w:ind w:firstLine="420"/>
              <w:jc w:val="both"/>
              <w:rPr>
                <w:rFonts w:ascii="Calibri" w:hAnsi="宋体" w:eastAsia="宋体" w:cs="宋体"/>
                <w:sz w:val="21"/>
                <w:szCs w:val="21"/>
              </w:rPr>
            </w:pPr>
            <w:r>
              <w:rPr>
                <w:rFonts w:hint="eastAsia" w:hAnsi="宋体"/>
                <w:sz w:val="21"/>
              </w:rPr>
              <w:t>③人员管理制度：每满足一个评审标准得0.5分，满分</w:t>
            </w:r>
            <w:r>
              <w:rPr>
                <w:rFonts w:hAnsi="宋体"/>
                <w:sz w:val="21"/>
              </w:rPr>
              <w:t>1</w:t>
            </w:r>
            <w:r>
              <w:rPr>
                <w:rFonts w:hint="eastAsia" w:hAnsi="宋体"/>
                <w:sz w:val="21"/>
              </w:rPr>
              <w:t>分。</w:t>
            </w:r>
          </w:p>
        </w:tc>
        <w:tc>
          <w:tcPr>
            <w:tcW w:w="851" w:type="dxa"/>
            <w:tcBorders>
              <w:top w:val="single" w:color="auto" w:sz="2" w:space="0"/>
            </w:tcBorders>
            <w:shd w:val="clear" w:color="auto" w:fill="auto"/>
            <w:vAlign w:val="center"/>
          </w:tcPr>
          <w:p w14:paraId="7401718E">
            <w:pPr>
              <w:spacing w:line="400" w:lineRule="exact"/>
              <w:jc w:val="center"/>
              <w:rPr>
                <w:rFonts w:ascii="Calibri" w:hAnsi="宋体" w:eastAsia="宋体" w:cs="宋体"/>
                <w:bCs/>
                <w:color w:val="FF0000"/>
                <w:sz w:val="21"/>
                <w:szCs w:val="21"/>
              </w:rPr>
            </w:pPr>
          </w:p>
        </w:tc>
      </w:tr>
      <w:tr w14:paraId="778EC7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D4EE535">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66BC0EF9">
            <w:pPr>
              <w:spacing w:line="400" w:lineRule="exact"/>
              <w:jc w:val="center"/>
              <w:rPr>
                <w:rFonts w:ascii="Calibri" w:hAnsi="宋体" w:eastAsia="宋体" w:cs="宋体"/>
                <w:bCs/>
                <w:sz w:val="21"/>
                <w:szCs w:val="21"/>
              </w:rPr>
            </w:pPr>
          </w:p>
        </w:tc>
        <w:tc>
          <w:tcPr>
            <w:tcW w:w="860" w:type="dxa"/>
            <w:shd w:val="clear" w:color="auto" w:fill="auto"/>
            <w:vAlign w:val="center"/>
          </w:tcPr>
          <w:p w14:paraId="579755CD">
            <w:pPr>
              <w:spacing w:line="400" w:lineRule="exact"/>
              <w:jc w:val="center"/>
              <w:rPr>
                <w:rFonts w:ascii="Calibri" w:hAnsi="宋体" w:eastAsia="宋体" w:cs="宋体"/>
                <w:bCs/>
                <w:sz w:val="21"/>
                <w:szCs w:val="21"/>
              </w:rPr>
            </w:pPr>
            <w:r>
              <w:rPr>
                <w:rFonts w:ascii="Calibri" w:hAnsi="宋体" w:eastAsia="宋体" w:cs="宋体"/>
                <w:bCs/>
                <w:sz w:val="21"/>
                <w:szCs w:val="21"/>
              </w:rPr>
              <w:t>1</w:t>
            </w:r>
          </w:p>
        </w:tc>
        <w:tc>
          <w:tcPr>
            <w:tcW w:w="6376" w:type="dxa"/>
            <w:tcBorders>
              <w:top w:val="single" w:color="auto" w:sz="2" w:space="0"/>
            </w:tcBorders>
            <w:shd w:val="clear" w:color="auto" w:fill="auto"/>
            <w:vAlign w:val="center"/>
          </w:tcPr>
          <w:p w14:paraId="3216EC3F">
            <w:pPr>
              <w:tabs>
                <w:tab w:val="left" w:pos="547"/>
              </w:tabs>
              <w:spacing w:line="400" w:lineRule="exact"/>
              <w:ind w:firstLine="420"/>
              <w:jc w:val="both"/>
              <w:rPr>
                <w:rFonts w:ascii="Calibri" w:hAnsi="宋体" w:eastAsia="宋体" w:cs="宋体"/>
                <w:b/>
                <w:bCs/>
                <w:sz w:val="21"/>
                <w:szCs w:val="21"/>
              </w:rPr>
            </w:pPr>
            <w:r>
              <w:rPr>
                <w:rFonts w:hint="eastAsia" w:ascii="Calibri" w:hAnsi="宋体" w:eastAsia="宋体" w:cs="宋体"/>
                <w:b/>
                <w:bCs/>
                <w:sz w:val="21"/>
                <w:szCs w:val="21"/>
              </w:rPr>
              <w:t>档案管理方案：</w:t>
            </w:r>
          </w:p>
          <w:p w14:paraId="225FF631">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56747111">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针对本采购包制定档案管理方案：针对各岗位职责范围内产生的资料具有合理的规划、保管和移交措施。</w:t>
            </w:r>
          </w:p>
          <w:p w14:paraId="4C228D04">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5FBB4072">
            <w:pPr>
              <w:tabs>
                <w:tab w:val="left" w:pos="547"/>
              </w:tabs>
              <w:spacing w:line="400" w:lineRule="exact"/>
              <w:ind w:firstLine="420"/>
              <w:jc w:val="both"/>
              <w:rPr>
                <w:rFonts w:ascii="Calibri" w:hAnsi="宋体" w:eastAsia="宋体" w:cs="宋体"/>
                <w:sz w:val="21"/>
                <w:szCs w:val="21"/>
              </w:rPr>
            </w:pPr>
            <w:r>
              <w:rPr>
                <w:rFonts w:ascii="Calibri" w:hAnsi="宋体" w:eastAsia="宋体" w:cs="宋体"/>
                <w:sz w:val="21"/>
                <w:szCs w:val="21"/>
              </w:rPr>
              <w:t>1</w:t>
            </w:r>
            <w:r>
              <w:rPr>
                <w:rFonts w:hint="eastAsia" w:ascii="Calibri" w:hAnsi="宋体" w:eastAsia="宋体" w:cs="宋体"/>
                <w:sz w:val="21"/>
                <w:szCs w:val="21"/>
              </w:rPr>
              <w:t>、可实施性：切合本采购包实际情况，提出步骤清晰、合理的方案；</w:t>
            </w:r>
          </w:p>
          <w:p w14:paraId="2DA444D5">
            <w:pPr>
              <w:tabs>
                <w:tab w:val="left" w:pos="547"/>
              </w:tabs>
              <w:spacing w:line="400" w:lineRule="exact"/>
              <w:ind w:firstLine="420"/>
              <w:jc w:val="both"/>
              <w:rPr>
                <w:rFonts w:ascii="Calibri" w:hAnsi="宋体" w:eastAsia="宋体" w:cs="宋体"/>
                <w:sz w:val="21"/>
                <w:szCs w:val="21"/>
              </w:rPr>
            </w:pPr>
            <w:r>
              <w:rPr>
                <w:rFonts w:ascii="Calibri" w:hAnsi="宋体" w:eastAsia="宋体" w:cs="宋体"/>
                <w:sz w:val="21"/>
                <w:szCs w:val="21"/>
              </w:rPr>
              <w:t>2</w:t>
            </w:r>
            <w:r>
              <w:rPr>
                <w:rFonts w:hint="eastAsia" w:ascii="Calibri" w:hAnsi="宋体" w:eastAsia="宋体" w:cs="宋体"/>
                <w:sz w:val="21"/>
                <w:szCs w:val="21"/>
              </w:rPr>
              <w:t>、针对性：方案能够紧扣采购包实际情况，内容科学合理。</w:t>
            </w:r>
          </w:p>
          <w:p w14:paraId="3171510A">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63C3702A">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每满足一项评审标准得</w:t>
            </w:r>
            <w:r>
              <w:rPr>
                <w:rFonts w:ascii="Calibri" w:hAnsi="宋体" w:eastAsia="宋体" w:cs="宋体"/>
                <w:sz w:val="21"/>
                <w:szCs w:val="21"/>
              </w:rPr>
              <w:t>0.5</w:t>
            </w:r>
            <w:r>
              <w:rPr>
                <w:rFonts w:hint="eastAsia" w:ascii="Calibri" w:hAnsi="宋体" w:eastAsia="宋体" w:cs="宋体"/>
                <w:sz w:val="21"/>
                <w:szCs w:val="21"/>
              </w:rPr>
              <w:t>分，满分</w:t>
            </w:r>
            <w:r>
              <w:rPr>
                <w:rFonts w:ascii="Calibri" w:hAnsi="宋体" w:eastAsia="宋体" w:cs="宋体"/>
                <w:sz w:val="21"/>
                <w:szCs w:val="21"/>
              </w:rPr>
              <w:t>1</w:t>
            </w:r>
            <w:r>
              <w:rPr>
                <w:rFonts w:hint="eastAsia" w:ascii="Calibri" w:hAnsi="宋体" w:eastAsia="宋体" w:cs="宋体"/>
                <w:sz w:val="21"/>
                <w:szCs w:val="21"/>
              </w:rPr>
              <w:t>分；</w:t>
            </w:r>
          </w:p>
        </w:tc>
        <w:tc>
          <w:tcPr>
            <w:tcW w:w="851" w:type="dxa"/>
            <w:tcBorders>
              <w:top w:val="single" w:color="auto" w:sz="2" w:space="0"/>
            </w:tcBorders>
            <w:shd w:val="clear" w:color="auto" w:fill="auto"/>
            <w:vAlign w:val="center"/>
          </w:tcPr>
          <w:p w14:paraId="5BB2DB2A">
            <w:pPr>
              <w:spacing w:line="400" w:lineRule="exact"/>
              <w:jc w:val="center"/>
              <w:rPr>
                <w:rFonts w:ascii="Calibri" w:hAnsi="宋体" w:eastAsia="宋体" w:cs="宋体"/>
                <w:bCs/>
                <w:color w:val="FF0000"/>
                <w:sz w:val="21"/>
                <w:szCs w:val="21"/>
              </w:rPr>
            </w:pPr>
          </w:p>
        </w:tc>
      </w:tr>
      <w:tr w14:paraId="442398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130016D3">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05786051">
            <w:pPr>
              <w:spacing w:line="400" w:lineRule="exact"/>
              <w:jc w:val="center"/>
              <w:rPr>
                <w:rFonts w:ascii="Calibri" w:hAnsi="宋体" w:eastAsia="宋体" w:cs="宋体"/>
                <w:bCs/>
                <w:sz w:val="21"/>
                <w:szCs w:val="21"/>
              </w:rPr>
            </w:pPr>
          </w:p>
        </w:tc>
        <w:tc>
          <w:tcPr>
            <w:tcW w:w="860" w:type="dxa"/>
            <w:shd w:val="clear" w:color="auto" w:fill="auto"/>
            <w:vAlign w:val="center"/>
          </w:tcPr>
          <w:p w14:paraId="7613B7B9">
            <w:pPr>
              <w:spacing w:line="400" w:lineRule="exact"/>
              <w:jc w:val="center"/>
              <w:rPr>
                <w:rFonts w:ascii="Calibri" w:hAnsi="宋体" w:eastAsia="宋体" w:cs="宋体"/>
                <w:bCs/>
                <w:sz w:val="21"/>
                <w:szCs w:val="21"/>
              </w:rPr>
            </w:pPr>
            <w:r>
              <w:rPr>
                <w:rFonts w:ascii="Calibri" w:hAnsi="宋体" w:eastAsia="宋体" w:cs="宋体"/>
                <w:bCs/>
                <w:sz w:val="21"/>
                <w:szCs w:val="21"/>
              </w:rPr>
              <w:t>3</w:t>
            </w:r>
          </w:p>
        </w:tc>
        <w:tc>
          <w:tcPr>
            <w:tcW w:w="6376" w:type="dxa"/>
            <w:tcBorders>
              <w:top w:val="single" w:color="auto" w:sz="2" w:space="0"/>
            </w:tcBorders>
            <w:shd w:val="clear" w:color="auto" w:fill="auto"/>
            <w:vAlign w:val="center"/>
          </w:tcPr>
          <w:p w14:paraId="5ABA13B7">
            <w:pPr>
              <w:tabs>
                <w:tab w:val="left" w:pos="547"/>
              </w:tabs>
              <w:spacing w:line="400" w:lineRule="exact"/>
              <w:ind w:firstLine="420"/>
              <w:jc w:val="both"/>
              <w:rPr>
                <w:rFonts w:ascii="Calibri" w:hAnsi="宋体" w:eastAsia="宋体" w:cs="宋体"/>
                <w:b/>
                <w:bCs/>
                <w:sz w:val="21"/>
                <w:szCs w:val="21"/>
              </w:rPr>
            </w:pPr>
            <w:r>
              <w:rPr>
                <w:rFonts w:hint="eastAsia" w:ascii="Calibri" w:hAnsi="宋体" w:eastAsia="宋体" w:cs="宋体"/>
                <w:b/>
                <w:bCs/>
                <w:sz w:val="21"/>
                <w:szCs w:val="21"/>
              </w:rPr>
              <w:t>培训考核方案：</w:t>
            </w:r>
          </w:p>
          <w:p w14:paraId="4AC2ACE1">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296F1D04">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根据本采购包制定详细、可行的培训考核方案，保证上岗人员的专业素质、服务质量符合采购人要求，方案内容包括：①岗前培训；②定期常态化培训；③培训后的考核。</w:t>
            </w:r>
          </w:p>
          <w:p w14:paraId="26B8DDCC">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391D1897">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1、完整性：方案必须全面，对评审内容中的各项要求有详细描述；</w:t>
            </w:r>
          </w:p>
          <w:p w14:paraId="111312D4">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2、可实施性：切合本采购包实际情况，实施步骤清晰、合理；</w:t>
            </w:r>
          </w:p>
          <w:p w14:paraId="71F76985">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0BAF7CBD">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①岗前培训：每满足一个评审标准得0.5分，满分</w:t>
            </w:r>
            <w:r>
              <w:rPr>
                <w:rFonts w:ascii="Calibri" w:hAnsi="宋体" w:eastAsia="宋体" w:cs="宋体"/>
                <w:sz w:val="21"/>
                <w:szCs w:val="21"/>
              </w:rPr>
              <w:t>1</w:t>
            </w:r>
            <w:r>
              <w:rPr>
                <w:rFonts w:hint="eastAsia" w:ascii="Calibri" w:hAnsi="宋体" w:eastAsia="宋体" w:cs="宋体"/>
                <w:sz w:val="21"/>
                <w:szCs w:val="21"/>
              </w:rPr>
              <w:t>分；</w:t>
            </w:r>
          </w:p>
          <w:p w14:paraId="2996AFA2">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②定期常态化培训：每满足一个评审标准得0.5分，满分</w:t>
            </w:r>
            <w:r>
              <w:rPr>
                <w:rFonts w:ascii="Calibri" w:hAnsi="宋体" w:eastAsia="宋体" w:cs="宋体"/>
                <w:sz w:val="21"/>
                <w:szCs w:val="21"/>
              </w:rPr>
              <w:t>1</w:t>
            </w:r>
            <w:r>
              <w:rPr>
                <w:rFonts w:hint="eastAsia" w:ascii="Calibri" w:hAnsi="宋体" w:eastAsia="宋体" w:cs="宋体"/>
                <w:sz w:val="21"/>
                <w:szCs w:val="21"/>
              </w:rPr>
              <w:t>分；</w:t>
            </w:r>
          </w:p>
          <w:p w14:paraId="6D7C2C2A">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③培训后的考核：每满足一个评审标准得0.5分，满分</w:t>
            </w:r>
            <w:r>
              <w:rPr>
                <w:rFonts w:ascii="Calibri" w:hAnsi="宋体" w:eastAsia="宋体" w:cs="宋体"/>
                <w:sz w:val="21"/>
                <w:szCs w:val="21"/>
              </w:rPr>
              <w:t>1</w:t>
            </w:r>
            <w:r>
              <w:rPr>
                <w:rFonts w:hint="eastAsia" w:ascii="Calibri" w:hAnsi="宋体" w:eastAsia="宋体" w:cs="宋体"/>
                <w:sz w:val="21"/>
                <w:szCs w:val="21"/>
              </w:rPr>
              <w:t>分。</w:t>
            </w:r>
          </w:p>
        </w:tc>
        <w:tc>
          <w:tcPr>
            <w:tcW w:w="851" w:type="dxa"/>
            <w:tcBorders>
              <w:top w:val="single" w:color="auto" w:sz="2" w:space="0"/>
            </w:tcBorders>
            <w:shd w:val="clear" w:color="auto" w:fill="auto"/>
            <w:vAlign w:val="center"/>
          </w:tcPr>
          <w:p w14:paraId="4FB7401E">
            <w:pPr>
              <w:spacing w:line="400" w:lineRule="exact"/>
              <w:jc w:val="center"/>
              <w:rPr>
                <w:rFonts w:ascii="Calibri" w:hAnsi="宋体" w:eastAsia="宋体" w:cs="宋体"/>
                <w:bCs/>
                <w:color w:val="FF0000"/>
                <w:sz w:val="21"/>
                <w:szCs w:val="21"/>
              </w:rPr>
            </w:pPr>
          </w:p>
        </w:tc>
      </w:tr>
      <w:tr w14:paraId="531B01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24961D1C">
            <w:pPr>
              <w:spacing w:line="400" w:lineRule="exact"/>
              <w:jc w:val="center"/>
              <w:rPr>
                <w:rFonts w:ascii="Calibri" w:hAnsi="宋体" w:eastAsia="宋体" w:cs="宋体"/>
                <w:bCs/>
                <w:sz w:val="21"/>
                <w:szCs w:val="21"/>
              </w:rPr>
            </w:pPr>
            <w:r>
              <w:rPr>
                <w:rFonts w:hint="eastAsia" w:ascii="Calibri" w:hAnsi="宋体" w:eastAsia="宋体" w:cs="宋体"/>
                <w:b/>
                <w:sz w:val="21"/>
                <w:szCs w:val="21"/>
              </w:rPr>
              <w:t>商务部分</w:t>
            </w:r>
          </w:p>
        </w:tc>
        <w:tc>
          <w:tcPr>
            <w:tcW w:w="640" w:type="dxa"/>
            <w:vMerge w:val="restart"/>
            <w:shd w:val="clear" w:color="auto" w:fill="auto"/>
            <w:vAlign w:val="center"/>
          </w:tcPr>
          <w:p w14:paraId="2DE786ED">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r>
              <w:rPr>
                <w:rFonts w:ascii="Calibri" w:hAnsi="宋体" w:eastAsia="宋体" w:cs="宋体"/>
                <w:bCs/>
                <w:sz w:val="21"/>
                <w:szCs w:val="21"/>
              </w:rPr>
              <w:t>0</w:t>
            </w:r>
          </w:p>
        </w:tc>
        <w:tc>
          <w:tcPr>
            <w:tcW w:w="860" w:type="dxa"/>
            <w:shd w:val="clear" w:color="auto" w:fill="auto"/>
            <w:vAlign w:val="center"/>
          </w:tcPr>
          <w:p w14:paraId="262FFE14">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0</w:t>
            </w:r>
          </w:p>
        </w:tc>
        <w:tc>
          <w:tcPr>
            <w:tcW w:w="6376" w:type="dxa"/>
            <w:shd w:val="clear" w:color="auto" w:fill="auto"/>
            <w:vAlign w:val="center"/>
          </w:tcPr>
          <w:p w14:paraId="4D956A6B">
            <w:pPr>
              <w:tabs>
                <w:tab w:val="left" w:pos="547"/>
              </w:tabs>
              <w:spacing w:line="400" w:lineRule="exact"/>
              <w:ind w:firstLine="420"/>
              <w:jc w:val="both"/>
              <w:rPr>
                <w:rFonts w:ascii="Calibri" w:hAnsi="宋体" w:eastAsia="宋体" w:cs="宋体"/>
                <w:b/>
                <w:bCs/>
                <w:sz w:val="21"/>
                <w:szCs w:val="21"/>
              </w:rPr>
            </w:pPr>
            <w:r>
              <w:rPr>
                <w:rFonts w:hint="eastAsia" w:ascii="Calibri" w:hAnsi="宋体" w:eastAsia="宋体" w:cs="宋体"/>
                <w:b/>
                <w:bCs/>
                <w:sz w:val="21"/>
                <w:szCs w:val="21"/>
              </w:rPr>
              <w:t>项目负责人：</w:t>
            </w:r>
          </w:p>
          <w:p w14:paraId="7F20D8FF">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2</w:t>
            </w:r>
            <w:r>
              <w:rPr>
                <w:rFonts w:ascii="Calibri" w:hAnsi="宋体" w:eastAsia="宋体" w:cs="宋体"/>
                <w:sz w:val="21"/>
                <w:szCs w:val="21"/>
              </w:rPr>
              <w:t>021</w:t>
            </w:r>
            <w:r>
              <w:rPr>
                <w:rFonts w:hint="eastAsia" w:ascii="Calibri" w:hAnsi="宋体" w:eastAsia="宋体" w:cs="宋体"/>
                <w:sz w:val="21"/>
                <w:szCs w:val="21"/>
              </w:rPr>
              <w:t>年1月1日（以合同签订时间为准）以来，作为项目负责人承担完成过的审计业绩，每出具一个业绩得2分，满分</w:t>
            </w:r>
            <w:r>
              <w:rPr>
                <w:rFonts w:ascii="Calibri" w:hAnsi="宋体" w:eastAsia="宋体" w:cs="宋体"/>
                <w:sz w:val="21"/>
                <w:szCs w:val="21"/>
              </w:rPr>
              <w:t>10</w:t>
            </w:r>
            <w:r>
              <w:rPr>
                <w:rFonts w:hint="eastAsia" w:ascii="Calibri" w:hAnsi="宋体" w:eastAsia="宋体" w:cs="宋体"/>
                <w:sz w:val="21"/>
                <w:szCs w:val="21"/>
              </w:rPr>
              <w:t>分。</w:t>
            </w:r>
          </w:p>
          <w:p w14:paraId="2A31BC8D">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赋分依据：以能体现项目负责人姓名的审计报告或合同扫描件等证明材料为准，不提供不得分。</w:t>
            </w:r>
          </w:p>
          <w:p w14:paraId="5AA72265">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备注：除上述赋分依据外，还须同时提供供应商为其缴纳的2</w:t>
            </w:r>
            <w:r>
              <w:rPr>
                <w:rFonts w:ascii="Calibri" w:hAnsi="宋体" w:eastAsia="宋体" w:cs="宋体"/>
                <w:sz w:val="21"/>
                <w:szCs w:val="21"/>
              </w:rPr>
              <w:t>026</w:t>
            </w:r>
            <w:r>
              <w:rPr>
                <w:rFonts w:hint="eastAsia" w:ascii="Calibri" w:hAnsi="宋体" w:eastAsia="宋体" w:cs="宋体"/>
                <w:sz w:val="21"/>
                <w:szCs w:val="21"/>
              </w:rPr>
              <w:t>年任意一个月的社保缴纳证明材料。</w:t>
            </w:r>
          </w:p>
          <w:p w14:paraId="2DECDBDE">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若项目负责人为退休人员（返聘人员）的，需提供加盖供应商公章的工资条或劳动合同等证明材料。</w:t>
            </w:r>
          </w:p>
          <w:p w14:paraId="1A32FFCA">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不提供或缺漏项本不得分。</w:t>
            </w:r>
          </w:p>
        </w:tc>
        <w:tc>
          <w:tcPr>
            <w:tcW w:w="851" w:type="dxa"/>
            <w:shd w:val="clear" w:color="auto" w:fill="auto"/>
            <w:vAlign w:val="center"/>
          </w:tcPr>
          <w:p w14:paraId="318B968A">
            <w:pPr>
              <w:spacing w:line="400" w:lineRule="exact"/>
              <w:jc w:val="center"/>
              <w:rPr>
                <w:rFonts w:ascii="Calibri" w:hAnsi="宋体" w:eastAsia="宋体" w:cs="宋体"/>
                <w:bCs/>
                <w:color w:val="FF0000"/>
                <w:sz w:val="21"/>
                <w:szCs w:val="21"/>
              </w:rPr>
            </w:pPr>
          </w:p>
        </w:tc>
      </w:tr>
      <w:tr w14:paraId="5826C4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E1FFA5F">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3BD4E880">
            <w:pPr>
              <w:spacing w:line="400" w:lineRule="exact"/>
              <w:jc w:val="center"/>
              <w:rPr>
                <w:rFonts w:ascii="Calibri" w:hAnsi="宋体" w:eastAsia="宋体" w:cs="宋体"/>
                <w:bCs/>
                <w:sz w:val="21"/>
                <w:szCs w:val="21"/>
              </w:rPr>
            </w:pPr>
          </w:p>
        </w:tc>
        <w:tc>
          <w:tcPr>
            <w:tcW w:w="860" w:type="dxa"/>
            <w:shd w:val="clear" w:color="auto" w:fill="auto"/>
            <w:vAlign w:val="center"/>
          </w:tcPr>
          <w:p w14:paraId="71E8561B">
            <w:pPr>
              <w:spacing w:line="400" w:lineRule="exact"/>
              <w:jc w:val="center"/>
              <w:rPr>
                <w:rFonts w:ascii="Calibri" w:hAnsi="宋体" w:eastAsia="宋体" w:cs="宋体"/>
                <w:bCs/>
                <w:sz w:val="21"/>
                <w:szCs w:val="21"/>
              </w:rPr>
            </w:pPr>
            <w:r>
              <w:rPr>
                <w:rFonts w:ascii="Calibri" w:hAnsi="宋体" w:eastAsia="宋体" w:cs="宋体"/>
                <w:bCs/>
                <w:sz w:val="21"/>
                <w:szCs w:val="21"/>
              </w:rPr>
              <w:t>7</w:t>
            </w:r>
          </w:p>
        </w:tc>
        <w:tc>
          <w:tcPr>
            <w:tcW w:w="6376" w:type="dxa"/>
            <w:shd w:val="clear" w:color="auto" w:fill="auto"/>
            <w:vAlign w:val="center"/>
          </w:tcPr>
          <w:p w14:paraId="23A1D3AD">
            <w:pPr>
              <w:spacing w:line="400" w:lineRule="exact"/>
              <w:ind w:firstLine="420" w:firstLineChars="200"/>
              <w:jc w:val="both"/>
              <w:rPr>
                <w:rFonts w:ascii="Calibri" w:hAnsi="宋体" w:eastAsia="宋体"/>
                <w:b/>
                <w:bCs/>
                <w:sz w:val="21"/>
              </w:rPr>
            </w:pPr>
            <w:r>
              <w:rPr>
                <w:rFonts w:hint="eastAsia" w:ascii="Calibri" w:hAnsi="宋体" w:eastAsia="宋体"/>
                <w:b/>
                <w:bCs/>
                <w:sz w:val="21"/>
              </w:rPr>
              <w:t>人员要求：</w:t>
            </w:r>
          </w:p>
          <w:p w14:paraId="45EDCBDB">
            <w:pPr>
              <w:spacing w:line="400" w:lineRule="exact"/>
              <w:ind w:firstLine="420" w:firstLineChars="200"/>
              <w:jc w:val="both"/>
              <w:rPr>
                <w:rFonts w:ascii="Calibri" w:hAnsi="宋体" w:eastAsia="宋体"/>
                <w:sz w:val="21"/>
              </w:rPr>
            </w:pPr>
            <w:r>
              <w:rPr>
                <w:rFonts w:hint="eastAsia" w:ascii="Calibri" w:hAnsi="宋体" w:eastAsia="宋体"/>
                <w:sz w:val="21"/>
              </w:rPr>
              <w:t>1、在满足本采购包人数要求（3人）的前提下，每增加一名工作人员得</w:t>
            </w:r>
            <w:r>
              <w:rPr>
                <w:rFonts w:ascii="Calibri" w:hAnsi="宋体" w:eastAsia="宋体"/>
                <w:sz w:val="21"/>
              </w:rPr>
              <w:t>1</w:t>
            </w:r>
            <w:r>
              <w:rPr>
                <w:rFonts w:hint="eastAsia" w:ascii="Calibri" w:hAnsi="宋体" w:eastAsia="宋体"/>
                <w:sz w:val="21"/>
              </w:rPr>
              <w:t>分，满分</w:t>
            </w:r>
            <w:r>
              <w:rPr>
                <w:rFonts w:ascii="Calibri" w:hAnsi="宋体" w:eastAsia="宋体"/>
                <w:sz w:val="21"/>
              </w:rPr>
              <w:t>3</w:t>
            </w:r>
            <w:r>
              <w:rPr>
                <w:rFonts w:hint="eastAsia" w:ascii="Calibri" w:hAnsi="宋体" w:eastAsia="宋体"/>
                <w:sz w:val="21"/>
              </w:rPr>
              <w:t>分。</w:t>
            </w:r>
            <w:r>
              <w:rPr>
                <w:rFonts w:hint="eastAsia" w:ascii="Calibri" w:hAnsi="宋体" w:eastAsia="宋体" w:cs="宋体"/>
                <w:sz w:val="21"/>
                <w:szCs w:val="21"/>
              </w:rPr>
              <w:t>提供供应商为其缴纳的2</w:t>
            </w:r>
            <w:r>
              <w:rPr>
                <w:rFonts w:ascii="Calibri" w:hAnsi="宋体" w:eastAsia="宋体" w:cs="宋体"/>
                <w:sz w:val="21"/>
                <w:szCs w:val="21"/>
              </w:rPr>
              <w:t>026</w:t>
            </w:r>
            <w:r>
              <w:rPr>
                <w:rFonts w:hint="eastAsia" w:ascii="Calibri" w:hAnsi="宋体" w:eastAsia="宋体" w:cs="宋体"/>
                <w:sz w:val="21"/>
                <w:szCs w:val="21"/>
              </w:rPr>
              <w:t>年任意一个月的社保缴纳证明材料。</w:t>
            </w:r>
          </w:p>
          <w:p w14:paraId="793C4151">
            <w:pPr>
              <w:spacing w:line="400" w:lineRule="exact"/>
              <w:ind w:firstLine="420" w:firstLineChars="200"/>
              <w:jc w:val="both"/>
              <w:rPr>
                <w:rFonts w:ascii="Calibri" w:hAnsi="宋体" w:eastAsia="宋体"/>
                <w:sz w:val="21"/>
              </w:rPr>
            </w:pPr>
            <w:r>
              <w:rPr>
                <w:rFonts w:ascii="Calibri" w:hAnsi="宋体" w:eastAsia="宋体"/>
                <w:sz w:val="21"/>
              </w:rPr>
              <w:t>2</w:t>
            </w:r>
            <w:r>
              <w:rPr>
                <w:rFonts w:hint="eastAsia" w:ascii="Calibri" w:hAnsi="宋体" w:eastAsia="宋体"/>
                <w:sz w:val="21"/>
              </w:rPr>
              <w:t>、在项目负责人为一级造价工程师的基础上，每增加一名一级造价工程师得2分，每增加一名二级造价工程师得</w:t>
            </w:r>
            <w:r>
              <w:rPr>
                <w:rFonts w:ascii="Calibri" w:hAnsi="宋体" w:eastAsia="宋体"/>
                <w:sz w:val="21"/>
              </w:rPr>
              <w:t>1</w:t>
            </w:r>
            <w:r>
              <w:rPr>
                <w:rFonts w:hint="eastAsia" w:ascii="Calibri" w:hAnsi="宋体" w:eastAsia="宋体"/>
                <w:sz w:val="21"/>
              </w:rPr>
              <w:t>分，满分</w:t>
            </w:r>
            <w:r>
              <w:rPr>
                <w:rFonts w:ascii="Calibri" w:hAnsi="宋体" w:eastAsia="宋体"/>
                <w:sz w:val="21"/>
              </w:rPr>
              <w:t>4</w:t>
            </w:r>
            <w:r>
              <w:rPr>
                <w:rFonts w:hint="eastAsia" w:ascii="Calibri" w:hAnsi="宋体" w:eastAsia="宋体"/>
                <w:sz w:val="21"/>
              </w:rPr>
              <w:t>分。提供证书扫描件及在供应商单位注册的相关证明材料。</w:t>
            </w:r>
          </w:p>
        </w:tc>
        <w:tc>
          <w:tcPr>
            <w:tcW w:w="851" w:type="dxa"/>
            <w:shd w:val="clear" w:color="auto" w:fill="auto"/>
            <w:vAlign w:val="center"/>
          </w:tcPr>
          <w:p w14:paraId="17A2B5D7">
            <w:pPr>
              <w:spacing w:line="400" w:lineRule="exact"/>
              <w:jc w:val="center"/>
              <w:rPr>
                <w:rFonts w:ascii="Calibri" w:hAnsi="宋体" w:eastAsia="宋体" w:cs="宋体"/>
                <w:bCs/>
                <w:color w:val="FF0000"/>
                <w:sz w:val="21"/>
                <w:szCs w:val="21"/>
              </w:rPr>
            </w:pPr>
          </w:p>
        </w:tc>
      </w:tr>
      <w:tr w14:paraId="070926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7F1960CA">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0BA32D62">
            <w:pPr>
              <w:spacing w:line="400" w:lineRule="exact"/>
              <w:jc w:val="center"/>
              <w:rPr>
                <w:rFonts w:ascii="Calibri" w:hAnsi="宋体" w:eastAsia="宋体" w:cs="宋体"/>
                <w:bCs/>
                <w:sz w:val="21"/>
                <w:szCs w:val="21"/>
              </w:rPr>
            </w:pPr>
          </w:p>
        </w:tc>
        <w:tc>
          <w:tcPr>
            <w:tcW w:w="860" w:type="dxa"/>
            <w:shd w:val="clear" w:color="auto" w:fill="auto"/>
            <w:vAlign w:val="center"/>
          </w:tcPr>
          <w:p w14:paraId="0E10AFCB">
            <w:pPr>
              <w:spacing w:line="400" w:lineRule="exact"/>
              <w:jc w:val="center"/>
              <w:rPr>
                <w:rFonts w:ascii="Calibri" w:hAnsi="宋体" w:eastAsia="宋体" w:cs="宋体"/>
                <w:bCs/>
                <w:sz w:val="21"/>
                <w:szCs w:val="21"/>
              </w:rPr>
            </w:pPr>
            <w:r>
              <w:rPr>
                <w:rFonts w:ascii="Calibri" w:hAnsi="宋体" w:eastAsia="宋体" w:cs="宋体"/>
                <w:bCs/>
                <w:sz w:val="21"/>
                <w:szCs w:val="21"/>
              </w:rPr>
              <w:t>3</w:t>
            </w:r>
          </w:p>
        </w:tc>
        <w:tc>
          <w:tcPr>
            <w:tcW w:w="6376" w:type="dxa"/>
            <w:shd w:val="clear" w:color="auto" w:fill="auto"/>
            <w:vAlign w:val="center"/>
          </w:tcPr>
          <w:p w14:paraId="4A0DAC94">
            <w:pPr>
              <w:spacing w:line="400" w:lineRule="exact"/>
              <w:ind w:firstLine="420" w:firstLineChars="200"/>
              <w:jc w:val="both"/>
              <w:rPr>
                <w:rFonts w:ascii="Calibri" w:hAnsi="宋体" w:eastAsia="宋体"/>
                <w:b/>
                <w:bCs/>
                <w:sz w:val="21"/>
              </w:rPr>
            </w:pPr>
            <w:r>
              <w:rPr>
                <w:rFonts w:hint="eastAsia" w:ascii="Calibri" w:hAnsi="宋体" w:eastAsia="宋体"/>
                <w:b/>
                <w:bCs/>
                <w:sz w:val="21"/>
              </w:rPr>
              <w:t>服务承诺：</w:t>
            </w:r>
          </w:p>
          <w:p w14:paraId="70DA8989">
            <w:pPr>
              <w:spacing w:line="400" w:lineRule="exact"/>
              <w:ind w:firstLine="420" w:firstLineChars="200"/>
              <w:jc w:val="both"/>
              <w:rPr>
                <w:rFonts w:ascii="Calibri" w:hAnsi="宋体" w:eastAsia="宋体"/>
                <w:sz w:val="21"/>
              </w:rPr>
            </w:pPr>
            <w:r>
              <w:rPr>
                <w:rFonts w:hint="eastAsia" w:ascii="Calibri" w:hAnsi="宋体" w:eastAsia="宋体"/>
                <w:sz w:val="21"/>
              </w:rPr>
              <w:t>1、提供书面承诺并加盖公章：接受采购人对本采购包服务的考核、监督及管理，定期调研采购人对服务质量的满意度并加以改进，确保服务工作的优质高效，得</w:t>
            </w:r>
            <w:r>
              <w:rPr>
                <w:rFonts w:ascii="Calibri" w:hAnsi="宋体" w:eastAsia="宋体"/>
                <w:sz w:val="21"/>
              </w:rPr>
              <w:t>1.5</w:t>
            </w:r>
            <w:r>
              <w:rPr>
                <w:rFonts w:hint="eastAsia" w:ascii="Calibri" w:hAnsi="宋体" w:eastAsia="宋体"/>
                <w:sz w:val="21"/>
              </w:rPr>
              <w:t>分。无承诺不得分。</w:t>
            </w:r>
          </w:p>
          <w:p w14:paraId="3134B226">
            <w:pPr>
              <w:spacing w:line="400" w:lineRule="exact"/>
              <w:ind w:firstLine="420" w:firstLineChars="200"/>
              <w:jc w:val="both"/>
              <w:rPr>
                <w:rFonts w:ascii="Calibri" w:hAnsi="宋体" w:eastAsia="宋体"/>
                <w:sz w:val="21"/>
              </w:rPr>
            </w:pPr>
            <w:r>
              <w:rPr>
                <w:rFonts w:hint="eastAsia" w:ascii="Calibri" w:hAnsi="宋体" w:eastAsia="宋体"/>
                <w:sz w:val="21"/>
              </w:rPr>
              <w:t>2、提供书面承诺并加盖公章：上岗人员固定，不随意更换，若出现服务人员因事、病等不能工作的，能及时调整其他服务人员补充，确保服务工作的正常进行，得</w:t>
            </w:r>
            <w:r>
              <w:rPr>
                <w:rFonts w:ascii="Calibri" w:hAnsi="宋体" w:eastAsia="宋体"/>
                <w:sz w:val="21"/>
              </w:rPr>
              <w:t>1.5</w:t>
            </w:r>
            <w:r>
              <w:rPr>
                <w:rFonts w:hint="eastAsia" w:ascii="Calibri" w:hAnsi="宋体" w:eastAsia="宋体"/>
                <w:sz w:val="21"/>
              </w:rPr>
              <w:t>分。无承诺不得分。</w:t>
            </w:r>
          </w:p>
        </w:tc>
        <w:tc>
          <w:tcPr>
            <w:tcW w:w="851" w:type="dxa"/>
            <w:shd w:val="clear" w:color="auto" w:fill="auto"/>
            <w:vAlign w:val="center"/>
          </w:tcPr>
          <w:p w14:paraId="4DA32682">
            <w:pPr>
              <w:spacing w:line="400" w:lineRule="exact"/>
              <w:jc w:val="center"/>
              <w:rPr>
                <w:rFonts w:ascii="Calibri" w:hAnsi="宋体" w:eastAsia="宋体" w:cs="宋体"/>
                <w:bCs/>
                <w:color w:val="FF0000"/>
                <w:sz w:val="21"/>
                <w:szCs w:val="21"/>
              </w:rPr>
            </w:pPr>
          </w:p>
        </w:tc>
      </w:tr>
      <w:tr w14:paraId="2D7552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F81EDE9">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7690E1FA">
            <w:pPr>
              <w:spacing w:line="400" w:lineRule="exact"/>
              <w:jc w:val="center"/>
              <w:rPr>
                <w:rFonts w:ascii="Calibri" w:hAnsi="宋体" w:eastAsia="宋体" w:cs="宋体"/>
                <w:bCs/>
                <w:sz w:val="21"/>
                <w:szCs w:val="21"/>
              </w:rPr>
            </w:pPr>
          </w:p>
        </w:tc>
        <w:tc>
          <w:tcPr>
            <w:tcW w:w="860" w:type="dxa"/>
            <w:shd w:val="clear" w:color="auto" w:fill="auto"/>
            <w:vAlign w:val="center"/>
          </w:tcPr>
          <w:p w14:paraId="2F3A27F6">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0</w:t>
            </w:r>
          </w:p>
        </w:tc>
        <w:tc>
          <w:tcPr>
            <w:tcW w:w="6376" w:type="dxa"/>
            <w:shd w:val="clear" w:color="auto" w:fill="auto"/>
            <w:vAlign w:val="center"/>
          </w:tcPr>
          <w:p w14:paraId="7DC21E51">
            <w:pPr>
              <w:tabs>
                <w:tab w:val="left" w:pos="547"/>
              </w:tabs>
              <w:spacing w:line="400" w:lineRule="exact"/>
              <w:ind w:firstLine="420"/>
              <w:jc w:val="both"/>
              <w:rPr>
                <w:rFonts w:ascii="Calibri" w:hAnsi="宋体" w:eastAsia="宋体"/>
                <w:b/>
                <w:bCs/>
                <w:sz w:val="21"/>
              </w:rPr>
            </w:pPr>
            <w:r>
              <w:rPr>
                <w:rFonts w:hint="eastAsia" w:ascii="Calibri" w:hAnsi="宋体" w:eastAsia="宋体"/>
                <w:b/>
                <w:bCs/>
                <w:sz w:val="21"/>
              </w:rPr>
              <w:t>业绩：</w:t>
            </w:r>
          </w:p>
          <w:p w14:paraId="651BD0D2">
            <w:pPr>
              <w:tabs>
                <w:tab w:val="left" w:pos="547"/>
              </w:tabs>
              <w:spacing w:line="400" w:lineRule="exact"/>
              <w:ind w:firstLine="420"/>
              <w:jc w:val="both"/>
              <w:rPr>
                <w:rFonts w:ascii="Calibri" w:hAnsi="宋体" w:eastAsia="宋体"/>
                <w:sz w:val="21"/>
              </w:rPr>
            </w:pPr>
            <w:r>
              <w:rPr>
                <w:rFonts w:hint="eastAsia" w:ascii="Calibri" w:hAnsi="宋体" w:eastAsia="宋体"/>
                <w:sz w:val="21"/>
              </w:rPr>
              <w:t>提供自2023年</w:t>
            </w:r>
            <w:r>
              <w:rPr>
                <w:rFonts w:ascii="Calibri" w:hAnsi="宋体" w:eastAsia="宋体"/>
                <w:sz w:val="21"/>
              </w:rPr>
              <w:t>10</w:t>
            </w:r>
            <w:r>
              <w:rPr>
                <w:rFonts w:hint="eastAsia" w:ascii="Calibri" w:hAnsi="宋体" w:eastAsia="宋体"/>
                <w:sz w:val="21"/>
              </w:rPr>
              <w:t>月1日（以合同签订时间为准）以来，类似项目业绩证明材料（即完整合同扫描件，及合同对应的任意一期结算发票扫描件，两者须同时具备），每提供一份业绩扫描件得2分，满分10分。</w:t>
            </w:r>
          </w:p>
        </w:tc>
        <w:tc>
          <w:tcPr>
            <w:tcW w:w="851" w:type="dxa"/>
            <w:shd w:val="clear" w:color="auto" w:fill="auto"/>
            <w:vAlign w:val="center"/>
          </w:tcPr>
          <w:p w14:paraId="7726FAED">
            <w:pPr>
              <w:spacing w:line="400" w:lineRule="exact"/>
              <w:jc w:val="center"/>
              <w:rPr>
                <w:rFonts w:ascii="Calibri" w:hAnsi="宋体" w:eastAsia="宋体" w:cs="宋体"/>
                <w:bCs/>
                <w:color w:val="FF0000"/>
                <w:sz w:val="21"/>
                <w:szCs w:val="21"/>
              </w:rPr>
            </w:pPr>
          </w:p>
        </w:tc>
      </w:tr>
      <w:tr w14:paraId="2399D4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625AF7E6">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6007BAE5">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1．磋商小组成员必须按照本评审要素据实打分，各类数字计算均按“四舍五入”保留小数点后两位。</w:t>
            </w:r>
          </w:p>
        </w:tc>
      </w:tr>
    </w:tbl>
    <w:p w14:paraId="5E16FD7D">
      <w:pPr>
        <w:pStyle w:val="81"/>
        <w:ind w:firstLine="482"/>
        <w:rPr>
          <w:b/>
        </w:rPr>
      </w:pPr>
      <w:r>
        <w:rPr>
          <w:b/>
        </w:rPr>
        <w:t>（</w:t>
      </w:r>
      <w:r>
        <w:rPr>
          <w:rFonts w:hint="eastAsia"/>
          <w:b/>
        </w:rPr>
        <w:t>八</w:t>
      </w:r>
      <w:r>
        <w:rPr>
          <w:b/>
        </w:rPr>
        <w:t>）推荐成交候选人并编写评审报告</w:t>
      </w:r>
    </w:p>
    <w:p w14:paraId="441B310C">
      <w:pPr>
        <w:pStyle w:val="81"/>
        <w:ind w:firstLine="480"/>
        <w:rPr>
          <w:rFonts w:hAnsi="华文仿宋"/>
        </w:rPr>
      </w:pPr>
      <w:r>
        <w:rPr>
          <w:rFonts w:hint="eastAsia" w:hAnsi="华文仿宋"/>
        </w:rPr>
        <w:t>磋商小组应当根据综合评分情况，</w:t>
      </w:r>
      <w:r>
        <w:rPr>
          <w:rFonts w:hint="eastAsia" w:hAnsi="华文仿宋"/>
          <w:color w:val="C00000"/>
        </w:rPr>
        <w:t>按照评审得分由高到低顺序推荐</w:t>
      </w:r>
      <w:r>
        <w:rPr>
          <w:rFonts w:hint="eastAsia" w:hAnsi="华文仿宋"/>
        </w:rPr>
        <w:t>3名以上成交候选供应商（</w:t>
      </w:r>
      <w:r>
        <w:rPr>
          <w:rFonts w:hint="eastAsia"/>
        </w:rPr>
        <w:t>市场竞争不充分的科研项目，以及需要扶持的科技成果转化项目</w:t>
      </w:r>
      <w:r>
        <w:rPr>
          <w:rFonts w:hint="eastAsia" w:hAnsi="华文仿宋"/>
        </w:rPr>
        <w:t>，可以推荐2家成交候选供应商），并编写评审报告。评审得分相同的，按照最后报价由低到高的顺序推荐。评审得分且最后报价相同的，按照技术指标优劣顺序推荐。</w:t>
      </w:r>
    </w:p>
    <w:p w14:paraId="0F4ED9AC">
      <w:pPr>
        <w:pStyle w:val="81"/>
        <w:ind w:firstLine="480"/>
        <w:rPr>
          <w:rFonts w:hAnsi="华文仿宋"/>
        </w:rPr>
      </w:pPr>
      <w:r>
        <w:rPr>
          <w:rFonts w:hint="eastAsia"/>
        </w:rPr>
        <w:t>本项目兼投不兼中。即：本项目中，供应商可同时参与多个采购包，但同一供应商只能成交一个采购包。本项目按照自第一至第九采购包的顺序进行评审，磋商小组将依据“兼投不兼中”的原则推荐成交候选人。对参与多个采购包投标的供应商，如供应商在一个采购包中已经被推荐为第一成交候选人，则磋商小组会在评审后续采购包时，不再继续授予该供应商为成交候选人。</w:t>
      </w:r>
    </w:p>
    <w:p w14:paraId="154C24D1">
      <w:pPr>
        <w:pStyle w:val="81"/>
        <w:ind w:firstLine="480"/>
      </w:pPr>
      <w:r>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E53BD0A">
      <w:pPr>
        <w:pStyle w:val="3"/>
      </w:pPr>
      <w:r>
        <w:t>七、成交</w:t>
      </w:r>
    </w:p>
    <w:p w14:paraId="5D87E9E5">
      <w:pPr>
        <w:pStyle w:val="81"/>
        <w:ind w:firstLine="480"/>
      </w:pPr>
      <w:r>
        <w:rPr>
          <w:rFonts w:hint="eastAsia"/>
        </w:rPr>
        <w:t>1</w:t>
      </w:r>
      <w:r>
        <w:rPr>
          <w:rFonts w:hint="eastAsia"/>
          <w:color w:val="auto"/>
        </w:rPr>
        <w:t>．</w:t>
      </w:r>
      <w:r>
        <w:t>采购代理机构在评审工作结束后2个工作日内，将评审报告送采购人确认。</w:t>
      </w:r>
    </w:p>
    <w:p w14:paraId="4224D80C">
      <w:pPr>
        <w:pStyle w:val="81"/>
        <w:ind w:firstLine="480"/>
      </w:pPr>
      <w:r>
        <w:rPr>
          <w:rFonts w:hint="eastAsia"/>
        </w:rPr>
        <w:t>2</w:t>
      </w:r>
      <w:r>
        <w:rPr>
          <w:rFonts w:hint="eastAsia"/>
          <w:color w:val="auto"/>
        </w:rPr>
        <w:t>．</w:t>
      </w:r>
      <w:r>
        <w:rPr>
          <w:rFonts w:hint="eastAsia"/>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A8126BE">
      <w:pPr>
        <w:pStyle w:val="81"/>
        <w:ind w:firstLine="480"/>
      </w:pPr>
      <w:r>
        <w:rPr>
          <w:rFonts w:hint="eastAsia"/>
        </w:rPr>
        <w:t>3</w:t>
      </w:r>
      <w:r>
        <w:rPr>
          <w:rFonts w:hint="eastAsia"/>
          <w:color w:val="auto"/>
        </w:rPr>
        <w:t>．</w:t>
      </w:r>
      <w:r>
        <w:t>采购代理机构将在成交供应商确定后2个工作日内，在【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）上公布成交结果。成交公告期限为1个工作日。</w:t>
      </w:r>
    </w:p>
    <w:p w14:paraId="67B80D74">
      <w:pPr>
        <w:pStyle w:val="81"/>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14:paraId="7A4F61B5">
      <w:pPr>
        <w:pStyle w:val="81"/>
        <w:ind w:firstLine="480"/>
      </w:pPr>
      <w:r>
        <w:rPr>
          <w:color w:val="auto"/>
        </w:rPr>
        <w:t>5</w:t>
      </w:r>
      <w:r>
        <w:rPr>
          <w:rFonts w:hint="eastAsia"/>
          <w:color w:val="auto"/>
        </w:rPr>
        <w:t>．</w:t>
      </w:r>
      <w:r>
        <w:rPr>
          <w:rFonts w:hint="eastAsia"/>
        </w:rPr>
        <w:t>采购代理机构按照相关规定将评审报告送同级政府采购监管部门备案。</w:t>
      </w:r>
    </w:p>
    <w:p w14:paraId="52646366">
      <w:pPr>
        <w:pStyle w:val="3"/>
      </w:pPr>
      <w:r>
        <w:t>八、合同签订、履行及验收</w:t>
      </w:r>
    </w:p>
    <w:p w14:paraId="704629A0">
      <w:pPr>
        <w:pStyle w:val="81"/>
        <w:ind w:firstLine="480"/>
      </w:pPr>
      <w:r>
        <w:t>磋商文件、响应文件、澄清、补充合同等为政府采购合同的组成部分，具有同等法律效力。</w:t>
      </w:r>
    </w:p>
    <w:p w14:paraId="4EB7DCB4">
      <w:pPr>
        <w:pStyle w:val="4"/>
        <w:ind w:firstLine="482"/>
      </w:pPr>
      <w:r>
        <w:t>（一）签订政府采购合同</w:t>
      </w:r>
    </w:p>
    <w:p w14:paraId="5931A392">
      <w:pPr>
        <w:pStyle w:val="81"/>
        <w:ind w:firstLine="480"/>
      </w:pPr>
      <w:r>
        <w:rPr>
          <w:rFonts w:hint="eastAsia"/>
        </w:rPr>
        <w:t>1</w:t>
      </w:r>
      <w:r>
        <w:rPr>
          <w:rFonts w:hint="eastAsia"/>
          <w:color w:val="auto"/>
        </w:rPr>
        <w:t>．</w:t>
      </w:r>
      <w:r>
        <w:t>自</w:t>
      </w:r>
      <w:r>
        <w:rPr>
          <w:rFonts w:hint="eastAsia"/>
        </w:rPr>
        <w:t>成交</w:t>
      </w:r>
      <w:r>
        <w:t>通知书发出之日起25日内，采购人与</w:t>
      </w:r>
      <w:r>
        <w:rPr>
          <w:rFonts w:hint="eastAsia"/>
        </w:rPr>
        <w:t>成交</w:t>
      </w:r>
      <w:r>
        <w:t>供应商应按</w:t>
      </w:r>
      <w:r>
        <w:rPr>
          <w:rFonts w:hint="eastAsia"/>
        </w:rPr>
        <w:t>磋商</w:t>
      </w:r>
      <w:r>
        <w:t>文件和</w:t>
      </w:r>
      <w:r>
        <w:rPr>
          <w:rFonts w:hint="eastAsia"/>
        </w:rPr>
        <w:t>成交</w:t>
      </w:r>
      <w:r>
        <w:t>供应商</w:t>
      </w:r>
      <w:r>
        <w:rPr>
          <w:rFonts w:hint="eastAsia"/>
        </w:rPr>
        <w:t>响应</w:t>
      </w:r>
      <w:r>
        <w:t>文件的约定，签订书面合同。</w:t>
      </w:r>
    </w:p>
    <w:p w14:paraId="605D0D4D">
      <w:pPr>
        <w:pStyle w:val="81"/>
        <w:ind w:firstLine="480"/>
      </w:pPr>
      <w:r>
        <w:rPr>
          <w:rFonts w:hint="eastAsia"/>
        </w:rPr>
        <w:t>2</w:t>
      </w:r>
      <w:r>
        <w:rPr>
          <w:rFonts w:hint="eastAsia"/>
          <w:color w:val="auto"/>
        </w:rPr>
        <w:t>．</w:t>
      </w:r>
      <w:r>
        <w:rPr>
          <w:rFonts w:hint="eastAsia"/>
        </w:rPr>
        <w:t>成交</w:t>
      </w:r>
      <w:r>
        <w:t>供应商拒绝与采购人签订合同的，采购人可以按照《政府采购法实施条例》第四十九条规定，确定下一候选人为</w:t>
      </w:r>
      <w:r>
        <w:rPr>
          <w:rFonts w:hint="eastAsia"/>
        </w:rPr>
        <w:t>成交</w:t>
      </w:r>
      <w:r>
        <w:t>供应商，也可以重新开展政府采购活动。</w:t>
      </w:r>
    </w:p>
    <w:p w14:paraId="6CD42713">
      <w:pPr>
        <w:pStyle w:val="81"/>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采购人不得向成交供应商提出任何不合理的要求，作为签订合同的条件，不得与成交供应商私下订立背离合同实质性内容的任何协议，所签订的合同不得对磋商文件和成交供应商响应文件作实质性修改。</w:t>
      </w:r>
    </w:p>
    <w:p w14:paraId="21EBF785">
      <w:pPr>
        <w:pStyle w:val="81"/>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14:paraId="64EAF564">
      <w:pPr>
        <w:pStyle w:val="81"/>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5B4113D3">
      <w:pPr>
        <w:pStyle w:val="4"/>
        <w:ind w:firstLine="482"/>
      </w:pPr>
      <w:r>
        <w:t>（二）合同公示</w:t>
      </w:r>
    </w:p>
    <w:p w14:paraId="75105598">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14:paraId="0EB09D09">
      <w:pPr>
        <w:pStyle w:val="4"/>
        <w:ind w:firstLine="482"/>
      </w:pPr>
      <w:r>
        <w:t>（三）合同履行</w:t>
      </w:r>
    </w:p>
    <w:p w14:paraId="0D105C6D">
      <w:pPr>
        <w:pStyle w:val="81"/>
        <w:ind w:firstLine="480"/>
        <w:rPr>
          <w:color w:val="auto"/>
        </w:rPr>
      </w:pPr>
      <w:r>
        <w:rPr>
          <w:rFonts w:hint="eastAsia"/>
        </w:rPr>
        <w:t>1</w:t>
      </w:r>
      <w:r>
        <w:rPr>
          <w:rFonts w:hint="eastAsia"/>
          <w:color w:val="auto"/>
        </w:rPr>
        <w:t>．采购人与成交供应商应当根据合同的约定依法履行合同义务。</w:t>
      </w:r>
    </w:p>
    <w:p w14:paraId="29751297">
      <w:pPr>
        <w:pStyle w:val="81"/>
        <w:ind w:firstLine="480"/>
      </w:pPr>
      <w:r>
        <w:rPr>
          <w:rFonts w:hint="eastAsia"/>
          <w:color w:val="auto"/>
        </w:rPr>
        <w:t>2．政府采购合同的履行、违约责任和解决争议的方法等适用《中华人民共和国民法典》。</w:t>
      </w:r>
    </w:p>
    <w:p w14:paraId="7D2FB0C7">
      <w:pPr>
        <w:pStyle w:val="4"/>
        <w:ind w:firstLine="482"/>
      </w:pPr>
      <w:r>
        <w:t>（四）验收或考核</w:t>
      </w:r>
    </w:p>
    <w:p w14:paraId="299DB2FD">
      <w:pPr>
        <w:pStyle w:val="81"/>
        <w:ind w:firstLine="480"/>
      </w:pPr>
      <w:r>
        <w:rPr>
          <w:rFonts w:hint="eastAsia"/>
        </w:rPr>
        <w:t>1</w:t>
      </w:r>
      <w:r>
        <w:rPr>
          <w:rFonts w:hint="eastAsia"/>
          <w:color w:val="auto"/>
        </w:rPr>
        <w:t>．</w:t>
      </w:r>
      <w:r>
        <w:rPr>
          <w:rFonts w:hint="eastAsia"/>
        </w:rPr>
        <w:t>采购人严格按照国家相关法律法规的要求及磋商文件的要求组织验收或考核。</w:t>
      </w:r>
    </w:p>
    <w:p w14:paraId="21E84E95">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九、其他</w:t>
      </w:r>
    </w:p>
    <w:p w14:paraId="7E2D661B">
      <w:pPr>
        <w:pStyle w:val="81"/>
        <w:ind w:firstLine="480"/>
      </w:pPr>
      <w:r>
        <w:rPr>
          <w:rFonts w:hint="eastAsia"/>
        </w:rPr>
        <w:t>1．除</w:t>
      </w:r>
      <w:r>
        <w:rPr>
          <w:rFonts w:hint="eastAsia"/>
          <w:color w:val="auto"/>
        </w:rPr>
        <w:t>资格性检查认定错误、分值汇总计算错误、分项评分超出评分标准范围、客观分评分不一致、经磋商小组一致认定评分畸高、畸低</w:t>
      </w:r>
      <w:r>
        <w:rPr>
          <w:rFonts w:hint="eastAsia"/>
        </w:rPr>
        <w:t>的情形外，采购人或者采购代理机构不得以任何理由组织重新评审。采购人、采购代理机构发现磋商小组未按照磋商文件规定的评审标准进行评审的，应当重新开展采购活动，并同时书面报告本级财政部门。</w:t>
      </w:r>
    </w:p>
    <w:p w14:paraId="27A7CB70">
      <w:pPr>
        <w:pStyle w:val="81"/>
        <w:ind w:firstLine="480"/>
        <w:rPr>
          <w:color w:val="auto"/>
        </w:rPr>
      </w:pPr>
      <w:r>
        <w:rPr>
          <w:rFonts w:hint="eastAsia"/>
        </w:rPr>
        <w:t>2</w:t>
      </w:r>
      <w:r>
        <w:rPr>
          <w:rFonts w:hint="eastAsia"/>
          <w:color w:val="auto"/>
        </w:rPr>
        <w:t>．</w:t>
      </w:r>
      <w:r>
        <w:rPr>
          <w:rFonts w:hint="eastAsia"/>
        </w:rPr>
        <w:t>磋商小组</w:t>
      </w:r>
      <w:r>
        <w:t>发现</w:t>
      </w:r>
      <w:r>
        <w:rPr>
          <w:rFonts w:hint="eastAsia"/>
        </w:rPr>
        <w:t>磋商</w:t>
      </w:r>
      <w:r>
        <w:t>文件存在歧义、重大缺陷导致</w:t>
      </w:r>
      <w:r>
        <w:rPr>
          <w:rFonts w:hint="eastAsia"/>
        </w:rPr>
        <w:t>评审</w:t>
      </w:r>
      <w:r>
        <w:t>工作无法进行，或者</w:t>
      </w:r>
      <w:r>
        <w:rPr>
          <w:rFonts w:hint="eastAsia"/>
        </w:rPr>
        <w:t>磋商</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磋商</w:t>
      </w:r>
      <w:r>
        <w:t>文件，重新组织采购活动。</w:t>
      </w:r>
    </w:p>
    <w:p w14:paraId="07442C6A">
      <w:pPr>
        <w:pStyle w:val="81"/>
        <w:ind w:firstLine="480"/>
      </w:pPr>
      <w:r>
        <w:t>3</w:t>
      </w:r>
      <w:r>
        <w:rPr>
          <w:rFonts w:hint="eastAsia"/>
        </w:rPr>
        <w:t>．出现下列情形之一的，采购人或者采购代理机构应当终止竞争性磋商采购活动，发布项目终止公告并说明原因，重新开展采购活动：</w:t>
      </w:r>
    </w:p>
    <w:p w14:paraId="5D68919C">
      <w:pPr>
        <w:pStyle w:val="81"/>
        <w:ind w:firstLine="480"/>
      </w:pPr>
      <w:r>
        <w:rPr>
          <w:rFonts w:hint="eastAsia"/>
        </w:rPr>
        <w:t>（1）因情况变化，不再符合规定的竞争性磋商采购方式适用情形的；</w:t>
      </w:r>
    </w:p>
    <w:p w14:paraId="0FA6E2DE">
      <w:pPr>
        <w:pStyle w:val="81"/>
        <w:ind w:firstLine="480"/>
      </w:pPr>
      <w:r>
        <w:rPr>
          <w:rFonts w:hint="eastAsia"/>
        </w:rPr>
        <w:t>（2）出现影响采购公正的违法、违规行为的；</w:t>
      </w:r>
    </w:p>
    <w:p w14:paraId="119AEF1E">
      <w:pPr>
        <w:pStyle w:val="81"/>
        <w:ind w:firstLine="480"/>
      </w:pPr>
      <w:r>
        <w:rPr>
          <w:rFonts w:hint="eastAsia"/>
        </w:rPr>
        <w:t>（3）在采购过程中符合磋商要求的供应商或者报价未超过采购预算的供应商不足3家的，但本章「提交最后报价」第二款及本小节第</w:t>
      </w:r>
      <w:r>
        <w:t>5</w:t>
      </w:r>
      <w:r>
        <w:rPr>
          <w:rFonts w:hint="eastAsia"/>
        </w:rPr>
        <w:t>条所列情形除外。</w:t>
      </w:r>
    </w:p>
    <w:p w14:paraId="35A598FC">
      <w:pPr>
        <w:pStyle w:val="81"/>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pPr>
        <w:pStyle w:val="81"/>
        <w:ind w:firstLine="480"/>
      </w:pPr>
      <w:r>
        <w:t>5</w:t>
      </w:r>
      <w:r>
        <w:rPr>
          <w:rFonts w:hint="eastAsia"/>
        </w:rPr>
        <w:t>．</w:t>
      </w:r>
      <w:r>
        <w:t>重新组织采购的项目，</w:t>
      </w:r>
      <w:r>
        <w:rPr>
          <w:rFonts w:hint="eastAsia"/>
        </w:rP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3FD9A5A8">
      <w:pPr>
        <w:pStyle w:val="81"/>
        <w:ind w:firstLine="480"/>
      </w:pPr>
      <w:r>
        <w:rPr>
          <w:color w:val="auto"/>
        </w:rPr>
        <w:t>6</w:t>
      </w:r>
      <w:r>
        <w:rPr>
          <w:rFonts w:hint="eastAsia"/>
          <w:color w:val="auto"/>
        </w:rPr>
        <w:t>．磋商</w:t>
      </w:r>
      <w:r>
        <w:t>文件未明确的其他事项，按《政府采购法》、《</w:t>
      </w:r>
      <w:r>
        <w:rPr>
          <w:rFonts w:hint="eastAsia"/>
        </w:rPr>
        <w:t>政府采购竞争性磋商采购方式管理暂行办法》（财库〔2014〕214号）</w:t>
      </w:r>
      <w:r>
        <w:t>及相关法律法规执行。</w:t>
      </w:r>
    </w:p>
    <w:p w14:paraId="1BB5030A">
      <w:pPr>
        <w:pStyle w:val="81"/>
        <w:ind w:firstLine="0" w:firstLineChars="0"/>
      </w:pPr>
    </w:p>
    <w:p w14:paraId="0A42446B">
      <w:pPr>
        <w:widowControl w:val="0"/>
        <w:topLinePunct/>
        <w:jc w:val="both"/>
        <w:sectPr>
          <w:footerReference r:id="rId11" w:type="default"/>
          <w:footerReference r:id="rId12" w:type="even"/>
          <w:pgSz w:w="11906" w:h="16838"/>
          <w:pgMar w:top="1418" w:right="1418" w:bottom="1418" w:left="1418" w:header="851" w:footer="992" w:gutter="0"/>
          <w:cols w:space="425" w:num="1"/>
          <w:docGrid w:type="linesAndChars" w:linePitch="460" w:charSpace="0"/>
        </w:sectPr>
      </w:pPr>
    </w:p>
    <w:p w14:paraId="3E5C702B">
      <w:pPr>
        <w:pStyle w:val="2"/>
        <w:spacing w:before="230" w:after="230"/>
      </w:pPr>
      <w:bookmarkStart w:id="19" w:name="_Toc234246176"/>
      <w:r>
        <w:rPr>
          <w:rFonts w:hint="eastAsia"/>
        </w:rPr>
        <w:t>第三章　磋商内容及要求</w:t>
      </w:r>
      <w:bookmarkEnd w:id="19"/>
    </w:p>
    <w:p w14:paraId="697AF9E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1C2CF9F7">
      <w:pPr>
        <w:pStyle w:val="81"/>
        <w:ind w:firstLine="480"/>
      </w:pPr>
      <w:r>
        <w:rPr>
          <w:rFonts w:hint="eastAsia"/>
        </w:rPr>
        <w:t>本项目计划采购</w:t>
      </w:r>
      <w:r>
        <w:t>工程建设项目</w:t>
      </w:r>
      <w:r>
        <w:rPr>
          <w:rFonts w:hint="eastAsia"/>
        </w:rPr>
        <w:t>审计、</w:t>
      </w:r>
      <w:r>
        <w:t>信息化</w:t>
      </w:r>
      <w:r>
        <w:rPr>
          <w:rFonts w:hint="eastAsia"/>
        </w:rPr>
        <w:t>建设项目审计、</w:t>
      </w:r>
      <w:r>
        <w:t>货物采购</w:t>
      </w:r>
      <w:r>
        <w:rPr>
          <w:rFonts w:hint="eastAsia"/>
        </w:rPr>
        <w:t>项目审计、</w:t>
      </w:r>
      <w:r>
        <w:t>服务项目</w:t>
      </w:r>
      <w:r>
        <w:rPr>
          <w:rFonts w:hint="eastAsia"/>
        </w:rPr>
        <w:t>审计、装备采购项目审计服务，主要负责对西安支队本级及下辖24个大队进行项目</w:t>
      </w:r>
      <w:r>
        <w:t>预</w:t>
      </w:r>
      <w:r>
        <w:rPr>
          <w:rFonts w:hint="eastAsia"/>
        </w:rPr>
        <w:t>（</w:t>
      </w:r>
      <w:r>
        <w:t>结</w:t>
      </w:r>
      <w:r>
        <w:rPr>
          <w:rFonts w:hint="eastAsia"/>
        </w:rPr>
        <w:t>）</w:t>
      </w:r>
      <w:r>
        <w:t>算审计</w:t>
      </w:r>
      <w:r>
        <w:rPr>
          <w:rFonts w:hint="eastAsia"/>
        </w:rPr>
        <w:t>、</w:t>
      </w:r>
      <w:r>
        <w:t>招标采购文件审计、</w:t>
      </w:r>
      <w:r>
        <w:rPr>
          <w:rFonts w:hint="eastAsia"/>
        </w:rPr>
        <w:t>待签</w:t>
      </w:r>
      <w:r>
        <w:t>合同</w:t>
      </w:r>
      <w:r>
        <w:rPr>
          <w:rFonts w:hint="eastAsia"/>
        </w:rPr>
        <w:t>审计、</w:t>
      </w:r>
      <w:r>
        <w:t>全过程跟踪审计</w:t>
      </w:r>
      <w:r>
        <w:rPr>
          <w:rFonts w:hint="eastAsia"/>
        </w:rPr>
        <w:t>及采购人</w:t>
      </w:r>
      <w:r>
        <w:t>交办的其他</w:t>
      </w:r>
      <w:r>
        <w:rPr>
          <w:rFonts w:hint="eastAsia"/>
        </w:rPr>
        <w:t>临时性</w:t>
      </w:r>
      <w:r>
        <w:t>审计</w:t>
      </w:r>
      <w:r>
        <w:rPr>
          <w:rFonts w:hint="eastAsia"/>
        </w:rPr>
        <w:t>咨询</w:t>
      </w:r>
      <w:r>
        <w:t>业务。</w:t>
      </w:r>
    </w:p>
    <w:p w14:paraId="2E2CE127">
      <w:pPr>
        <w:pStyle w:val="3"/>
        <w:numPr>
          <w:ilvl w:val="0"/>
          <w:numId w:val="0"/>
        </w:numPr>
        <w:jc w:val="both"/>
      </w:pPr>
      <w:r>
        <w:rPr>
          <w:rFonts w:hint="eastAsia"/>
        </w:rPr>
        <w:t>二、采购内容</w:t>
      </w:r>
    </w:p>
    <w:tbl>
      <w:tblPr>
        <w:tblStyle w:val="25"/>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6"/>
        <w:gridCol w:w="6033"/>
      </w:tblGrid>
      <w:tr w14:paraId="46C6F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326" w:type="dxa"/>
            <w:vAlign w:val="center"/>
          </w:tcPr>
          <w:p w14:paraId="6A003885">
            <w:pPr>
              <w:widowControl w:val="0"/>
              <w:snapToGrid w:val="0"/>
              <w:jc w:val="center"/>
              <w:rPr>
                <w:rFonts w:cs="Calibri"/>
                <w:b/>
                <w:bCs/>
                <w:kern w:val="24"/>
              </w:rPr>
            </w:pPr>
            <w:r>
              <w:rPr>
                <w:rFonts w:hint="eastAsia" w:cs="Calibri"/>
                <w:b/>
                <w:bCs/>
                <w:kern w:val="24"/>
              </w:rPr>
              <w:t>采购包</w:t>
            </w:r>
          </w:p>
        </w:tc>
        <w:tc>
          <w:tcPr>
            <w:tcW w:w="6033" w:type="dxa"/>
            <w:vAlign w:val="center"/>
          </w:tcPr>
          <w:p w14:paraId="2585337D">
            <w:pPr>
              <w:widowControl w:val="0"/>
              <w:snapToGrid w:val="0"/>
              <w:jc w:val="center"/>
              <w:rPr>
                <w:rFonts w:cs="Calibri"/>
                <w:b/>
                <w:bCs/>
                <w:kern w:val="24"/>
              </w:rPr>
            </w:pPr>
            <w:r>
              <w:rPr>
                <w:rFonts w:hint="eastAsia" w:cs="Calibri"/>
                <w:b/>
                <w:bCs/>
                <w:kern w:val="24"/>
              </w:rPr>
              <w:t>采购内容</w:t>
            </w:r>
          </w:p>
        </w:tc>
      </w:tr>
      <w:tr w14:paraId="66F0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26" w:type="dxa"/>
            <w:shd w:val="clear" w:color="auto" w:fill="auto"/>
            <w:vAlign w:val="center"/>
          </w:tcPr>
          <w:p w14:paraId="08F95830">
            <w:pPr>
              <w:widowControl w:val="0"/>
              <w:snapToGrid w:val="0"/>
              <w:jc w:val="center"/>
              <w:rPr>
                <w:rFonts w:cs="Calibri"/>
                <w:b/>
                <w:bCs/>
                <w:kern w:val="24"/>
              </w:rPr>
            </w:pPr>
            <w:r>
              <w:rPr>
                <w:rFonts w:hint="eastAsia" w:cs="Calibri"/>
                <w:b/>
                <w:bCs/>
                <w:kern w:val="24"/>
              </w:rPr>
              <w:t>采购包一：</w:t>
            </w:r>
          </w:p>
          <w:p w14:paraId="5AECE010">
            <w:pPr>
              <w:widowControl w:val="0"/>
              <w:snapToGrid w:val="0"/>
              <w:jc w:val="center"/>
              <w:rPr>
                <w:rFonts w:cs="Calibri"/>
                <w:kern w:val="24"/>
              </w:rPr>
            </w:pPr>
            <w:r>
              <w:rPr>
                <w:rFonts w:hint="eastAsia" w:cs="Calibri"/>
                <w:kern w:val="24"/>
              </w:rPr>
              <w:t>装备采购项目审计</w:t>
            </w:r>
          </w:p>
        </w:tc>
        <w:tc>
          <w:tcPr>
            <w:tcW w:w="6033" w:type="dxa"/>
            <w:shd w:val="clear" w:color="auto" w:fill="auto"/>
            <w:vAlign w:val="center"/>
          </w:tcPr>
          <w:p w14:paraId="4C5CBA53">
            <w:pPr>
              <w:widowControl w:val="0"/>
              <w:snapToGrid w:val="0"/>
              <w:spacing w:line="276" w:lineRule="auto"/>
              <w:jc w:val="both"/>
              <w:rPr>
                <w:rFonts w:ascii="Calibri" w:hAnsi="Calibri" w:eastAsia="宋体" w:cstheme="minorHAnsi"/>
                <w:color w:val="000000"/>
                <w:kern w:val="24"/>
              </w:rPr>
            </w:pPr>
            <w:r>
              <w:rPr>
                <w:rFonts w:hint="eastAsia" w:ascii="Calibri" w:hAnsi="Calibri" w:eastAsia="宋体" w:cstheme="minorHAnsi"/>
                <w:color w:val="000000"/>
                <w:kern w:val="24"/>
              </w:rPr>
              <w:t>对西安支队本级及下辖24个大队进行服务项目预（结）算审计、招标采购文件审计、待签合同审计、全过程跟踪审计及采购人交办的其他审计业务</w:t>
            </w:r>
            <w:bookmarkStart w:id="20" w:name="OLE_LINK4"/>
            <w:bookmarkStart w:id="21" w:name="OLE_LINK5"/>
            <w:r>
              <w:rPr>
                <w:rFonts w:hint="eastAsia" w:ascii="Calibri" w:hAnsi="Calibri" w:eastAsia="宋体" w:cstheme="minorHAnsi"/>
                <w:color w:val="000000"/>
                <w:kern w:val="24"/>
              </w:rPr>
              <w:t>（</w:t>
            </w:r>
            <w:r>
              <w:rPr>
                <w:rFonts w:hint="eastAsia"/>
              </w:rPr>
              <w:t>服务范围均不超出审计内容框架的临时性工作</w:t>
            </w:r>
            <w:r>
              <w:rPr>
                <w:rFonts w:hint="eastAsia" w:ascii="Calibri" w:hAnsi="Calibri" w:eastAsia="宋体" w:cstheme="minorHAnsi"/>
                <w:color w:val="000000"/>
                <w:kern w:val="24"/>
              </w:rPr>
              <w:t>）</w:t>
            </w:r>
            <w:bookmarkEnd w:id="20"/>
            <w:bookmarkEnd w:id="21"/>
            <w:r>
              <w:rPr>
                <w:rFonts w:hint="eastAsia" w:ascii="Calibri" w:hAnsi="Calibri" w:eastAsia="宋体" w:cstheme="minorHAnsi"/>
                <w:color w:val="000000"/>
                <w:kern w:val="24"/>
              </w:rPr>
              <w:t>。</w:t>
            </w:r>
          </w:p>
        </w:tc>
      </w:tr>
      <w:tr w14:paraId="271A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26" w:type="dxa"/>
            <w:shd w:val="clear" w:color="auto" w:fill="auto"/>
            <w:vAlign w:val="center"/>
          </w:tcPr>
          <w:p w14:paraId="7591491E">
            <w:pPr>
              <w:widowControl w:val="0"/>
              <w:snapToGrid w:val="0"/>
              <w:jc w:val="center"/>
              <w:rPr>
                <w:rFonts w:cs="Calibri"/>
                <w:b/>
                <w:bCs/>
                <w:kern w:val="24"/>
              </w:rPr>
            </w:pPr>
            <w:r>
              <w:rPr>
                <w:rFonts w:hint="eastAsia" w:cs="Calibri"/>
                <w:b/>
                <w:bCs/>
                <w:kern w:val="24"/>
              </w:rPr>
              <w:t>采购包二：</w:t>
            </w:r>
          </w:p>
          <w:p w14:paraId="643A5666">
            <w:pPr>
              <w:widowControl w:val="0"/>
              <w:snapToGrid w:val="0"/>
              <w:jc w:val="center"/>
              <w:rPr>
                <w:rFonts w:cs="Calibri"/>
                <w:kern w:val="24"/>
              </w:rPr>
            </w:pPr>
            <w:r>
              <w:rPr>
                <w:rFonts w:hint="eastAsia" w:cs="Calibri"/>
                <w:kern w:val="24"/>
              </w:rPr>
              <w:t>装备采购项目审计</w:t>
            </w:r>
          </w:p>
        </w:tc>
        <w:tc>
          <w:tcPr>
            <w:tcW w:w="6033" w:type="dxa"/>
            <w:shd w:val="clear" w:color="auto" w:fill="auto"/>
            <w:vAlign w:val="center"/>
          </w:tcPr>
          <w:p w14:paraId="2D11714E">
            <w:pPr>
              <w:widowControl w:val="0"/>
              <w:snapToGrid w:val="0"/>
              <w:spacing w:line="276" w:lineRule="auto"/>
              <w:jc w:val="both"/>
              <w:rPr>
                <w:rFonts w:ascii="Calibri" w:hAnsi="Calibri" w:eastAsia="宋体" w:cstheme="minorHAnsi"/>
                <w:color w:val="000000"/>
                <w:kern w:val="24"/>
              </w:rPr>
            </w:pPr>
            <w:r>
              <w:rPr>
                <w:rFonts w:hint="eastAsia" w:ascii="Calibri" w:hAnsi="Calibri" w:eastAsia="宋体" w:cstheme="minorHAnsi"/>
                <w:color w:val="000000"/>
                <w:kern w:val="24"/>
              </w:rPr>
              <w:t>对西安支队本级及下辖24个大队进行服务项目预（结）算审计、招标采购文件审计、待签合同审计、全过程跟踪审计及采购人交办的其他审计业务（</w:t>
            </w:r>
            <w:r>
              <w:rPr>
                <w:rFonts w:hint="eastAsia"/>
              </w:rPr>
              <w:t>服务范围均不超出审计内容框架的临时性工作</w:t>
            </w:r>
            <w:r>
              <w:rPr>
                <w:rFonts w:hint="eastAsia" w:ascii="Calibri" w:hAnsi="Calibri" w:eastAsia="宋体" w:cstheme="minorHAnsi"/>
                <w:color w:val="000000"/>
                <w:kern w:val="24"/>
              </w:rPr>
              <w:t>）。</w:t>
            </w:r>
          </w:p>
        </w:tc>
      </w:tr>
      <w:tr w14:paraId="3F2C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26" w:type="dxa"/>
            <w:shd w:val="clear" w:color="auto" w:fill="auto"/>
            <w:vAlign w:val="center"/>
          </w:tcPr>
          <w:p w14:paraId="74EA02D2">
            <w:pPr>
              <w:widowControl w:val="0"/>
              <w:snapToGrid w:val="0"/>
              <w:jc w:val="center"/>
              <w:rPr>
                <w:rFonts w:cs="Calibri"/>
                <w:b/>
                <w:bCs/>
                <w:kern w:val="24"/>
              </w:rPr>
            </w:pPr>
            <w:r>
              <w:rPr>
                <w:rFonts w:hint="eastAsia" w:cs="Calibri"/>
                <w:b/>
                <w:bCs/>
                <w:kern w:val="24"/>
              </w:rPr>
              <w:t>采购包三：</w:t>
            </w:r>
          </w:p>
          <w:p w14:paraId="1C38CA78">
            <w:pPr>
              <w:widowControl w:val="0"/>
              <w:snapToGrid w:val="0"/>
              <w:jc w:val="center"/>
              <w:rPr>
                <w:rFonts w:cs="Calibri"/>
                <w:kern w:val="24"/>
              </w:rPr>
            </w:pPr>
            <w:r>
              <w:rPr>
                <w:rFonts w:cs="Calibri"/>
                <w:kern w:val="24"/>
              </w:rPr>
              <w:t>服务项目</w:t>
            </w:r>
            <w:r>
              <w:rPr>
                <w:rFonts w:hint="eastAsia" w:cs="Calibri"/>
                <w:kern w:val="24"/>
              </w:rPr>
              <w:t>审计</w:t>
            </w:r>
          </w:p>
        </w:tc>
        <w:tc>
          <w:tcPr>
            <w:tcW w:w="6033" w:type="dxa"/>
            <w:shd w:val="clear" w:color="auto" w:fill="auto"/>
            <w:vAlign w:val="center"/>
          </w:tcPr>
          <w:p w14:paraId="49BC1185">
            <w:pPr>
              <w:widowControl w:val="0"/>
              <w:snapToGrid w:val="0"/>
              <w:spacing w:line="276" w:lineRule="auto"/>
              <w:jc w:val="both"/>
              <w:rPr>
                <w:rFonts w:ascii="Calibri" w:hAnsi="Calibri" w:eastAsia="宋体" w:cstheme="minorHAnsi"/>
                <w:color w:val="000000"/>
                <w:kern w:val="24"/>
              </w:rPr>
            </w:pPr>
            <w:r>
              <w:rPr>
                <w:rFonts w:hint="eastAsia" w:ascii="Calibri" w:hAnsi="Calibri" w:eastAsia="宋体" w:cstheme="minorHAnsi"/>
                <w:color w:val="000000"/>
                <w:kern w:val="24"/>
              </w:rPr>
              <w:t>对西安支队本级及下辖24个大队进行</w:t>
            </w:r>
            <w:r>
              <w:rPr>
                <w:rFonts w:ascii="Calibri" w:hAnsi="Calibri" w:eastAsia="宋体" w:cstheme="minorHAnsi"/>
                <w:color w:val="000000"/>
                <w:kern w:val="24"/>
              </w:rPr>
              <w:t>服务项目预</w:t>
            </w:r>
            <w:r>
              <w:rPr>
                <w:rFonts w:hint="eastAsia" w:ascii="Calibri" w:hAnsi="Calibri" w:eastAsia="宋体" w:cstheme="minorHAnsi"/>
                <w:color w:val="000000"/>
                <w:kern w:val="24"/>
              </w:rPr>
              <w:t>（</w:t>
            </w:r>
            <w:r>
              <w:rPr>
                <w:rFonts w:ascii="Calibri" w:hAnsi="Calibri" w:eastAsia="宋体" w:cstheme="minorHAnsi"/>
                <w:color w:val="000000"/>
                <w:kern w:val="24"/>
              </w:rPr>
              <w:t>结</w:t>
            </w:r>
            <w:r>
              <w:rPr>
                <w:rFonts w:hint="eastAsia" w:ascii="Calibri" w:hAnsi="Calibri" w:eastAsia="宋体" w:cstheme="minorHAnsi"/>
                <w:color w:val="000000"/>
                <w:kern w:val="24"/>
              </w:rPr>
              <w:t>）</w:t>
            </w:r>
            <w:r>
              <w:rPr>
                <w:rFonts w:ascii="Calibri" w:hAnsi="Calibri" w:eastAsia="宋体" w:cstheme="minorHAnsi"/>
                <w:color w:val="000000"/>
                <w:kern w:val="24"/>
              </w:rPr>
              <w:t>算审计</w:t>
            </w:r>
            <w:r>
              <w:rPr>
                <w:rFonts w:hint="eastAsia" w:ascii="Calibri" w:hAnsi="Calibri" w:eastAsia="宋体" w:cstheme="minorHAnsi"/>
                <w:color w:val="000000"/>
                <w:kern w:val="24"/>
              </w:rPr>
              <w:t>、</w:t>
            </w:r>
            <w:r>
              <w:rPr>
                <w:rFonts w:ascii="Calibri" w:hAnsi="Calibri" w:eastAsia="宋体" w:cstheme="minorHAnsi"/>
                <w:color w:val="000000"/>
                <w:kern w:val="24"/>
              </w:rPr>
              <w:t>招标采购文件审计、</w:t>
            </w:r>
            <w:r>
              <w:rPr>
                <w:rFonts w:hint="eastAsia" w:ascii="Calibri" w:hAnsi="Calibri" w:eastAsia="宋体" w:cstheme="minorHAnsi"/>
                <w:color w:val="000000"/>
                <w:kern w:val="24"/>
              </w:rPr>
              <w:t>待签</w:t>
            </w:r>
            <w:r>
              <w:rPr>
                <w:rFonts w:ascii="Calibri" w:hAnsi="Calibri" w:eastAsia="宋体" w:cstheme="minorHAnsi"/>
                <w:color w:val="000000"/>
                <w:kern w:val="24"/>
              </w:rPr>
              <w:t>合同</w:t>
            </w:r>
            <w:r>
              <w:rPr>
                <w:rFonts w:hint="eastAsia" w:ascii="Calibri" w:hAnsi="Calibri" w:eastAsia="宋体" w:cstheme="minorHAnsi"/>
                <w:color w:val="000000"/>
                <w:kern w:val="24"/>
              </w:rPr>
              <w:t>审计、全过程跟踪审计及采购人交办的其他审计业务（</w:t>
            </w:r>
            <w:r>
              <w:rPr>
                <w:rFonts w:hint="eastAsia"/>
              </w:rPr>
              <w:t>服务范围均不超出审计内容框架的临时性工作</w:t>
            </w:r>
            <w:r>
              <w:rPr>
                <w:rFonts w:hint="eastAsia" w:ascii="Calibri" w:hAnsi="Calibri" w:eastAsia="宋体" w:cstheme="minorHAnsi"/>
                <w:color w:val="000000"/>
                <w:kern w:val="24"/>
              </w:rPr>
              <w:t>）。</w:t>
            </w:r>
          </w:p>
        </w:tc>
      </w:tr>
      <w:tr w14:paraId="1D003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26" w:type="dxa"/>
            <w:shd w:val="clear" w:color="auto" w:fill="auto"/>
            <w:vAlign w:val="center"/>
          </w:tcPr>
          <w:p w14:paraId="0631CB39">
            <w:pPr>
              <w:widowControl w:val="0"/>
              <w:snapToGrid w:val="0"/>
              <w:jc w:val="center"/>
              <w:rPr>
                <w:rFonts w:cs="Calibri"/>
                <w:b/>
                <w:bCs/>
                <w:kern w:val="24"/>
              </w:rPr>
            </w:pPr>
            <w:r>
              <w:rPr>
                <w:rFonts w:hint="eastAsia" w:cs="Calibri"/>
                <w:b/>
                <w:bCs/>
                <w:kern w:val="24"/>
              </w:rPr>
              <w:t>采购包四：</w:t>
            </w:r>
          </w:p>
          <w:p w14:paraId="00C1889C">
            <w:pPr>
              <w:widowControl w:val="0"/>
              <w:snapToGrid w:val="0"/>
              <w:jc w:val="center"/>
              <w:rPr>
                <w:rFonts w:cs="Calibri"/>
                <w:kern w:val="24"/>
              </w:rPr>
            </w:pPr>
            <w:r>
              <w:rPr>
                <w:rFonts w:cs="Calibri"/>
                <w:kern w:val="24"/>
              </w:rPr>
              <w:t>服务项目</w:t>
            </w:r>
            <w:r>
              <w:rPr>
                <w:rFonts w:hint="eastAsia" w:cs="Calibri"/>
                <w:kern w:val="24"/>
              </w:rPr>
              <w:t>审计</w:t>
            </w:r>
          </w:p>
        </w:tc>
        <w:tc>
          <w:tcPr>
            <w:tcW w:w="6033" w:type="dxa"/>
            <w:shd w:val="clear" w:color="auto" w:fill="auto"/>
            <w:vAlign w:val="center"/>
          </w:tcPr>
          <w:p w14:paraId="1BA28C1C">
            <w:pPr>
              <w:widowControl w:val="0"/>
              <w:snapToGrid w:val="0"/>
              <w:spacing w:line="276" w:lineRule="auto"/>
              <w:jc w:val="both"/>
              <w:rPr>
                <w:rFonts w:ascii="Calibri" w:hAnsi="Calibri" w:eastAsia="宋体" w:cstheme="minorHAnsi"/>
                <w:color w:val="000000"/>
                <w:kern w:val="24"/>
              </w:rPr>
            </w:pPr>
            <w:r>
              <w:rPr>
                <w:rFonts w:hint="eastAsia" w:ascii="Calibri" w:hAnsi="Calibri" w:eastAsia="宋体" w:cstheme="minorHAnsi"/>
                <w:color w:val="000000"/>
                <w:kern w:val="24"/>
              </w:rPr>
              <w:t>对西安支队本级及下辖24个大队进行</w:t>
            </w:r>
            <w:r>
              <w:rPr>
                <w:rFonts w:ascii="Calibri" w:hAnsi="Calibri" w:eastAsia="宋体" w:cstheme="minorHAnsi"/>
                <w:color w:val="000000"/>
                <w:kern w:val="24"/>
              </w:rPr>
              <w:t>服务项目预</w:t>
            </w:r>
            <w:r>
              <w:rPr>
                <w:rFonts w:hint="eastAsia" w:ascii="Calibri" w:hAnsi="Calibri" w:eastAsia="宋体" w:cstheme="minorHAnsi"/>
                <w:color w:val="000000"/>
                <w:kern w:val="24"/>
              </w:rPr>
              <w:t>（</w:t>
            </w:r>
            <w:r>
              <w:rPr>
                <w:rFonts w:ascii="Calibri" w:hAnsi="Calibri" w:eastAsia="宋体" w:cstheme="minorHAnsi"/>
                <w:color w:val="000000"/>
                <w:kern w:val="24"/>
              </w:rPr>
              <w:t>结</w:t>
            </w:r>
            <w:r>
              <w:rPr>
                <w:rFonts w:hint="eastAsia" w:ascii="Calibri" w:hAnsi="Calibri" w:eastAsia="宋体" w:cstheme="minorHAnsi"/>
                <w:color w:val="000000"/>
                <w:kern w:val="24"/>
              </w:rPr>
              <w:t>）</w:t>
            </w:r>
            <w:r>
              <w:rPr>
                <w:rFonts w:ascii="Calibri" w:hAnsi="Calibri" w:eastAsia="宋体" w:cstheme="minorHAnsi"/>
                <w:color w:val="000000"/>
                <w:kern w:val="24"/>
              </w:rPr>
              <w:t>算审计</w:t>
            </w:r>
            <w:r>
              <w:rPr>
                <w:rFonts w:hint="eastAsia" w:ascii="Calibri" w:hAnsi="Calibri" w:eastAsia="宋体" w:cstheme="minorHAnsi"/>
                <w:color w:val="000000"/>
                <w:kern w:val="24"/>
              </w:rPr>
              <w:t>、</w:t>
            </w:r>
            <w:r>
              <w:rPr>
                <w:rFonts w:ascii="Calibri" w:hAnsi="Calibri" w:eastAsia="宋体" w:cstheme="minorHAnsi"/>
                <w:color w:val="000000"/>
                <w:kern w:val="24"/>
              </w:rPr>
              <w:t>招标采购文件审计、</w:t>
            </w:r>
            <w:r>
              <w:rPr>
                <w:rFonts w:hint="eastAsia" w:ascii="Calibri" w:hAnsi="Calibri" w:eastAsia="宋体" w:cstheme="minorHAnsi"/>
                <w:color w:val="000000"/>
                <w:kern w:val="24"/>
              </w:rPr>
              <w:t>待签</w:t>
            </w:r>
            <w:r>
              <w:rPr>
                <w:rFonts w:ascii="Calibri" w:hAnsi="Calibri" w:eastAsia="宋体" w:cstheme="minorHAnsi"/>
                <w:color w:val="000000"/>
                <w:kern w:val="24"/>
              </w:rPr>
              <w:t>合同</w:t>
            </w:r>
            <w:r>
              <w:rPr>
                <w:rFonts w:hint="eastAsia" w:ascii="Calibri" w:hAnsi="Calibri" w:eastAsia="宋体" w:cstheme="minorHAnsi"/>
                <w:color w:val="000000"/>
                <w:kern w:val="24"/>
              </w:rPr>
              <w:t>审计、全过程跟踪审计及采购人交办的其他审计业务（</w:t>
            </w:r>
            <w:r>
              <w:rPr>
                <w:rFonts w:hint="eastAsia"/>
              </w:rPr>
              <w:t>服务范围均不超出审计内容框架的临时性工作</w:t>
            </w:r>
            <w:r>
              <w:rPr>
                <w:rFonts w:hint="eastAsia" w:ascii="Calibri" w:hAnsi="Calibri" w:eastAsia="宋体" w:cstheme="minorHAnsi"/>
                <w:color w:val="000000"/>
                <w:kern w:val="24"/>
              </w:rPr>
              <w:t>）。</w:t>
            </w:r>
          </w:p>
        </w:tc>
      </w:tr>
      <w:tr w14:paraId="459FA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26" w:type="dxa"/>
            <w:vAlign w:val="center"/>
          </w:tcPr>
          <w:p w14:paraId="0F3FF9DC">
            <w:pPr>
              <w:widowControl w:val="0"/>
              <w:snapToGrid w:val="0"/>
              <w:jc w:val="center"/>
              <w:rPr>
                <w:rFonts w:cs="Calibri"/>
                <w:b/>
                <w:bCs/>
                <w:kern w:val="24"/>
              </w:rPr>
            </w:pPr>
            <w:r>
              <w:rPr>
                <w:rFonts w:hint="eastAsia" w:cs="Calibri"/>
                <w:b/>
                <w:bCs/>
                <w:kern w:val="24"/>
              </w:rPr>
              <w:t>采购包五：</w:t>
            </w:r>
          </w:p>
          <w:p w14:paraId="5AB93399">
            <w:pPr>
              <w:widowControl w:val="0"/>
              <w:snapToGrid w:val="0"/>
              <w:jc w:val="center"/>
              <w:rPr>
                <w:rFonts w:cs="Calibri"/>
                <w:kern w:val="24"/>
              </w:rPr>
            </w:pPr>
            <w:r>
              <w:rPr>
                <w:rFonts w:hint="eastAsia" w:cs="Calibri"/>
                <w:kern w:val="24"/>
              </w:rPr>
              <w:t>工程建设项目审计</w:t>
            </w:r>
          </w:p>
        </w:tc>
        <w:tc>
          <w:tcPr>
            <w:tcW w:w="6033" w:type="dxa"/>
            <w:vAlign w:val="center"/>
          </w:tcPr>
          <w:p w14:paraId="0DFD5970">
            <w:pPr>
              <w:widowControl w:val="0"/>
              <w:snapToGrid w:val="0"/>
              <w:spacing w:line="276" w:lineRule="auto"/>
              <w:jc w:val="both"/>
              <w:rPr>
                <w:rFonts w:ascii="Calibri" w:hAnsi="Calibri" w:eastAsia="宋体" w:cstheme="minorHAnsi"/>
                <w:color w:val="000000"/>
                <w:kern w:val="24"/>
              </w:rPr>
            </w:pPr>
            <w:r>
              <w:rPr>
                <w:rFonts w:hint="eastAsia" w:ascii="Calibri" w:hAnsi="Calibri" w:eastAsia="宋体" w:cstheme="minorHAnsi"/>
                <w:color w:val="000000"/>
                <w:kern w:val="24"/>
              </w:rPr>
              <w:t>对西安支队本级及下辖24个大队进行</w:t>
            </w:r>
            <w:r>
              <w:rPr>
                <w:rFonts w:ascii="Calibri" w:hAnsi="Calibri" w:eastAsia="宋体" w:cstheme="minorHAnsi"/>
                <w:color w:val="000000"/>
                <w:kern w:val="24"/>
              </w:rPr>
              <w:t>工程建设项目预</w:t>
            </w:r>
            <w:r>
              <w:rPr>
                <w:rFonts w:hint="eastAsia" w:ascii="Calibri" w:hAnsi="Calibri" w:eastAsia="宋体" w:cstheme="minorHAnsi"/>
                <w:color w:val="000000"/>
                <w:kern w:val="24"/>
              </w:rPr>
              <w:t>（</w:t>
            </w:r>
            <w:r>
              <w:rPr>
                <w:rFonts w:ascii="Calibri" w:hAnsi="Calibri" w:eastAsia="宋体" w:cstheme="minorHAnsi"/>
                <w:color w:val="000000"/>
                <w:kern w:val="24"/>
              </w:rPr>
              <w:t>结</w:t>
            </w:r>
            <w:r>
              <w:rPr>
                <w:rFonts w:hint="eastAsia" w:ascii="Calibri" w:hAnsi="Calibri" w:eastAsia="宋体" w:cstheme="minorHAnsi"/>
                <w:color w:val="000000"/>
                <w:kern w:val="24"/>
              </w:rPr>
              <w:t>）</w:t>
            </w:r>
            <w:r>
              <w:rPr>
                <w:rFonts w:ascii="Calibri" w:hAnsi="Calibri" w:eastAsia="宋体" w:cstheme="minorHAnsi"/>
                <w:color w:val="000000"/>
                <w:kern w:val="24"/>
              </w:rPr>
              <w:t>算审计</w:t>
            </w:r>
            <w:r>
              <w:rPr>
                <w:rFonts w:hint="eastAsia" w:ascii="Calibri" w:hAnsi="Calibri" w:eastAsia="宋体" w:cstheme="minorHAnsi"/>
                <w:color w:val="000000"/>
                <w:kern w:val="24"/>
              </w:rPr>
              <w:t>、</w:t>
            </w:r>
            <w:r>
              <w:rPr>
                <w:rFonts w:ascii="Calibri" w:hAnsi="Calibri" w:eastAsia="宋体" w:cstheme="minorHAnsi"/>
                <w:color w:val="000000"/>
                <w:kern w:val="24"/>
              </w:rPr>
              <w:t>招标采购文件审计、</w:t>
            </w:r>
            <w:r>
              <w:rPr>
                <w:rFonts w:hint="eastAsia" w:ascii="Calibri" w:hAnsi="Calibri" w:eastAsia="宋体" w:cstheme="minorHAnsi"/>
                <w:color w:val="000000"/>
                <w:kern w:val="24"/>
              </w:rPr>
              <w:t>待签</w:t>
            </w:r>
            <w:r>
              <w:rPr>
                <w:rFonts w:ascii="Calibri" w:hAnsi="Calibri" w:eastAsia="宋体" w:cstheme="minorHAnsi"/>
                <w:color w:val="000000"/>
                <w:kern w:val="24"/>
              </w:rPr>
              <w:t>合同</w:t>
            </w:r>
            <w:r>
              <w:rPr>
                <w:rFonts w:hint="eastAsia" w:ascii="Calibri" w:hAnsi="Calibri" w:eastAsia="宋体" w:cstheme="minorHAnsi"/>
                <w:color w:val="000000"/>
                <w:kern w:val="24"/>
              </w:rPr>
              <w:t>审计、全过程跟踪审计及采购人交办的其他审计业务（</w:t>
            </w:r>
            <w:r>
              <w:rPr>
                <w:rFonts w:hint="eastAsia"/>
              </w:rPr>
              <w:t>服务范围均不超出审计内容框架的临时性工作</w:t>
            </w:r>
            <w:r>
              <w:rPr>
                <w:rFonts w:hint="eastAsia" w:ascii="Calibri" w:hAnsi="Calibri" w:eastAsia="宋体" w:cstheme="minorHAnsi"/>
                <w:color w:val="000000"/>
                <w:kern w:val="24"/>
              </w:rPr>
              <w:t>）。</w:t>
            </w:r>
          </w:p>
        </w:tc>
      </w:tr>
      <w:tr w14:paraId="46EB3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6" w:type="dxa"/>
            <w:vAlign w:val="center"/>
          </w:tcPr>
          <w:p w14:paraId="30CE812E">
            <w:pPr>
              <w:widowControl w:val="0"/>
              <w:snapToGrid w:val="0"/>
              <w:jc w:val="center"/>
              <w:rPr>
                <w:rFonts w:cs="Calibri"/>
                <w:b/>
                <w:bCs/>
                <w:kern w:val="24"/>
              </w:rPr>
            </w:pPr>
            <w:r>
              <w:rPr>
                <w:rFonts w:hint="eastAsia" w:cs="Calibri"/>
                <w:b/>
                <w:bCs/>
                <w:kern w:val="24"/>
              </w:rPr>
              <w:t>采购包六：</w:t>
            </w:r>
          </w:p>
          <w:p w14:paraId="688A741C">
            <w:pPr>
              <w:widowControl w:val="0"/>
              <w:snapToGrid w:val="0"/>
              <w:jc w:val="center"/>
              <w:rPr>
                <w:rFonts w:cs="Calibri"/>
                <w:kern w:val="24"/>
              </w:rPr>
            </w:pPr>
            <w:r>
              <w:rPr>
                <w:rFonts w:hint="eastAsia" w:cs="Calibri"/>
                <w:kern w:val="24"/>
              </w:rPr>
              <w:t>工程建设项目审计</w:t>
            </w:r>
          </w:p>
        </w:tc>
        <w:tc>
          <w:tcPr>
            <w:tcW w:w="6033" w:type="dxa"/>
            <w:vAlign w:val="center"/>
          </w:tcPr>
          <w:p w14:paraId="22954A3D">
            <w:pPr>
              <w:widowControl w:val="0"/>
              <w:snapToGrid w:val="0"/>
              <w:spacing w:line="276" w:lineRule="auto"/>
              <w:jc w:val="both"/>
              <w:rPr>
                <w:rFonts w:ascii="Calibri" w:hAnsi="Calibri" w:eastAsia="宋体" w:cstheme="minorHAnsi"/>
                <w:color w:val="000000"/>
                <w:kern w:val="24"/>
              </w:rPr>
            </w:pPr>
            <w:r>
              <w:rPr>
                <w:rFonts w:hint="eastAsia" w:ascii="Calibri" w:hAnsi="Calibri" w:eastAsia="宋体" w:cstheme="minorHAnsi"/>
                <w:color w:val="000000"/>
                <w:kern w:val="24"/>
              </w:rPr>
              <w:t>对西安支队本级及下辖24个大队进行</w:t>
            </w:r>
            <w:r>
              <w:rPr>
                <w:rFonts w:ascii="Calibri" w:hAnsi="Calibri" w:eastAsia="宋体" w:cstheme="minorHAnsi"/>
                <w:color w:val="000000"/>
                <w:kern w:val="24"/>
              </w:rPr>
              <w:t>工程建设项目预</w:t>
            </w:r>
            <w:r>
              <w:rPr>
                <w:rFonts w:hint="eastAsia" w:ascii="Calibri" w:hAnsi="Calibri" w:eastAsia="宋体" w:cstheme="minorHAnsi"/>
                <w:color w:val="000000"/>
                <w:kern w:val="24"/>
              </w:rPr>
              <w:t>（</w:t>
            </w:r>
            <w:r>
              <w:rPr>
                <w:rFonts w:ascii="Calibri" w:hAnsi="Calibri" w:eastAsia="宋体" w:cstheme="minorHAnsi"/>
                <w:color w:val="000000"/>
                <w:kern w:val="24"/>
              </w:rPr>
              <w:t>结</w:t>
            </w:r>
            <w:r>
              <w:rPr>
                <w:rFonts w:hint="eastAsia" w:ascii="Calibri" w:hAnsi="Calibri" w:eastAsia="宋体" w:cstheme="minorHAnsi"/>
                <w:color w:val="000000"/>
                <w:kern w:val="24"/>
              </w:rPr>
              <w:t>）</w:t>
            </w:r>
            <w:r>
              <w:rPr>
                <w:rFonts w:ascii="Calibri" w:hAnsi="Calibri" w:eastAsia="宋体" w:cstheme="minorHAnsi"/>
                <w:color w:val="000000"/>
                <w:kern w:val="24"/>
              </w:rPr>
              <w:t>算审计</w:t>
            </w:r>
            <w:r>
              <w:rPr>
                <w:rFonts w:hint="eastAsia" w:ascii="Calibri" w:hAnsi="Calibri" w:eastAsia="宋体" w:cstheme="minorHAnsi"/>
                <w:color w:val="000000"/>
                <w:kern w:val="24"/>
              </w:rPr>
              <w:t>、</w:t>
            </w:r>
            <w:r>
              <w:rPr>
                <w:rFonts w:ascii="Calibri" w:hAnsi="Calibri" w:eastAsia="宋体" w:cstheme="minorHAnsi"/>
                <w:color w:val="000000"/>
                <w:kern w:val="24"/>
              </w:rPr>
              <w:t>招标采购文件审计、</w:t>
            </w:r>
            <w:r>
              <w:rPr>
                <w:rFonts w:hint="eastAsia" w:ascii="Calibri" w:hAnsi="Calibri" w:eastAsia="宋体" w:cstheme="minorHAnsi"/>
                <w:color w:val="000000"/>
                <w:kern w:val="24"/>
              </w:rPr>
              <w:t>待签</w:t>
            </w:r>
            <w:r>
              <w:rPr>
                <w:rFonts w:ascii="Calibri" w:hAnsi="Calibri" w:eastAsia="宋体" w:cstheme="minorHAnsi"/>
                <w:color w:val="000000"/>
                <w:kern w:val="24"/>
              </w:rPr>
              <w:t>合同</w:t>
            </w:r>
            <w:r>
              <w:rPr>
                <w:rFonts w:hint="eastAsia" w:ascii="Calibri" w:hAnsi="Calibri" w:eastAsia="宋体" w:cstheme="minorHAnsi"/>
                <w:color w:val="000000"/>
                <w:kern w:val="24"/>
              </w:rPr>
              <w:t>审计、全过程跟踪审计及采购人交办的其他审计业务（</w:t>
            </w:r>
            <w:r>
              <w:rPr>
                <w:rFonts w:hint="eastAsia"/>
              </w:rPr>
              <w:t>服务范围均不超出审计内容框架的临时性工作</w:t>
            </w:r>
            <w:r>
              <w:rPr>
                <w:rFonts w:hint="eastAsia" w:ascii="Calibri" w:hAnsi="Calibri" w:eastAsia="宋体" w:cstheme="minorHAnsi"/>
                <w:color w:val="000000"/>
                <w:kern w:val="24"/>
              </w:rPr>
              <w:t>）。</w:t>
            </w:r>
          </w:p>
        </w:tc>
      </w:tr>
      <w:tr w14:paraId="55EC7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6" w:type="dxa"/>
            <w:vAlign w:val="center"/>
          </w:tcPr>
          <w:p w14:paraId="68E44860">
            <w:pPr>
              <w:widowControl w:val="0"/>
              <w:snapToGrid w:val="0"/>
              <w:jc w:val="center"/>
              <w:rPr>
                <w:rFonts w:cs="Calibri"/>
                <w:b/>
                <w:bCs/>
                <w:kern w:val="24"/>
              </w:rPr>
            </w:pPr>
          </w:p>
          <w:p w14:paraId="1CF596B8">
            <w:pPr>
              <w:widowControl w:val="0"/>
              <w:snapToGrid w:val="0"/>
              <w:jc w:val="center"/>
              <w:rPr>
                <w:rFonts w:cs="Calibri"/>
                <w:b/>
                <w:bCs/>
                <w:kern w:val="24"/>
              </w:rPr>
            </w:pPr>
          </w:p>
          <w:p w14:paraId="77F0107C">
            <w:pPr>
              <w:widowControl w:val="0"/>
              <w:snapToGrid w:val="0"/>
              <w:jc w:val="center"/>
              <w:rPr>
                <w:rFonts w:cs="Calibri"/>
                <w:b/>
                <w:bCs/>
                <w:kern w:val="24"/>
              </w:rPr>
            </w:pPr>
            <w:r>
              <w:rPr>
                <w:rFonts w:hint="eastAsia" w:cs="Calibri"/>
                <w:b/>
                <w:bCs/>
                <w:kern w:val="24"/>
              </w:rPr>
              <w:t>采购包七：</w:t>
            </w:r>
          </w:p>
          <w:p w14:paraId="3C38294C">
            <w:pPr>
              <w:widowControl w:val="0"/>
              <w:snapToGrid w:val="0"/>
              <w:jc w:val="center"/>
              <w:rPr>
                <w:rFonts w:cs="Calibri"/>
                <w:kern w:val="24"/>
              </w:rPr>
            </w:pPr>
            <w:r>
              <w:rPr>
                <w:rFonts w:cs="Calibri"/>
                <w:kern w:val="24"/>
              </w:rPr>
              <w:t>货物采购</w:t>
            </w:r>
            <w:r>
              <w:rPr>
                <w:rFonts w:hint="eastAsia" w:cs="Calibri"/>
                <w:kern w:val="24"/>
              </w:rPr>
              <w:t>项目审计</w:t>
            </w:r>
          </w:p>
        </w:tc>
        <w:tc>
          <w:tcPr>
            <w:tcW w:w="6033" w:type="dxa"/>
            <w:vAlign w:val="center"/>
          </w:tcPr>
          <w:p w14:paraId="51951509">
            <w:pPr>
              <w:widowControl w:val="0"/>
              <w:snapToGrid w:val="0"/>
              <w:spacing w:line="276" w:lineRule="auto"/>
              <w:jc w:val="both"/>
              <w:rPr>
                <w:rFonts w:ascii="Calibri" w:hAnsi="Calibri" w:eastAsia="宋体" w:cstheme="minorHAnsi"/>
                <w:color w:val="000000"/>
                <w:kern w:val="24"/>
              </w:rPr>
            </w:pPr>
            <w:r>
              <w:rPr>
                <w:rFonts w:hint="eastAsia" w:ascii="Calibri" w:hAnsi="Calibri" w:eastAsia="宋体" w:cstheme="minorHAnsi"/>
                <w:color w:val="000000"/>
                <w:kern w:val="24"/>
              </w:rPr>
              <w:t>对西安支队本级及下辖24个大队进行</w:t>
            </w:r>
            <w:r>
              <w:rPr>
                <w:rFonts w:ascii="Calibri" w:hAnsi="Calibri" w:eastAsia="宋体" w:cstheme="minorHAnsi"/>
                <w:color w:val="000000"/>
                <w:kern w:val="24"/>
              </w:rPr>
              <w:t>货物采购</w:t>
            </w:r>
            <w:r>
              <w:rPr>
                <w:rFonts w:hint="eastAsia" w:ascii="Calibri" w:hAnsi="Calibri" w:eastAsia="宋体" w:cstheme="minorHAnsi"/>
                <w:color w:val="000000"/>
                <w:kern w:val="24"/>
              </w:rPr>
              <w:t>项目</w:t>
            </w:r>
            <w:r>
              <w:rPr>
                <w:rFonts w:ascii="Calibri" w:hAnsi="Calibri" w:eastAsia="宋体" w:cstheme="minorHAnsi"/>
                <w:color w:val="000000"/>
                <w:kern w:val="24"/>
              </w:rPr>
              <w:t>预</w:t>
            </w:r>
            <w:r>
              <w:rPr>
                <w:rFonts w:hint="eastAsia" w:ascii="Calibri" w:hAnsi="Calibri" w:eastAsia="宋体" w:cstheme="minorHAnsi"/>
                <w:color w:val="000000"/>
                <w:kern w:val="24"/>
              </w:rPr>
              <w:t>（</w:t>
            </w:r>
            <w:r>
              <w:rPr>
                <w:rFonts w:ascii="Calibri" w:hAnsi="Calibri" w:eastAsia="宋体" w:cstheme="minorHAnsi"/>
                <w:color w:val="000000"/>
                <w:kern w:val="24"/>
              </w:rPr>
              <w:t>结</w:t>
            </w:r>
            <w:r>
              <w:rPr>
                <w:rFonts w:hint="eastAsia" w:ascii="Calibri" w:hAnsi="Calibri" w:eastAsia="宋体" w:cstheme="minorHAnsi"/>
                <w:color w:val="000000"/>
                <w:kern w:val="24"/>
              </w:rPr>
              <w:t>）</w:t>
            </w:r>
            <w:r>
              <w:rPr>
                <w:rFonts w:ascii="Calibri" w:hAnsi="Calibri" w:eastAsia="宋体" w:cstheme="minorHAnsi"/>
                <w:color w:val="000000"/>
                <w:kern w:val="24"/>
              </w:rPr>
              <w:t>算审计</w:t>
            </w:r>
            <w:r>
              <w:rPr>
                <w:rFonts w:hint="eastAsia" w:ascii="Calibri" w:hAnsi="Calibri" w:eastAsia="宋体" w:cstheme="minorHAnsi"/>
                <w:color w:val="000000"/>
                <w:kern w:val="24"/>
              </w:rPr>
              <w:t>、</w:t>
            </w:r>
            <w:r>
              <w:rPr>
                <w:rFonts w:ascii="Calibri" w:hAnsi="Calibri" w:eastAsia="宋体" w:cstheme="minorHAnsi"/>
                <w:color w:val="000000"/>
                <w:kern w:val="24"/>
              </w:rPr>
              <w:t>招标采购文件审计、</w:t>
            </w:r>
            <w:r>
              <w:rPr>
                <w:rFonts w:hint="eastAsia" w:ascii="Calibri" w:hAnsi="Calibri" w:eastAsia="宋体" w:cstheme="minorHAnsi"/>
                <w:color w:val="000000"/>
                <w:kern w:val="24"/>
              </w:rPr>
              <w:t>待签</w:t>
            </w:r>
            <w:r>
              <w:rPr>
                <w:rFonts w:ascii="Calibri" w:hAnsi="Calibri" w:eastAsia="宋体" w:cstheme="minorHAnsi"/>
                <w:color w:val="000000"/>
                <w:kern w:val="24"/>
              </w:rPr>
              <w:t>合同</w:t>
            </w:r>
            <w:r>
              <w:rPr>
                <w:rFonts w:hint="eastAsia" w:ascii="Calibri" w:hAnsi="Calibri" w:eastAsia="宋体" w:cstheme="minorHAnsi"/>
                <w:color w:val="000000"/>
                <w:kern w:val="24"/>
              </w:rPr>
              <w:t>审计、全过程跟踪审计及采购人交办的其他审计业务（</w:t>
            </w:r>
            <w:r>
              <w:rPr>
                <w:rFonts w:hint="eastAsia"/>
              </w:rPr>
              <w:t>服务范围均不超出审计内容框架的临时性工作</w:t>
            </w:r>
            <w:r>
              <w:rPr>
                <w:rFonts w:hint="eastAsia" w:ascii="Calibri" w:hAnsi="Calibri" w:eastAsia="宋体" w:cstheme="minorHAnsi"/>
                <w:color w:val="000000"/>
                <w:kern w:val="24"/>
              </w:rPr>
              <w:t>）。</w:t>
            </w:r>
          </w:p>
        </w:tc>
      </w:tr>
      <w:tr w14:paraId="3957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6" w:type="dxa"/>
            <w:vAlign w:val="center"/>
          </w:tcPr>
          <w:p w14:paraId="58B2739C">
            <w:pPr>
              <w:widowControl w:val="0"/>
              <w:snapToGrid w:val="0"/>
              <w:jc w:val="center"/>
              <w:rPr>
                <w:rFonts w:cs="Calibri"/>
                <w:b/>
                <w:bCs/>
                <w:kern w:val="24"/>
              </w:rPr>
            </w:pPr>
            <w:r>
              <w:rPr>
                <w:rFonts w:hint="eastAsia" w:cs="Calibri"/>
                <w:b/>
                <w:bCs/>
                <w:kern w:val="24"/>
              </w:rPr>
              <w:t>采购包八：</w:t>
            </w:r>
          </w:p>
          <w:p w14:paraId="695B1C88">
            <w:pPr>
              <w:widowControl w:val="0"/>
              <w:snapToGrid w:val="0"/>
              <w:jc w:val="center"/>
              <w:rPr>
                <w:rFonts w:cs="Calibri"/>
                <w:kern w:val="24"/>
              </w:rPr>
            </w:pPr>
            <w:r>
              <w:rPr>
                <w:rFonts w:cs="Calibri"/>
                <w:kern w:val="24"/>
              </w:rPr>
              <w:t>货物采购</w:t>
            </w:r>
            <w:r>
              <w:rPr>
                <w:rFonts w:hint="eastAsia" w:cs="Calibri"/>
                <w:kern w:val="24"/>
              </w:rPr>
              <w:t>项目审计</w:t>
            </w:r>
          </w:p>
        </w:tc>
        <w:tc>
          <w:tcPr>
            <w:tcW w:w="6033" w:type="dxa"/>
            <w:shd w:val="clear" w:color="auto" w:fill="auto"/>
            <w:vAlign w:val="center"/>
          </w:tcPr>
          <w:p w14:paraId="67628537">
            <w:pPr>
              <w:widowControl w:val="0"/>
              <w:snapToGrid w:val="0"/>
              <w:spacing w:line="276" w:lineRule="auto"/>
              <w:jc w:val="both"/>
              <w:rPr>
                <w:rFonts w:ascii="Calibri" w:hAnsi="Calibri" w:eastAsia="宋体" w:cstheme="minorHAnsi"/>
                <w:color w:val="000000"/>
                <w:kern w:val="24"/>
              </w:rPr>
            </w:pPr>
            <w:r>
              <w:rPr>
                <w:rFonts w:hint="eastAsia" w:ascii="Calibri" w:hAnsi="Calibri" w:eastAsia="宋体" w:cstheme="minorHAnsi"/>
                <w:color w:val="000000"/>
                <w:kern w:val="24"/>
              </w:rPr>
              <w:t>对西安支队本级及下辖24个大队进行</w:t>
            </w:r>
            <w:r>
              <w:rPr>
                <w:rFonts w:ascii="Calibri" w:hAnsi="Calibri" w:eastAsia="宋体" w:cstheme="minorHAnsi"/>
                <w:color w:val="000000"/>
                <w:kern w:val="24"/>
              </w:rPr>
              <w:t>货物采购</w:t>
            </w:r>
            <w:r>
              <w:rPr>
                <w:rFonts w:hint="eastAsia" w:ascii="Calibri" w:hAnsi="Calibri" w:eastAsia="宋体" w:cstheme="minorHAnsi"/>
                <w:color w:val="000000"/>
                <w:kern w:val="24"/>
              </w:rPr>
              <w:t>项目</w:t>
            </w:r>
            <w:r>
              <w:rPr>
                <w:rFonts w:ascii="Calibri" w:hAnsi="Calibri" w:eastAsia="宋体" w:cstheme="minorHAnsi"/>
                <w:color w:val="000000"/>
                <w:kern w:val="24"/>
              </w:rPr>
              <w:t>预</w:t>
            </w:r>
            <w:r>
              <w:rPr>
                <w:rFonts w:hint="eastAsia" w:ascii="Calibri" w:hAnsi="Calibri" w:eastAsia="宋体" w:cstheme="minorHAnsi"/>
                <w:color w:val="000000"/>
                <w:kern w:val="24"/>
              </w:rPr>
              <w:t>（</w:t>
            </w:r>
            <w:r>
              <w:rPr>
                <w:rFonts w:ascii="Calibri" w:hAnsi="Calibri" w:eastAsia="宋体" w:cstheme="minorHAnsi"/>
                <w:color w:val="000000"/>
                <w:kern w:val="24"/>
              </w:rPr>
              <w:t>结</w:t>
            </w:r>
            <w:r>
              <w:rPr>
                <w:rFonts w:hint="eastAsia" w:ascii="Calibri" w:hAnsi="Calibri" w:eastAsia="宋体" w:cstheme="minorHAnsi"/>
                <w:color w:val="000000"/>
                <w:kern w:val="24"/>
              </w:rPr>
              <w:t>）</w:t>
            </w:r>
            <w:r>
              <w:rPr>
                <w:rFonts w:ascii="Calibri" w:hAnsi="Calibri" w:eastAsia="宋体" w:cstheme="minorHAnsi"/>
                <w:color w:val="000000"/>
                <w:kern w:val="24"/>
              </w:rPr>
              <w:t>算审计</w:t>
            </w:r>
            <w:r>
              <w:rPr>
                <w:rFonts w:hint="eastAsia" w:ascii="Calibri" w:hAnsi="Calibri" w:eastAsia="宋体" w:cstheme="minorHAnsi"/>
                <w:color w:val="000000"/>
                <w:kern w:val="24"/>
              </w:rPr>
              <w:t>、</w:t>
            </w:r>
            <w:r>
              <w:rPr>
                <w:rFonts w:ascii="Calibri" w:hAnsi="Calibri" w:eastAsia="宋体" w:cstheme="minorHAnsi"/>
                <w:color w:val="000000"/>
                <w:kern w:val="24"/>
              </w:rPr>
              <w:t>招标采购文件审计、</w:t>
            </w:r>
            <w:r>
              <w:rPr>
                <w:rFonts w:hint="eastAsia" w:ascii="Calibri" w:hAnsi="Calibri" w:eastAsia="宋体" w:cstheme="minorHAnsi"/>
                <w:color w:val="000000"/>
                <w:kern w:val="24"/>
              </w:rPr>
              <w:t>待签</w:t>
            </w:r>
            <w:r>
              <w:rPr>
                <w:rFonts w:ascii="Calibri" w:hAnsi="Calibri" w:eastAsia="宋体" w:cstheme="minorHAnsi"/>
                <w:color w:val="000000"/>
                <w:kern w:val="24"/>
              </w:rPr>
              <w:t>合同</w:t>
            </w:r>
            <w:r>
              <w:rPr>
                <w:rFonts w:hint="eastAsia" w:ascii="Calibri" w:hAnsi="Calibri" w:eastAsia="宋体" w:cstheme="minorHAnsi"/>
                <w:color w:val="000000"/>
                <w:kern w:val="24"/>
              </w:rPr>
              <w:t>审计、全过程跟踪审计及采购人交办的其他审计业务（</w:t>
            </w:r>
            <w:r>
              <w:rPr>
                <w:rFonts w:hint="eastAsia"/>
              </w:rPr>
              <w:t>服务范围均不超出审计内容框架的临时性工作</w:t>
            </w:r>
            <w:r>
              <w:rPr>
                <w:rFonts w:hint="eastAsia" w:ascii="Calibri" w:hAnsi="Calibri" w:eastAsia="宋体" w:cstheme="minorHAnsi"/>
                <w:color w:val="000000"/>
                <w:kern w:val="24"/>
              </w:rPr>
              <w:t>）。</w:t>
            </w:r>
          </w:p>
        </w:tc>
      </w:tr>
      <w:tr w14:paraId="2023B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6" w:type="dxa"/>
            <w:vAlign w:val="center"/>
          </w:tcPr>
          <w:p w14:paraId="33F9486A">
            <w:pPr>
              <w:widowControl w:val="0"/>
              <w:snapToGrid w:val="0"/>
              <w:jc w:val="center"/>
              <w:rPr>
                <w:rFonts w:cs="Calibri"/>
                <w:b/>
                <w:bCs/>
                <w:kern w:val="24"/>
              </w:rPr>
            </w:pPr>
            <w:r>
              <w:rPr>
                <w:rFonts w:hint="eastAsia" w:cs="Calibri"/>
                <w:b/>
                <w:bCs/>
                <w:kern w:val="24"/>
              </w:rPr>
              <w:t>采购包九：</w:t>
            </w:r>
          </w:p>
          <w:p w14:paraId="69E575BA">
            <w:pPr>
              <w:widowControl w:val="0"/>
              <w:snapToGrid w:val="0"/>
              <w:jc w:val="center"/>
              <w:rPr>
                <w:rFonts w:cs="Calibri"/>
                <w:kern w:val="24"/>
              </w:rPr>
            </w:pPr>
            <w:r>
              <w:rPr>
                <w:rFonts w:hint="eastAsia" w:cs="Calibri"/>
                <w:kern w:val="24"/>
              </w:rPr>
              <w:t>信息化建设审计</w:t>
            </w:r>
          </w:p>
        </w:tc>
        <w:tc>
          <w:tcPr>
            <w:tcW w:w="6033" w:type="dxa"/>
            <w:shd w:val="clear" w:color="auto" w:fill="auto"/>
            <w:vAlign w:val="center"/>
          </w:tcPr>
          <w:p w14:paraId="22E258FB">
            <w:pPr>
              <w:widowControl w:val="0"/>
              <w:snapToGrid w:val="0"/>
              <w:spacing w:line="276" w:lineRule="auto"/>
              <w:jc w:val="both"/>
              <w:rPr>
                <w:rFonts w:ascii="Calibri" w:hAnsi="Calibri" w:eastAsia="宋体" w:cstheme="minorHAnsi"/>
                <w:color w:val="000000"/>
                <w:kern w:val="24"/>
              </w:rPr>
            </w:pPr>
            <w:r>
              <w:rPr>
                <w:rFonts w:hint="eastAsia" w:ascii="Calibri" w:hAnsi="Calibri" w:eastAsia="宋体" w:cstheme="minorHAnsi"/>
                <w:color w:val="000000"/>
                <w:kern w:val="24"/>
              </w:rPr>
              <w:t>对西安支队本级及下辖24个大队进行信息化建设项目预（结）算审计、招标采购文件审计、待签合同审计、全过程跟踪审计及采购人交办的其他审计业务（</w:t>
            </w:r>
            <w:r>
              <w:rPr>
                <w:rFonts w:hint="eastAsia"/>
              </w:rPr>
              <w:t>服务范围均不超出审计内容框架的临时性工作</w:t>
            </w:r>
            <w:r>
              <w:rPr>
                <w:rFonts w:hint="eastAsia" w:ascii="Calibri" w:hAnsi="Calibri" w:eastAsia="宋体" w:cstheme="minorHAnsi"/>
                <w:color w:val="000000"/>
                <w:kern w:val="24"/>
              </w:rPr>
              <w:t>）。</w:t>
            </w:r>
          </w:p>
        </w:tc>
      </w:tr>
    </w:tbl>
    <w:p w14:paraId="3CBBC845">
      <w:pPr>
        <w:ind w:firstLine="480" w:firstLineChars="200"/>
        <w:jc w:val="both"/>
      </w:pPr>
      <w:r>
        <w:rPr>
          <w:rFonts w:hint="eastAsia"/>
          <w:b/>
          <w:bCs/>
        </w:rPr>
        <w:t>备注：</w:t>
      </w:r>
      <w:r>
        <w:rPr>
          <w:rFonts w:hint="eastAsia"/>
        </w:rPr>
        <w:t>工程建设项目是指建筑物和构建物的新建、改建、扩建、装修、拆除、修缮等项目。货物采购项目是指各种形态和种类的物品，包括应急救援物资、办公设备、办公耗材、原材料、燃料、药品等。信息化建设项目是指新建、改造和升级的信息系统项目（系统集成或设备、通用软件采购、定制软件开发）及其基础设施、环境工程、维保服务。服务项目主要包括设计、勘察、监理、财务、造价、评估等社会中介服务，科技研发、成果推广等技术服务，交通工具维护保障、住宿、餐饮、物业、会议、培训、印刷出版、医疗卫生、宣传活动、法律服务、保险等劳务和服务。</w:t>
      </w:r>
    </w:p>
    <w:p w14:paraId="26042384">
      <w:pPr>
        <w:pStyle w:val="3"/>
        <w:jc w:val="both"/>
      </w:pPr>
      <w:r>
        <w:t>三、</w:t>
      </w:r>
      <w:r>
        <w:rPr>
          <w:rFonts w:hint="eastAsia"/>
        </w:rPr>
        <w:t>技术（服务）要求</w:t>
      </w:r>
    </w:p>
    <w:p w14:paraId="68B4ED16">
      <w:pPr>
        <w:ind w:firstLine="480" w:firstLineChars="200"/>
        <w:jc w:val="both"/>
        <w:rPr>
          <w:b/>
          <w:bCs/>
        </w:rPr>
      </w:pPr>
      <w:r>
        <w:rPr>
          <w:rFonts w:hint="eastAsia"/>
          <w:b/>
          <w:bCs/>
        </w:rPr>
        <w:t>（一）服务标准</w:t>
      </w:r>
    </w:p>
    <w:p w14:paraId="0ECC4B6B">
      <w:pPr>
        <w:ind w:firstLine="480" w:firstLineChars="200"/>
        <w:jc w:val="both"/>
      </w:pPr>
      <w:r>
        <w:rPr>
          <w:rFonts w:hint="eastAsia"/>
        </w:rPr>
        <w:t>1、必须严格按照与会计、审计内容相关的财政、财务、资产管理、工程造价等法律法规和部门规章制度进行服务。</w:t>
      </w:r>
    </w:p>
    <w:p w14:paraId="4E75FA4C">
      <w:pPr>
        <w:ind w:firstLine="480" w:firstLineChars="200"/>
        <w:jc w:val="both"/>
      </w:pPr>
      <w:r>
        <w:rPr>
          <w:rFonts w:hint="eastAsia"/>
        </w:rPr>
        <w:t>2、在项目审计过程中应该坚持独立、客观、公正、科学的原则，依法进行各项审计工作。对于审计中存在的问题和进展情况要及时向采购人报告，接受采购人复审，及时答复有关问题。</w:t>
      </w:r>
    </w:p>
    <w:p w14:paraId="1F1018D1">
      <w:pPr>
        <w:ind w:firstLine="480" w:firstLineChars="200"/>
        <w:jc w:val="both"/>
      </w:pPr>
      <w:r>
        <w:rPr>
          <w:rFonts w:hint="eastAsia"/>
        </w:rPr>
        <w:t>3、派出工作人员须具备财务管理、会计核算、票证管理、资产管理、工程造价咨询、招投标法及政府采购法等法律法规、政策和制度及相关管理知识。</w:t>
      </w:r>
    </w:p>
    <w:p w14:paraId="4794D049">
      <w:pPr>
        <w:ind w:firstLine="480" w:firstLineChars="200"/>
        <w:jc w:val="both"/>
      </w:pPr>
      <w:r>
        <w:rPr>
          <w:rFonts w:hint="eastAsia"/>
        </w:rPr>
        <w:t>4、审计结束后应当出具具有法律效力的审计报告，报告应当对审计事项、审计结果作出评价，提出纠正和处理意见，以及改进管理、提高经济效益的建议。</w:t>
      </w:r>
    </w:p>
    <w:p w14:paraId="33074980">
      <w:pPr>
        <w:ind w:firstLine="480" w:firstLineChars="200"/>
        <w:jc w:val="both"/>
      </w:pPr>
      <w:r>
        <w:rPr>
          <w:rFonts w:hint="eastAsia"/>
        </w:rPr>
        <w:t>5、拟派项目人员不得与所委托事项当事人存在任何利害关系，若在接受委托后发现存在此类情形，应主动提出回避。经采购人发现且查实服务机构与当事人存在利害关系且未主动提出回避者，除取消其受托项目审计资格外，采购人有权在评价与考核中进行综合考量。</w:t>
      </w:r>
    </w:p>
    <w:p w14:paraId="399B8A31">
      <w:pPr>
        <w:ind w:firstLine="480" w:firstLineChars="200"/>
        <w:jc w:val="both"/>
      </w:pPr>
      <w:r>
        <w:rPr>
          <w:rFonts w:hint="eastAsia"/>
        </w:rPr>
        <w:t>6、为采购人提供必要的政策法规、财务管理制度等咨询服务。</w:t>
      </w:r>
    </w:p>
    <w:p w14:paraId="1F1159B6">
      <w:pPr>
        <w:ind w:firstLine="480" w:firstLineChars="200"/>
        <w:jc w:val="both"/>
      </w:pPr>
      <w:r>
        <w:rPr>
          <w:rFonts w:hint="eastAsia"/>
        </w:rPr>
        <w:t>7、对咨询业务结果的真实性、完整性、可靠性负责并保密；对于涉及国家秘密、商业秘密的审计项目或者事项，审计人员参与审计时，应当严格履行保密义务。采购人与中标供应商必须签订保密工作协议，严防数据信息泄露。</w:t>
      </w:r>
    </w:p>
    <w:p w14:paraId="48BE533F">
      <w:pPr>
        <w:ind w:firstLine="480" w:firstLineChars="200"/>
        <w:jc w:val="both"/>
      </w:pPr>
      <w:r>
        <w:rPr>
          <w:rFonts w:hint="eastAsia"/>
        </w:rPr>
        <w:t>8、在开展审计业务工作时，不得有行贿或收受、索要各种财物等违规行为。发现存在受贿、行贿行为被执法机关认定的，除取消服务资格外，且不予支付服务费用，对已支付的费用予以追回，并依法追究其相关法律责任。</w:t>
      </w:r>
    </w:p>
    <w:p w14:paraId="6D04AE9E">
      <w:pPr>
        <w:ind w:firstLine="480" w:firstLineChars="200"/>
        <w:jc w:val="both"/>
        <w:rPr>
          <w:b/>
          <w:bCs/>
        </w:rPr>
      </w:pPr>
      <w:r>
        <w:rPr>
          <w:rFonts w:hint="eastAsia"/>
          <w:b/>
          <w:bCs/>
        </w:rPr>
        <w:t>（二）服务要求</w:t>
      </w:r>
    </w:p>
    <w:p w14:paraId="67ABDB6E">
      <w:pPr>
        <w:ind w:firstLine="480" w:firstLineChars="200"/>
        <w:jc w:val="both"/>
      </w:pPr>
      <w:r>
        <w:rPr>
          <w:rFonts w:hint="eastAsia"/>
        </w:rPr>
        <w:t>1、审计服务总体方案：针对本采购包详细列出审计服务总体方案，方案内容包括：①审计服务总体设想②服务计划③重难点分析及解决措施。</w:t>
      </w:r>
    </w:p>
    <w:p w14:paraId="470E0ADD">
      <w:pPr>
        <w:ind w:firstLine="480" w:firstLineChars="200"/>
        <w:jc w:val="both"/>
      </w:pPr>
      <w:r>
        <w:rPr>
          <w:rFonts w:hint="eastAsia"/>
        </w:rPr>
        <w:t>2、审计实施方案：针对本采购包提出审计实施方案，内容包括：①审计范围及目标②审计方法和程序③审计步骤④审计工作进度安排。</w:t>
      </w:r>
    </w:p>
    <w:p w14:paraId="00C39C73">
      <w:pPr>
        <w:ind w:firstLine="480" w:firstLineChars="200"/>
        <w:jc w:val="both"/>
      </w:pPr>
      <w:r>
        <w:rPr>
          <w:rFonts w:hint="eastAsia"/>
        </w:rPr>
        <w:t>3、业务政策解读：针对本采购包提供对审计的相关法律、法规依据的解读。</w:t>
      </w:r>
    </w:p>
    <w:p w14:paraId="6B55AB49">
      <w:pPr>
        <w:ind w:firstLine="480" w:firstLineChars="200"/>
        <w:jc w:val="both"/>
      </w:pPr>
      <w:r>
        <w:rPr>
          <w:rFonts w:hint="eastAsia"/>
        </w:rPr>
        <w:t>4、质量方案：针对本采购包提出质量方案，方案包括：①质量控制方案②质量保证措施。</w:t>
      </w:r>
    </w:p>
    <w:p w14:paraId="5099029C">
      <w:pPr>
        <w:ind w:firstLine="480" w:firstLineChars="200"/>
        <w:jc w:val="both"/>
      </w:pPr>
      <w:r>
        <w:rPr>
          <w:rFonts w:hint="eastAsia"/>
        </w:rPr>
        <w:t>5、风险防控方案：针对本采购包提出风险防控方案，方案包括：①风险防控制度②风险防范措施③廉洁从业措施。</w:t>
      </w:r>
    </w:p>
    <w:p w14:paraId="1906000D">
      <w:pPr>
        <w:ind w:firstLine="480" w:firstLineChars="200"/>
        <w:jc w:val="both"/>
      </w:pPr>
      <w:r>
        <w:rPr>
          <w:rFonts w:hint="eastAsia"/>
        </w:rPr>
        <w:t>6、保密方案：针对本采购包制定保密方案，方案包括：①保密管理制度②保密协议③特殊人员的保密措施。</w:t>
      </w:r>
    </w:p>
    <w:p w14:paraId="163CC359">
      <w:pPr>
        <w:ind w:firstLine="480" w:firstLineChars="200"/>
        <w:jc w:val="both"/>
      </w:pPr>
      <w:r>
        <w:rPr>
          <w:rFonts w:hint="eastAsia"/>
        </w:rPr>
        <w:t>7、应急处置方案：针对在审计工作可能遇到的紧急或意外情况，制定应急处置方案，方案包括：①因特殊紧急情况审计时限响应方案②其他特殊情况的应急服务方案及补救措施。</w:t>
      </w:r>
    </w:p>
    <w:p w14:paraId="341EF1E4">
      <w:pPr>
        <w:ind w:firstLine="480" w:firstLineChars="200"/>
        <w:jc w:val="both"/>
      </w:pPr>
      <w:r>
        <w:rPr>
          <w:rFonts w:hint="eastAsia"/>
        </w:rPr>
        <w:t>8、反馈机制：针对本采购包提供反馈机制，内容包括：①突发事件处理：针对处理突发事项，分析工作开展中存在的问题，并及时向采购人提出意见和建议②常见问题处理：针对服务工作中的常见问题进行梳理，具有的良好的解决方案并及时向采购人建议。</w:t>
      </w:r>
    </w:p>
    <w:p w14:paraId="22329963">
      <w:pPr>
        <w:ind w:firstLine="480" w:firstLineChars="200"/>
        <w:jc w:val="both"/>
      </w:pPr>
      <w:r>
        <w:rPr>
          <w:rFonts w:hint="eastAsia"/>
        </w:rPr>
        <w:t>9、机构建设方案：根据审计服务工作特点提供机构建设方案，方案内容包括：①组织机构的运行配备②专业服务团队人员的职能分工。</w:t>
      </w:r>
    </w:p>
    <w:p w14:paraId="0A33317A">
      <w:pPr>
        <w:ind w:firstLine="480" w:firstLineChars="200"/>
        <w:jc w:val="both"/>
      </w:pPr>
      <w:r>
        <w:rPr>
          <w:rFonts w:hint="eastAsia"/>
        </w:rPr>
        <w:t>10、管理制度：投标人针对本采购包具有良好的管理制度，方案内容包括：①岗位要求：具有岗位职责、服务质量标准、作业流程及相关记录②内控制度：具有廉洁敬业制度、监督机制、自查制度③人员管理制度：具有员工日常管理制度、请销假制度、奖惩措施、激励机制。</w:t>
      </w:r>
    </w:p>
    <w:p w14:paraId="68FDC5DF">
      <w:pPr>
        <w:ind w:firstLine="480" w:firstLineChars="200"/>
        <w:jc w:val="both"/>
      </w:pPr>
      <w:r>
        <w:rPr>
          <w:rFonts w:hint="eastAsia"/>
        </w:rPr>
        <w:t>11、档案管理方案：针对本采购包制定档案管理方案，方案内容包括：①针对各岗位职责范围内产生的资料具有合理的规划、保管和移交措施②针对派遣人员人事档案资料、日常管理工作资料归档、保管计划。</w:t>
      </w:r>
    </w:p>
    <w:p w14:paraId="6A9CF0D3">
      <w:pPr>
        <w:ind w:firstLine="480" w:firstLineChars="200"/>
        <w:jc w:val="both"/>
      </w:pPr>
      <w:r>
        <w:rPr>
          <w:rFonts w:hint="eastAsia"/>
        </w:rPr>
        <w:t>12、培训考核方案：根据本采购包制定详细、可行的培训考核方案，保证上岗人员的专业素质、服务质量符合采购人要求，方案内容包括：①岗前培训②定期常态化培训③培训后的成果验收和考核。</w:t>
      </w:r>
    </w:p>
    <w:p w14:paraId="15DCC462">
      <w:pPr>
        <w:ind w:firstLine="480" w:firstLineChars="200"/>
        <w:jc w:val="both"/>
      </w:pPr>
      <w:r>
        <w:rPr>
          <w:rFonts w:hint="eastAsia"/>
        </w:rPr>
        <w:t>13、服务承诺：（1）承诺：接受采购人对本采购包服务的考核、监督及管理，定期调研采购人对服务质量的满意度并加以改进，确保服务工作的优质高效。（2）承诺：上岗人员固定，不随意更换，若出现服务人员因事、病等不能工作的，能及时调整其他服务人员补充，确保服务工作的正常进行。</w:t>
      </w:r>
    </w:p>
    <w:p w14:paraId="284ED240">
      <w:pPr>
        <w:ind w:firstLine="480" w:firstLineChars="200"/>
        <w:jc w:val="both"/>
        <w:rPr>
          <w:b/>
          <w:bCs/>
        </w:rPr>
      </w:pPr>
      <w:r>
        <w:rPr>
          <w:rFonts w:hint="eastAsia"/>
          <w:b/>
          <w:bCs/>
        </w:rPr>
        <w:t>（三）人员要求</w:t>
      </w:r>
    </w:p>
    <w:p w14:paraId="72E49F23">
      <w:pPr>
        <w:ind w:firstLine="480" w:firstLineChars="200"/>
        <w:jc w:val="both"/>
      </w:pPr>
      <w:r>
        <w:t>1、开展审计工作人员不少于</w:t>
      </w:r>
      <w:r>
        <w:rPr>
          <w:rFonts w:hint="eastAsia"/>
        </w:rPr>
        <w:t>3</w:t>
      </w:r>
      <w:r>
        <w:t>人。</w:t>
      </w:r>
    </w:p>
    <w:p w14:paraId="599D1F92">
      <w:pPr>
        <w:ind w:firstLine="480" w:firstLineChars="200"/>
        <w:jc w:val="both"/>
        <w:rPr>
          <w:b/>
          <w:bCs/>
        </w:rPr>
      </w:pPr>
      <w:r>
        <w:rPr>
          <w:rFonts w:ascii="Segoe UI Symbol" w:hAnsi="Segoe UI Symbol" w:cs="Segoe UI Symbol"/>
          <w:b/>
          <w:bCs/>
          <w:color w:val="C00000"/>
        </w:rPr>
        <w:t>★</w:t>
      </w:r>
      <w:r>
        <w:rPr>
          <w:b/>
          <w:bCs/>
        </w:rPr>
        <w:t>2、项目负责人</w:t>
      </w:r>
      <w:r>
        <w:rPr>
          <w:rFonts w:hint="eastAsia"/>
          <w:b/>
          <w:bCs/>
        </w:rPr>
        <w:t>必须为一级造价工程师，且在本单位注册，提供证书扫描件及在本单位注册的证明材料。</w:t>
      </w:r>
    </w:p>
    <w:p w14:paraId="1C8888A0">
      <w:pPr>
        <w:pStyle w:val="3"/>
        <w:jc w:val="both"/>
      </w:pPr>
      <w:r>
        <w:rPr>
          <w:rFonts w:hint="eastAsia"/>
        </w:rPr>
        <w:t>四、商务要求</w:t>
      </w:r>
    </w:p>
    <w:p w14:paraId="2EF9FCA2">
      <w:pPr>
        <w:ind w:firstLine="480" w:firstLineChars="200"/>
        <w:jc w:val="both"/>
      </w:pPr>
      <w:r>
        <w:rPr>
          <w:rFonts w:hint="eastAsia"/>
        </w:rPr>
        <w:t>（一）</w:t>
      </w:r>
      <w:r>
        <w:t>服务期</w:t>
      </w:r>
      <w:r>
        <w:rPr>
          <w:rFonts w:hint="eastAsia"/>
        </w:rPr>
        <w:t>限：</w:t>
      </w:r>
      <w:r>
        <w:t>自合同签订之日起</w:t>
      </w:r>
      <w:r>
        <w:rPr>
          <w:rFonts w:hint="eastAsia"/>
        </w:rPr>
        <w:t>1</w:t>
      </w:r>
      <w:r>
        <w:t>年</w:t>
      </w:r>
      <w:r>
        <w:rPr>
          <w:rFonts w:hint="eastAsia"/>
        </w:rPr>
        <w:t>。</w:t>
      </w:r>
    </w:p>
    <w:p w14:paraId="28C5A625">
      <w:pPr>
        <w:ind w:firstLine="480" w:firstLineChars="200"/>
        <w:jc w:val="both"/>
      </w:pPr>
      <w:r>
        <w:rPr>
          <w:rFonts w:hint="eastAsia"/>
        </w:rPr>
        <w:t>（二）</w:t>
      </w:r>
      <w:r>
        <w:t>服务地点</w:t>
      </w:r>
      <w:r>
        <w:rPr>
          <w:rFonts w:hint="eastAsia"/>
        </w:rPr>
        <w:t>：采购人指定地点。</w:t>
      </w:r>
    </w:p>
    <w:p w14:paraId="3D634049">
      <w:pPr>
        <w:ind w:firstLine="480" w:firstLineChars="200"/>
        <w:jc w:val="both"/>
      </w:pPr>
      <w:r>
        <w:rPr>
          <w:rFonts w:hint="eastAsia"/>
        </w:rPr>
        <w:t>（三）合同价款：</w:t>
      </w:r>
    </w:p>
    <w:p w14:paraId="23A5FC93">
      <w:pPr>
        <w:ind w:firstLine="480" w:firstLineChars="200"/>
        <w:jc w:val="both"/>
      </w:pPr>
      <w:bookmarkStart w:id="22" w:name="_Hlk234230038"/>
      <w:r>
        <w:rPr>
          <w:rFonts w:hint="eastAsia"/>
        </w:rPr>
        <w:t>1、限额上项目为≥30万元的项目：</w:t>
      </w:r>
    </w:p>
    <w:p w14:paraId="31D754E4">
      <w:pPr>
        <w:ind w:firstLine="480" w:firstLineChars="200"/>
        <w:jc w:val="both"/>
      </w:pPr>
      <w:r>
        <w:rPr>
          <w:rFonts w:hint="eastAsia"/>
        </w:rPr>
        <w:t>（1）预算、结（决）算审计，全过程跟踪审计：按陕价行发〔2014〕88号文件收费标准×成交折扣率计取；</w:t>
      </w:r>
    </w:p>
    <w:p w14:paraId="2CE07F3A">
      <w:pPr>
        <w:ind w:firstLine="480" w:firstLineChars="200"/>
        <w:jc w:val="both"/>
      </w:pPr>
      <w:r>
        <w:rPr>
          <w:rFonts w:hint="eastAsia"/>
        </w:rPr>
        <w:t>（2）采购文件审计：600元/件</w:t>
      </w:r>
      <w:bookmarkStart w:id="23" w:name="OLE_LINK12"/>
      <w:bookmarkStart w:id="24" w:name="OLE_LINK11"/>
      <w:r>
        <w:rPr>
          <w:rFonts w:hint="eastAsia"/>
        </w:rPr>
        <w:t>，据实结算。</w:t>
      </w:r>
      <w:bookmarkEnd w:id="23"/>
      <w:bookmarkEnd w:id="24"/>
    </w:p>
    <w:p w14:paraId="3B7DAA17">
      <w:pPr>
        <w:ind w:firstLine="480" w:firstLineChars="200"/>
        <w:jc w:val="both"/>
      </w:pPr>
      <w:r>
        <w:rPr>
          <w:rFonts w:hint="eastAsia"/>
        </w:rPr>
        <w:t>（3）待签合同审计：600元/件，据实结算。</w:t>
      </w:r>
    </w:p>
    <w:p w14:paraId="5EF2FBE9">
      <w:pPr>
        <w:ind w:firstLine="480" w:firstLineChars="200"/>
        <w:jc w:val="both"/>
      </w:pPr>
      <w:r>
        <w:rPr>
          <w:rFonts w:hint="eastAsia"/>
        </w:rPr>
        <w:t>（4）档案装订费：100元/件，据实结算。</w:t>
      </w:r>
    </w:p>
    <w:p w14:paraId="2AB70565">
      <w:pPr>
        <w:ind w:firstLine="480" w:firstLineChars="200"/>
        <w:jc w:val="both"/>
      </w:pPr>
      <w:r>
        <w:rPr>
          <w:rFonts w:hint="eastAsia"/>
        </w:rPr>
        <w:t>2、限额下项目为＜30万元的项目：包括预算、结（决）算审计，600元/件，据实结算。</w:t>
      </w:r>
    </w:p>
    <w:bookmarkEnd w:id="22"/>
    <w:p w14:paraId="0E603386">
      <w:pPr>
        <w:ind w:firstLine="480" w:firstLineChars="200"/>
        <w:jc w:val="both"/>
        <w:rPr>
          <w:b/>
          <w:bCs/>
        </w:rPr>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2DA58542">
      <w:pPr>
        <w:pStyle w:val="2"/>
        <w:spacing w:before="230" w:after="230"/>
        <w:rPr>
          <w:color w:val="C00000"/>
        </w:rPr>
      </w:pPr>
      <w:bookmarkStart w:id="25" w:name="_Toc148453731"/>
      <w:bookmarkStart w:id="26" w:name="_Toc234246177"/>
      <w:r>
        <w:rPr>
          <w:rFonts w:hint="eastAsia"/>
        </w:rPr>
        <w:t>第四章　合同</w:t>
      </w:r>
      <w:bookmarkEnd w:id="25"/>
      <w:r>
        <w:rPr>
          <w:rFonts w:hint="eastAsia"/>
        </w:rPr>
        <w:t>草案条款</w:t>
      </w:r>
      <w:bookmarkEnd w:id="26"/>
    </w:p>
    <w:p w14:paraId="41F60992">
      <w:pPr>
        <w:jc w:val="center"/>
        <w:rPr>
          <w:color w:val="C00000"/>
        </w:rPr>
      </w:pPr>
      <w:r>
        <w:rPr>
          <w:color w:val="C00000"/>
        </w:rPr>
        <w:t>（本合同为中小企业预留合同）</w:t>
      </w:r>
    </w:p>
    <w:p w14:paraId="16DA02A7">
      <w:pPr>
        <w:spacing w:before="230" w:beforeLines="50"/>
        <w:ind w:firstLine="480" w:firstLineChars="200"/>
        <w:jc w:val="both"/>
        <w:rPr>
          <w:b/>
        </w:rPr>
      </w:pPr>
      <w:r>
        <w:rPr>
          <w:b/>
        </w:rPr>
        <w:t>甲方（采购人）：</w:t>
      </w:r>
      <w:r>
        <w:rPr>
          <w:b/>
          <w:color w:val="C00000"/>
          <w:u w:val="single"/>
        </w:rPr>
        <w:t>西安市消防救援支队</w:t>
      </w:r>
    </w:p>
    <w:p w14:paraId="44A487A0">
      <w:pPr>
        <w:ind w:firstLine="480" w:firstLineChars="200"/>
        <w:jc w:val="both"/>
        <w:rPr>
          <w:b/>
        </w:rPr>
      </w:pPr>
      <w:r>
        <w:rPr>
          <w:b/>
        </w:rPr>
        <w:t>乙方（成交供应商）：</w:t>
      </w:r>
      <w:r>
        <w:rPr>
          <w:color w:val="C00000"/>
        </w:rPr>
        <w:t>_________________</w:t>
      </w:r>
    </w:p>
    <w:p w14:paraId="76F3DF7C">
      <w:pPr>
        <w:spacing w:before="230" w:beforeLines="50"/>
        <w:jc w:val="both"/>
        <w:rPr>
          <w:rFonts w:cs="Calibri Light"/>
          <w:b/>
        </w:rPr>
      </w:pPr>
      <w:r>
        <w:rPr>
          <w:rFonts w:cs="Calibri Light"/>
          <w:b/>
        </w:rPr>
        <w:t>一、服务条件：</w:t>
      </w:r>
    </w:p>
    <w:p w14:paraId="04D19A80">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14:paraId="7820DD1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（二）服务内容：见本项目磋商文件</w:t>
      </w:r>
    </w:p>
    <w:p w14:paraId="1FCF9FB7">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w:t>
      </w:r>
      <w:r>
        <w:rPr>
          <w:rFonts w:hint="eastAsia" w:asciiTheme="minorHAnsi" w:hAnsiTheme="minorHAnsi" w:eastAsiaTheme="minorEastAsia"/>
          <w:sz w:val="24"/>
          <w:szCs w:val="24"/>
        </w:rPr>
        <w:t>自合同签订之日起1年。</w:t>
      </w:r>
    </w:p>
    <w:p w14:paraId="7B2F04D2">
      <w:pPr>
        <w:spacing w:before="230" w:beforeLines="50"/>
        <w:jc w:val="both"/>
        <w:rPr>
          <w:rFonts w:cs="Calibri Light"/>
          <w:b/>
        </w:rPr>
      </w:pPr>
      <w:r>
        <w:rPr>
          <w:rFonts w:cs="Calibri Light"/>
          <w:b/>
        </w:rPr>
        <w:t>二、合同价款</w:t>
      </w:r>
    </w:p>
    <w:p w14:paraId="759DF1B3">
      <w:pPr>
        <w:ind w:firstLine="480" w:firstLineChars="200"/>
        <w:jc w:val="both"/>
      </w:pPr>
      <w:r>
        <w:rPr>
          <w:rFonts w:hint="eastAsia"/>
        </w:rPr>
        <w:t>（一）限额上项目为≥30万元的项目：</w:t>
      </w:r>
    </w:p>
    <w:p w14:paraId="474E4A33">
      <w:pPr>
        <w:ind w:firstLine="480" w:firstLineChars="200"/>
        <w:jc w:val="both"/>
      </w:pPr>
      <w:r>
        <w:rPr>
          <w:rFonts w:hint="eastAsia"/>
        </w:rPr>
        <w:t>1、预算、结（决）算审计，全过程跟踪审计：按陕价行发〔2014〕88号文件收费标准×成交折扣率计取；</w:t>
      </w:r>
    </w:p>
    <w:p w14:paraId="21816F34">
      <w:pPr>
        <w:ind w:firstLine="480" w:firstLineChars="200"/>
        <w:jc w:val="both"/>
      </w:pPr>
      <w:r>
        <w:t>2</w:t>
      </w:r>
      <w:r>
        <w:rPr>
          <w:rFonts w:hint="eastAsia"/>
        </w:rPr>
        <w:t>、采购文件审计：600元/件，据实结算。</w:t>
      </w:r>
    </w:p>
    <w:p w14:paraId="7D93EE36">
      <w:pPr>
        <w:ind w:firstLine="480" w:firstLineChars="200"/>
        <w:jc w:val="both"/>
      </w:pPr>
      <w:r>
        <w:rPr>
          <w:rFonts w:hint="eastAsia"/>
        </w:rPr>
        <w:t>3、待签合同审计：600元/件，据实结算。</w:t>
      </w:r>
    </w:p>
    <w:p w14:paraId="2F268308">
      <w:pPr>
        <w:ind w:firstLine="480" w:firstLineChars="200"/>
        <w:jc w:val="both"/>
      </w:pPr>
      <w:r>
        <w:t>4</w:t>
      </w:r>
      <w:r>
        <w:rPr>
          <w:rFonts w:hint="eastAsia"/>
        </w:rPr>
        <w:t>、档案装订费：100元/件，据实结算。</w:t>
      </w:r>
    </w:p>
    <w:p w14:paraId="55D8E838">
      <w:pPr>
        <w:ind w:firstLine="480" w:firstLineChars="200"/>
        <w:jc w:val="both"/>
        <w:rPr>
          <w:rFonts w:hint="eastAsia"/>
        </w:rPr>
      </w:pPr>
      <w:r>
        <w:rPr>
          <w:rFonts w:hint="eastAsia"/>
        </w:rPr>
        <w:t>（二）限额下项目为＜30万元的项目：包括预算、结（决）算审计，600元/件，据实结算。</w:t>
      </w:r>
    </w:p>
    <w:p w14:paraId="3E196DC7">
      <w:pPr>
        <w:spacing w:before="230" w:beforeLines="50"/>
        <w:jc w:val="both"/>
        <w:rPr>
          <w:rFonts w:cs="Calibri Light"/>
          <w:b/>
        </w:rPr>
      </w:pPr>
      <w:r>
        <w:rPr>
          <w:rFonts w:cs="Calibri Light"/>
          <w:b/>
        </w:rPr>
        <w:t>三、款项结算</w:t>
      </w:r>
    </w:p>
    <w:p w14:paraId="51FDD5D4">
      <w:pPr>
        <w:ind w:firstLine="480" w:firstLineChars="200"/>
        <w:jc w:val="both"/>
      </w:pPr>
      <w:r>
        <w:rPr>
          <w:rFonts w:hint="eastAsia"/>
        </w:rPr>
        <w:t>（一）针对甲方所需的具体业务，甲方应向乙方发出服务提供通知（通知需明确业务内容、服务完成期限及地点），乙方需按照通知要求的期限和地点，向甲方提供约定服务。关于具体业务产生的服务费用，乙方应在完成服务且甲方对其提供的服务最终成果文件出具书面认可后，依据本合同约定的服务收费标准向甲方提交付款申请，由甲方对该笔服务费用进行结算。因乙方延迟提供发票或提供发票不符合采购人要求致使甲方逾期付款的，甲方不承担任何责任。</w:t>
      </w:r>
    </w:p>
    <w:p w14:paraId="586516D2">
      <w:pPr>
        <w:ind w:firstLine="480" w:firstLineChars="200"/>
        <w:jc w:val="both"/>
      </w:pPr>
      <w:r>
        <w:rPr>
          <w:rFonts w:hint="eastAsia"/>
        </w:rPr>
        <w:t>（二）乙方要如实开具发票，不得变更开票内容，乙方开具发票出现税务争议时，乙方需承担税款、滞纳金、罚款等赔偿责任以及其他相关责任。</w:t>
      </w:r>
    </w:p>
    <w:p w14:paraId="3739DF02">
      <w:pPr>
        <w:spacing w:before="230" w:beforeLines="50"/>
        <w:jc w:val="both"/>
        <w:rPr>
          <w:rFonts w:cs="Calibri Light"/>
          <w:b/>
        </w:rPr>
      </w:pPr>
      <w:r>
        <w:rPr>
          <w:rFonts w:cs="Calibri Light"/>
          <w:b/>
        </w:rPr>
        <w:t>四、双方的权利和义务</w:t>
      </w:r>
    </w:p>
    <w:p w14:paraId="422D3328">
      <w:pPr>
        <w:wordWrap w:val="0"/>
        <w:ind w:firstLine="480" w:firstLineChars="200"/>
        <w:jc w:val="both"/>
        <w:rPr>
          <w:b/>
          <w:bCs/>
        </w:rPr>
      </w:pPr>
      <w:r>
        <w:rPr>
          <w:b/>
          <w:bCs/>
        </w:rPr>
        <w:t>（一）甲方的权利和义务</w:t>
      </w:r>
    </w:p>
    <w:p w14:paraId="71F913D1">
      <w:pPr>
        <w:wordWrap w:val="0"/>
        <w:ind w:firstLine="480" w:firstLineChars="200"/>
        <w:jc w:val="both"/>
      </w:pPr>
      <w:r>
        <w:rPr>
          <w:rFonts w:hint="eastAsia"/>
        </w:rPr>
        <w:t xml:space="preserve">1、甲方有权要求乙方提供真实、详细的公司资信材料、技术资料及符合要求的审计服务。 </w:t>
      </w:r>
    </w:p>
    <w:p w14:paraId="7B7A3A79">
      <w:pPr>
        <w:wordWrap w:val="0"/>
        <w:ind w:firstLine="480" w:firstLineChars="200"/>
        <w:jc w:val="both"/>
      </w:pPr>
      <w:r>
        <w:t>2</w:t>
      </w:r>
      <w:r>
        <w:rPr>
          <w:rFonts w:hint="eastAsia"/>
        </w:rPr>
        <w:t xml:space="preserve">、甲方有权要求乙方独立提供审计服务，不得将已承揽的服务转包第三方。 </w:t>
      </w:r>
    </w:p>
    <w:p w14:paraId="1B223669">
      <w:pPr>
        <w:wordWrap w:val="0"/>
        <w:ind w:firstLine="480" w:firstLineChars="200"/>
        <w:jc w:val="both"/>
      </w:pPr>
      <w:r>
        <w:rPr>
          <w:rFonts w:hint="eastAsia"/>
        </w:rPr>
        <w:t xml:space="preserve">3、乙方如在提供服务过程中出现问题，致使咨询结果不符合合同内容的，或因泄漏秘密或业务资料，给甲方造成损害，甲方有权取消乙方服务资格，并要求乙方承担与自身过错相适应的甲方的直接损失和间接损失，并向甲方赔偿。 </w:t>
      </w:r>
    </w:p>
    <w:p w14:paraId="0A8E16C4">
      <w:pPr>
        <w:wordWrap w:val="0"/>
        <w:ind w:firstLine="480" w:firstLineChars="200"/>
        <w:jc w:val="both"/>
      </w:pPr>
      <w:r>
        <w:t>4</w:t>
      </w:r>
      <w:r>
        <w:rPr>
          <w:rFonts w:hint="eastAsia"/>
        </w:rPr>
        <w:t xml:space="preserve">、合作合同有效期内，因甲方政策或实际情况等发生变化，甲方有权单方面暂停/取消本合同，并且不承担乙方由此产生的各项费用或成本。 </w:t>
      </w:r>
    </w:p>
    <w:p w14:paraId="080C0EA9">
      <w:pPr>
        <w:wordWrap w:val="0"/>
        <w:ind w:firstLine="480" w:firstLineChars="200"/>
        <w:jc w:val="both"/>
      </w:pPr>
      <w:r>
        <w:rPr>
          <w:rFonts w:hint="eastAsia"/>
        </w:rPr>
        <w:t xml:space="preserve">5、甲方有义务在乙方接受具体项目后，及时与乙方沟通，交流意见，并向乙方提供明确、清晰的服务内容。 </w:t>
      </w:r>
    </w:p>
    <w:p w14:paraId="519B1860">
      <w:pPr>
        <w:wordWrap w:val="0"/>
        <w:ind w:firstLine="480" w:firstLineChars="200"/>
        <w:jc w:val="both"/>
      </w:pPr>
      <w:r>
        <w:t>6</w:t>
      </w:r>
      <w:r>
        <w:rPr>
          <w:rFonts w:hint="eastAsia"/>
        </w:rPr>
        <w:t xml:space="preserve">、甲方有义务就具体采购项目协助乙方对采购过程中的技术问题进行澄清。 </w:t>
      </w:r>
    </w:p>
    <w:p w14:paraId="10616045">
      <w:pPr>
        <w:wordWrap w:val="0"/>
        <w:ind w:firstLine="480" w:firstLineChars="200"/>
        <w:jc w:val="both"/>
        <w:rPr>
          <w:b/>
          <w:bCs/>
        </w:rPr>
      </w:pPr>
      <w:r>
        <w:rPr>
          <w:b/>
          <w:bCs/>
        </w:rPr>
        <w:t>（二）乙方的权利和义务</w:t>
      </w:r>
    </w:p>
    <w:p w14:paraId="6BD36F39">
      <w:pPr>
        <w:wordWrap w:val="0"/>
        <w:ind w:firstLine="480" w:firstLineChars="200"/>
        <w:jc w:val="both"/>
      </w:pPr>
      <w:r>
        <w:rPr>
          <w:rFonts w:hint="eastAsia"/>
        </w:rPr>
        <w:t>1、乙方在此合同有效期内，不得无故不参与甲方邀请的相关服务的采购项目。</w:t>
      </w:r>
    </w:p>
    <w:p w14:paraId="295ECCD4">
      <w:pPr>
        <w:wordWrap w:val="0"/>
        <w:ind w:firstLine="480" w:firstLineChars="200"/>
        <w:jc w:val="both"/>
      </w:pPr>
      <w:r>
        <w:t>2</w:t>
      </w:r>
      <w:r>
        <w:rPr>
          <w:rFonts w:hint="eastAsia"/>
        </w:rPr>
        <w:t xml:space="preserve">、乙方在接受具体服务项目后，有权要求甲方提供能够全面反映采购预期目标的技术需求及其他相关的必要资料或文件。 </w:t>
      </w:r>
    </w:p>
    <w:p w14:paraId="34E4A2E1">
      <w:pPr>
        <w:wordWrap w:val="0"/>
        <w:ind w:firstLine="480" w:firstLineChars="200"/>
        <w:jc w:val="both"/>
      </w:pPr>
      <w:r>
        <w:rPr>
          <w:rFonts w:hint="eastAsia"/>
        </w:rPr>
        <w:t>3、乙方在服务过程中需充分尊重甲方意见，为甲方提供优质全面技术咨询服务。</w:t>
      </w:r>
    </w:p>
    <w:p w14:paraId="42495E9D">
      <w:pPr>
        <w:wordWrap w:val="0"/>
        <w:ind w:firstLine="480" w:firstLineChars="200"/>
        <w:jc w:val="both"/>
      </w:pPr>
      <w:r>
        <w:t>4</w:t>
      </w:r>
      <w:r>
        <w:rPr>
          <w:rFonts w:hint="eastAsia"/>
        </w:rPr>
        <w:t xml:space="preserve">、乙方必须维护甲方的合法权益，不得为乙方或任何第三方的利益而损害甲方的合法权益。 </w:t>
      </w:r>
    </w:p>
    <w:p w14:paraId="13BF94D0">
      <w:pPr>
        <w:wordWrap w:val="0"/>
        <w:ind w:firstLine="480" w:firstLineChars="200"/>
        <w:jc w:val="both"/>
      </w:pPr>
      <w:r>
        <w:rPr>
          <w:rFonts w:hint="eastAsia"/>
        </w:rPr>
        <w:t xml:space="preserve">5、乙方对服务质量和结果承担最终责任。确因乙方的过失，致使服务内容偏差较大的，乙方应承担与自身过错相适应的甲方的直接损失和间接损失。 </w:t>
      </w:r>
    </w:p>
    <w:p w14:paraId="37BCB8FE">
      <w:pPr>
        <w:wordWrap w:val="0"/>
        <w:ind w:firstLine="480" w:firstLineChars="200"/>
        <w:jc w:val="both"/>
      </w:pPr>
      <w:r>
        <w:rPr>
          <w:rFonts w:hint="eastAsia"/>
        </w:rPr>
        <w:t>6、乙方应为甲方配备具有较高专业水准、丰富从业经验、勤勉尽责的专门项目团队，完成甲方的服务内容。乙方安排的人员所产生的任何损失、责任、纠纷均与甲方无关，其行为导致甲方或第三方损失的，由乙方承担全部赔偿责任。</w:t>
      </w:r>
    </w:p>
    <w:p w14:paraId="5E11C269">
      <w:pPr>
        <w:wordWrap w:val="0"/>
        <w:ind w:firstLine="480" w:firstLineChars="200"/>
        <w:jc w:val="both"/>
      </w:pPr>
      <w:r>
        <w:t>7</w:t>
      </w:r>
      <w:r>
        <w:rPr>
          <w:rFonts w:hint="eastAsia"/>
        </w:rPr>
        <w:t xml:space="preserve">、乙方保证对提供给甲方的服务享有合法权利，不侵犯任何第三方的知识产权等权益（包括但不限于商标权、专利权、版权、对不便申请专利的技术秘密和商业秘密的权利等）。否则，乙方将赔偿由此给甲方造成的全部损失。 </w:t>
      </w:r>
    </w:p>
    <w:p w14:paraId="51D4F364">
      <w:pPr>
        <w:wordWrap w:val="0"/>
        <w:ind w:firstLine="480" w:firstLineChars="200"/>
        <w:jc w:val="both"/>
      </w:pPr>
      <w:r>
        <w:rPr>
          <w:rFonts w:hint="eastAsia"/>
        </w:rPr>
        <w:t>8、本合同有效期间，乙方经行业主管部门授予的资格（质）如发生变更，或机构变更、相关人员变动、歇业、停产、转产等情况，应在3个工作日内书面通知甲方。</w:t>
      </w:r>
    </w:p>
    <w:p w14:paraId="718A2D59">
      <w:pPr>
        <w:spacing w:before="230" w:beforeLines="50"/>
        <w:jc w:val="both"/>
        <w:rPr>
          <w:rFonts w:cs="Calibri Light"/>
          <w:b/>
        </w:rPr>
      </w:pPr>
      <w:r>
        <w:rPr>
          <w:rFonts w:cs="Calibri Light"/>
          <w:b/>
        </w:rPr>
        <w:t>五、知识产权及承诺</w:t>
      </w:r>
    </w:p>
    <w:p w14:paraId="5CFAB05B">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（一）乙方保证所提供的服务或其任何一部分均不会侵犯任何第三方的专利权、商标权、著作权或其他合法权益，否则视为乙方违约，由此产生的一切损失由乙方承担。</w:t>
      </w:r>
    </w:p>
    <w:p w14:paraId="184C8B2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（二）经甲乙双方协商一致，本项目产生的知识产权归甲方拥有。</w:t>
      </w:r>
    </w:p>
    <w:p w14:paraId="4B83D0FA">
      <w:pPr>
        <w:spacing w:before="230" w:beforeLines="50"/>
        <w:jc w:val="both"/>
        <w:rPr>
          <w:rFonts w:cs="Calibri Light"/>
          <w:b/>
        </w:rPr>
      </w:pPr>
      <w:r>
        <w:rPr>
          <w:rFonts w:cs="Calibri Light"/>
          <w:b/>
        </w:rPr>
        <w:t>六、验收</w:t>
      </w:r>
    </w:p>
    <w:p w14:paraId="1AF4F74A">
      <w:pPr>
        <w:wordWrap w:val="0"/>
        <w:ind w:firstLine="480" w:firstLineChars="200"/>
        <w:jc w:val="both"/>
      </w:pPr>
      <w:r>
        <w:t>（一）服务期满后，甲方根据磋商文件和响应文件及相关文件，进行验收，确认服务标准和服务方式是否达到采购要求。</w:t>
      </w:r>
    </w:p>
    <w:p w14:paraId="42BF9E03">
      <w:pPr>
        <w:wordWrap w:val="0"/>
        <w:ind w:firstLine="480" w:firstLineChars="200"/>
        <w:jc w:val="both"/>
      </w:pPr>
      <w:r>
        <w:t>（二）甲方组织乙方（必要时请有关专家）进行验收，验收合格后，填写政府采购项目验收单（一式伍份）作为对项目的最终认可。</w:t>
      </w:r>
    </w:p>
    <w:p w14:paraId="4C1DA18C">
      <w:pPr>
        <w:wordWrap w:val="0"/>
        <w:ind w:firstLine="480" w:firstLineChars="200"/>
        <w:jc w:val="both"/>
      </w:pPr>
      <w:r>
        <w:t>（三）乙方向甲方提供服务过程中的所有资料，以便甲方日后管理。</w:t>
      </w:r>
    </w:p>
    <w:p w14:paraId="27CB4423">
      <w:pPr>
        <w:wordWrap w:val="0"/>
        <w:ind w:firstLine="480" w:firstLineChars="200"/>
        <w:jc w:val="both"/>
      </w:pPr>
      <w:r>
        <w:t>（四）验收依据：</w:t>
      </w:r>
    </w:p>
    <w:p w14:paraId="3C01C91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1．磋商文件、响应文件、澄清表（函）；</w:t>
      </w:r>
    </w:p>
    <w:p w14:paraId="2B8CFB3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14:paraId="5A8DF76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14:paraId="1358C10D">
      <w:pPr>
        <w:spacing w:before="230" w:beforeLines="50"/>
        <w:jc w:val="both"/>
        <w:rPr>
          <w:rFonts w:cs="Calibri Light"/>
          <w:b/>
        </w:rPr>
      </w:pPr>
      <w:r>
        <w:rPr>
          <w:rFonts w:cs="Calibri Light"/>
          <w:b/>
        </w:rPr>
        <w:t>七、违约责任</w:t>
      </w:r>
    </w:p>
    <w:p w14:paraId="1BDFF2DD">
      <w:pPr>
        <w:wordWrap w:val="0"/>
        <w:ind w:firstLine="480" w:firstLineChars="200"/>
        <w:jc w:val="both"/>
      </w:pPr>
      <w:r>
        <w:rPr>
          <w:rFonts w:hint="eastAsia"/>
        </w:rPr>
        <w:t>（一）因乙方审计程序不当、计算错误、结论偏差等专业问题，造成报告存在实质性缺陷的，乙方须在甲方指定期限内无偿整改、重新出具成果。若因此给甲方造成经济损失、行政追责、声誉影响，乙方承担全部赔偿责任。</w:t>
      </w:r>
    </w:p>
    <w:p w14:paraId="4E3EDB02">
      <w:pPr>
        <w:wordWrap w:val="0"/>
        <w:ind w:firstLine="480" w:firstLineChars="200"/>
        <w:jc w:val="both"/>
      </w:pPr>
      <w:r>
        <w:rPr>
          <w:rFonts w:hint="eastAsia"/>
        </w:rPr>
        <w:t>（二）未经甲方书面同意，乙方不得将本项目转包、分包。违者甲方有权解除合同，乙方退还已收全部费用。</w:t>
      </w:r>
    </w:p>
    <w:p w14:paraId="5C64B497">
      <w:pPr>
        <w:spacing w:before="230" w:beforeLines="50"/>
        <w:jc w:val="both"/>
        <w:rPr>
          <w:rFonts w:cs="Calibri Light"/>
          <w:b/>
        </w:rPr>
      </w:pPr>
      <w:r>
        <w:rPr>
          <w:rFonts w:cs="Calibri Light"/>
          <w:b/>
        </w:rPr>
        <w:t>八、合同的变更和修改、中止和终止</w:t>
      </w:r>
    </w:p>
    <w:p w14:paraId="214C8813">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（一）合同变更与修改</w:t>
      </w:r>
    </w:p>
    <w:p w14:paraId="100CF282">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本合同一经签订，原则上不得随意变更。确因项目实际情况、政策要求、审计任务调整需要变更服务内容、审计范围、服务期限、收费标准、项目负责人、交付成果等内容的，提出方须向对方出具正式书面变更函。</w:t>
      </w:r>
    </w:p>
    <w:p w14:paraId="5BC02224">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w:t>
      </w:r>
      <w:r>
        <w:rPr>
          <w:rFonts w:hint="eastAsia" w:asciiTheme="minorHAnsi" w:hAnsiTheme="minorHAnsi" w:eastAsiaTheme="minorEastAsia"/>
          <w:sz w:val="24"/>
          <w:szCs w:val="24"/>
        </w:rPr>
        <w:t>、双方充分协商并达成一致后，签订书面补充协议，补充协议须加盖双方公章后方可生效；未经书面确认的口头变更、单方变更均无效。</w:t>
      </w:r>
    </w:p>
    <w:p w14:paraId="74EAB2C4">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w:t>
      </w:r>
      <w:r>
        <w:rPr>
          <w:rFonts w:hint="eastAsia" w:asciiTheme="minorHAnsi" w:hAnsiTheme="minorHAnsi" w:eastAsiaTheme="minorEastAsia"/>
          <w:sz w:val="24"/>
          <w:szCs w:val="24"/>
        </w:rPr>
        <w:t>、乙方严格按照国家审计准则、行业规范及合同约定出具审计报告，甲方不得自行涂改、截取、篡改审计报告及相关鉴证资料；若需调整，必须由乙方按执业规范统一处理。</w:t>
      </w:r>
    </w:p>
    <w:p w14:paraId="6AD8F46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（二）合同中止（暂停履行）</w:t>
      </w:r>
    </w:p>
    <w:p w14:paraId="2025D0BE">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w:t>
      </w:r>
      <w:r>
        <w:rPr>
          <w:rFonts w:hint="eastAsia" w:asciiTheme="minorHAnsi" w:hAnsiTheme="minorHAnsi" w:eastAsiaTheme="minorEastAsia"/>
          <w:sz w:val="24"/>
          <w:szCs w:val="24"/>
        </w:rPr>
        <w:t>、因不可抗力、国家政策重大调整、上级主管部门指令、项目暂停实施等客观原因，致使审计工作无法开展的，任一方可书面通知对方中止合同。中止状态持续超过30日的，双方可协商解除合同。</w:t>
      </w:r>
    </w:p>
    <w:p w14:paraId="65C5C617">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w:t>
      </w:r>
      <w:r>
        <w:rPr>
          <w:rFonts w:hint="eastAsia" w:asciiTheme="minorHAnsi" w:hAnsiTheme="minorHAnsi" w:eastAsiaTheme="minorEastAsia"/>
          <w:sz w:val="24"/>
          <w:szCs w:val="24"/>
        </w:rPr>
        <w:t>、中止期间，双方暂停履行主要合同义务，互不承担逾期违约责任；中止事由消失后，双方应在3个工作日内恢复审计工作。</w:t>
      </w:r>
    </w:p>
    <w:p w14:paraId="6F4D3B9E">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（三）合同终止</w:t>
      </w:r>
    </w:p>
    <w:p w14:paraId="00F4FF62">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w:t>
      </w:r>
      <w:r>
        <w:rPr>
          <w:rFonts w:hint="eastAsia" w:asciiTheme="minorHAnsi" w:hAnsiTheme="minorHAnsi" w:eastAsiaTheme="minorEastAsia"/>
          <w:sz w:val="24"/>
          <w:szCs w:val="24"/>
        </w:rPr>
        <w:t>、到期/履约完毕终止：双方全部履约完成，审计成果验收合格、款项全额结清、全部资料交接归档完成，本合同权利义务自动终止。</w:t>
      </w:r>
    </w:p>
    <w:p w14:paraId="51F60421">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w:t>
      </w:r>
      <w:r>
        <w:rPr>
          <w:rFonts w:hint="eastAsia" w:asciiTheme="minorHAnsi" w:hAnsiTheme="minorHAnsi" w:eastAsiaTheme="minorEastAsia"/>
          <w:sz w:val="24"/>
          <w:szCs w:val="24"/>
        </w:rPr>
        <w:t>、协商解除：双方协商一致可书面解除本合同。解除后按照乙方实际完成的审计工作量进行结算，已完成部分对应的服务费甲方应予全额支付。</w:t>
      </w:r>
    </w:p>
    <w:p w14:paraId="6609424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w:t>
      </w:r>
      <w:r>
        <w:rPr>
          <w:rFonts w:hint="eastAsia" w:asciiTheme="minorHAnsi" w:hAnsiTheme="minorHAnsi" w:eastAsiaTheme="minorEastAsia"/>
          <w:sz w:val="24"/>
          <w:szCs w:val="24"/>
        </w:rPr>
        <w:t>、出现下列情形之一，甲方向乙方发出书面整改通知，乙方在约定期限内仍未纠正的，甲方可单方解除合同：</w:t>
      </w:r>
    </w:p>
    <w:p w14:paraId="0C4160E3">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（1）乙方未按合同约定进度交付成果，严重逾期且无合理理由；</w:t>
      </w:r>
    </w:p>
    <w:p w14:paraId="432EA0EF">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（2）审计成果存在重大实质性错误、违反执业规范，无法通过复核及备案；</w:t>
      </w:r>
    </w:p>
    <w:p w14:paraId="6EE0BAB3">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（3）未经甲方书面同意，擅自将项目转包、违法分包；</w:t>
      </w:r>
    </w:p>
    <w:p w14:paraId="3E6768FA">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（4）擅自泄露甲方涉密资料、商业秘密，造成不良影响；</w:t>
      </w:r>
    </w:p>
    <w:p w14:paraId="203313B7">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（5）核心审计人员擅自离、消极怠工，严重影响项目推进。</w:t>
      </w:r>
    </w:p>
    <w:p w14:paraId="6288259A">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（四）合同终止后续义务</w:t>
      </w:r>
    </w:p>
    <w:p w14:paraId="1C1761C9">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w:t>
      </w:r>
      <w:r>
        <w:rPr>
          <w:rFonts w:hint="eastAsia" w:asciiTheme="minorHAnsi" w:hAnsiTheme="minorHAnsi" w:eastAsiaTheme="minorEastAsia"/>
          <w:sz w:val="24"/>
          <w:szCs w:val="24"/>
        </w:rPr>
        <w:t>、合同终止后，双方应在5个工作日内完成前期审计档案资料、电子文档、报告文件等全部资料交接。</w:t>
      </w:r>
    </w:p>
    <w:p w14:paraId="480F118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w:t>
      </w:r>
      <w:r>
        <w:rPr>
          <w:rFonts w:hint="eastAsia" w:asciiTheme="minorHAnsi" w:hAnsiTheme="minorHAnsi" w:eastAsiaTheme="minorEastAsia"/>
          <w:sz w:val="24"/>
          <w:szCs w:val="24"/>
        </w:rPr>
        <w:t>乙方保密义务不因合同终止而失效，永久对甲方涉密信息、财务数据、项目信息予以保密。</w:t>
      </w:r>
    </w:p>
    <w:p w14:paraId="19A0FCC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w:t>
      </w:r>
      <w:r>
        <w:rPr>
          <w:rFonts w:hint="eastAsia" w:asciiTheme="minorHAnsi" w:hAnsiTheme="minorHAnsi" w:eastAsiaTheme="minorEastAsia"/>
          <w:sz w:val="24"/>
          <w:szCs w:val="24"/>
        </w:rPr>
        <w:t>、合同终止不影响双方在合同中约定的违约责任、争议解决、索赔权利。</w:t>
      </w:r>
    </w:p>
    <w:p w14:paraId="500EF15B">
      <w:pPr>
        <w:spacing w:before="230" w:beforeLines="50"/>
        <w:jc w:val="both"/>
        <w:rPr>
          <w:rFonts w:cs="Calibri Light"/>
          <w:b/>
        </w:rPr>
      </w:pPr>
      <w:r>
        <w:rPr>
          <w:rFonts w:cs="Calibri Light"/>
          <w:b/>
        </w:rPr>
        <w:t>九、保密条款</w:t>
      </w:r>
    </w:p>
    <w:p w14:paraId="21E53710">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（一）保密资料的范围</w:t>
      </w:r>
    </w:p>
    <w:p w14:paraId="717E296A">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1．保密资料指在合同签订和履行过程中由甲方或其授权代表以文字、图纸、电子数据、音频、视频或任何其他形式透露给乙方，或者乙方以任何其他形式从甲方获取的与合同有关的任何资料。</w:t>
      </w:r>
    </w:p>
    <w:p w14:paraId="1007C817">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2．任何包含保密资料的手册、说明、报告、图纸、信函、电传、电子邮件和其他资料或载体，均视为保密资料。</w:t>
      </w:r>
    </w:p>
    <w:p w14:paraId="1593C225">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3．在甲方告知乙方时，已经是公开资料的，不是保密资料。</w:t>
      </w:r>
    </w:p>
    <w:p w14:paraId="608BCA39">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（二）保密义务的内容</w:t>
      </w:r>
    </w:p>
    <w:p w14:paraId="6DD9E32B">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1．乙方应对任何保密资料保密并促使、监督其雇员对保密资料保密。</w:t>
      </w:r>
    </w:p>
    <w:p w14:paraId="5AECC921">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2．未经甲方书面同意，不得向第三方透露任何关于保密资料存在的信息或为第三方使用、复制保密资料或以任何形式了解保密资料的内容提供便利。</w:t>
      </w:r>
    </w:p>
    <w:p w14:paraId="48ECCF07">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3．除为合同的履行外，不得将保密资料用于任何其他目的。</w:t>
      </w:r>
    </w:p>
    <w:p w14:paraId="3FCF29CB">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（三）保密对象</w:t>
      </w:r>
    </w:p>
    <w:p w14:paraId="098319F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保密对象包括但不限于乙方、其关联公司及其相关人士。相关人士包括但不限于公司及其所属集团各自的董事、监事、高级管理人员、雇员、咨询者、代理人、顾问等。</w:t>
      </w:r>
    </w:p>
    <w:p w14:paraId="05876AE1">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（四）保密期限</w:t>
      </w:r>
    </w:p>
    <w:p w14:paraId="371BE6E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乙方应在职责范围内对所接触的甲方资料负有保密义务，该保密义务自签署之日起生效，不因合同的解除或终止而失效。</w:t>
      </w:r>
    </w:p>
    <w:p w14:paraId="4476B38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（五）其他</w:t>
      </w:r>
    </w:p>
    <w:p w14:paraId="18D1A93F">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1．任何保密资料的版权，除有明确规定外，都归甲方所有。</w:t>
      </w:r>
    </w:p>
    <w:p w14:paraId="3E5684A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当合同履行完毕或被解除时，乙方应立即将保密资料归还给甲方。不能归还的，应按照甲方的要求或者在甲方指定人员的监督下将其销毁，包括但不限于电子文档、邮件、存储介质等，需彻底删除并提供删除证明。</w:t>
      </w:r>
    </w:p>
    <w:p w14:paraId="182B6E9B">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3.因履行合同的需要或根据本保密协议，保密资料需要为第三方所知时，乙方应取得甲方的书面同意，且确保第三方签署一份与本保密协议中的保密义务相等的保密承诺书。</w:t>
      </w:r>
    </w:p>
    <w:p w14:paraId="553F00C8">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4.乙方发现任何保密资料可能或已经泄露时，应立即通知甲方，并采取一切合理措施防止泄密范围扩大，同时配合甲方进行调查处理。</w:t>
      </w:r>
    </w:p>
    <w:p w14:paraId="6D0DD5A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5.如乙方未按上述条款所述义务保密从而导致甲方遭受损失，乙方应承担由此造成的全部损失，包括但不限于甲方因乙方的违约行为而受到的索赔、支出、法庭或仲裁庭或任何其他监管机构作出的处罚。</w:t>
      </w:r>
    </w:p>
    <w:p w14:paraId="684E0254">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6.因本合同引起的或与本合同有关的任何争议，双方应首先通过友好协商解决；协商不成的，任何一方均有权向西安仲裁委员会申请仲裁。</w:t>
      </w:r>
    </w:p>
    <w:p w14:paraId="373B5981">
      <w:pPr>
        <w:spacing w:before="230" w:beforeLines="50"/>
        <w:jc w:val="both"/>
        <w:rPr>
          <w:rFonts w:cs="Calibri Light"/>
          <w:b/>
        </w:rPr>
      </w:pPr>
      <w:r>
        <w:rPr>
          <w:rFonts w:cs="Calibri Light"/>
          <w:b/>
        </w:rPr>
        <w:t>十、争议解决</w:t>
      </w:r>
    </w:p>
    <w:p w14:paraId="7AE5789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14:paraId="5050F534">
      <w:pPr>
        <w:wordWrap w:val="0"/>
        <w:ind w:firstLine="480" w:firstLineChars="200"/>
        <w:jc w:val="both"/>
      </w:pPr>
      <w:r>
        <w:t>（二）凡与本合同有关的一切争议，双方应通过友好协商解决。如协商后仍不能达成协议时，按下列第</w:t>
      </w:r>
      <w:r>
        <w:rPr>
          <w:u w:val="single"/>
        </w:rPr>
        <w:t>1</w:t>
      </w:r>
      <w:r>
        <w:t>种方式解决。</w:t>
      </w:r>
    </w:p>
    <w:p w14:paraId="4CDBA189">
      <w:pPr>
        <w:wordWrap w:val="0"/>
        <w:ind w:firstLine="480" w:firstLineChars="200"/>
        <w:jc w:val="both"/>
      </w:pPr>
      <w:r>
        <w:t>1．提交西安仲裁委员会。</w:t>
      </w:r>
    </w:p>
    <w:p w14:paraId="20D0CFDA">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14:paraId="05C291D3">
      <w:pPr>
        <w:spacing w:before="230" w:beforeLines="50"/>
        <w:jc w:val="both"/>
        <w:rPr>
          <w:rFonts w:cs="Calibri Light"/>
          <w:b/>
        </w:rPr>
      </w:pPr>
      <w:r>
        <w:rPr>
          <w:rFonts w:cs="Calibri Light"/>
          <w:b/>
        </w:rPr>
        <w:t>十一、不可抗力</w:t>
      </w:r>
    </w:p>
    <w:p w14:paraId="146104E7">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905BCB3">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25145E">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14:paraId="558B1EDB">
      <w:pPr>
        <w:spacing w:before="230" w:beforeLines="50"/>
        <w:jc w:val="both"/>
        <w:rPr>
          <w:rFonts w:cs="Calibri Light"/>
          <w:b/>
        </w:rPr>
      </w:pPr>
      <w:r>
        <w:rPr>
          <w:rFonts w:cs="Calibri Light"/>
          <w:b/>
        </w:rPr>
        <w:t>十二、合同生效及其他</w:t>
      </w:r>
    </w:p>
    <w:p w14:paraId="552BA70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14:paraId="06B4825B">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份，甲方执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份，乙方执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w:t>
      </w:r>
    </w:p>
    <w:p w14:paraId="43187513">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p>
    <w:p w14:paraId="6FD31474"/>
    <w:p w14:paraId="0FC4A7EB">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066AACEE">
      <w:pPr>
        <w:pStyle w:val="2"/>
        <w:spacing w:before="230" w:after="230"/>
      </w:pPr>
      <w:bookmarkStart w:id="27" w:name="_Toc234246178"/>
      <w:r>
        <w:rPr>
          <w:rFonts w:hint="eastAsia"/>
        </w:rPr>
        <w:t>第五章　响应文件构成及格式</w:t>
      </w:r>
      <w:bookmarkEnd w:id="27"/>
    </w:p>
    <w:p w14:paraId="4578CFAC">
      <w:pPr>
        <w:jc w:val="center"/>
        <w:rPr>
          <w:rFonts w:cstheme="minorHAnsi"/>
          <w:sz w:val="36"/>
          <w:szCs w:val="36"/>
        </w:rPr>
      </w:pPr>
      <w:bookmarkStart w:id="28" w:name="_Hlk234502980"/>
    </w:p>
    <w:p w14:paraId="46C3CF94">
      <w:pPr>
        <w:jc w:val="center"/>
        <w:rPr>
          <w:rFonts w:cstheme="minorHAnsi"/>
          <w:sz w:val="36"/>
          <w:szCs w:val="36"/>
        </w:rPr>
      </w:pPr>
    </w:p>
    <w:p w14:paraId="60FF2F4A">
      <w:pPr>
        <w:jc w:val="center"/>
        <w:rPr>
          <w:rFonts w:cstheme="minorHAnsi"/>
          <w:sz w:val="36"/>
          <w:szCs w:val="36"/>
        </w:rPr>
      </w:pPr>
    </w:p>
    <w:p w14:paraId="38C61182">
      <w:pPr>
        <w:jc w:val="center"/>
        <w:rPr>
          <w:rFonts w:cstheme="minorHAnsi"/>
          <w:b/>
          <w:color w:val="C00000"/>
          <w:sz w:val="44"/>
          <w:szCs w:val="44"/>
        </w:rPr>
      </w:pPr>
      <w:r>
        <w:rPr>
          <w:rFonts w:cstheme="minorHAnsi"/>
          <w:b/>
          <w:color w:val="C00000"/>
          <w:sz w:val="36"/>
          <w:szCs w:val="36"/>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响应文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63B1F57B">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磋商邀请函自行填写</w:t>
      </w:r>
      <w:r>
        <w:rPr>
          <w:rFonts w:cstheme="minorHAnsi"/>
          <w:sz w:val="28"/>
          <w:szCs w:val="28"/>
        </w:rPr>
        <w:t>。</w:t>
      </w:r>
      <w:r>
        <w:rPr>
          <w:rFonts w:cstheme="minorHAnsi"/>
          <w:sz w:val="36"/>
        </w:rPr>
        <w:br w:type="page"/>
      </w:r>
    </w:p>
    <w:bookmarkEnd w:id="28"/>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第一次报价表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响应方案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bookmarkStart w:id="29" w:name="_Hlk234502998"/>
      <w:r>
        <w:rPr>
          <w:rFonts w:hint="eastAsia" w:ascii="Calibri" w:hAnsi="Calibri" w:eastAsia="黑体"/>
          <w:kern w:val="32"/>
          <w:sz w:val="32"/>
        </w:rPr>
        <w:t>第一部分　响应函</w:t>
      </w:r>
    </w:p>
    <w:p w14:paraId="5A4E611A">
      <w:pPr>
        <w:jc w:val="both"/>
        <w:rPr>
          <w:rFonts w:cstheme="minorHAnsi"/>
          <w:color w:val="000000"/>
        </w:rPr>
      </w:pPr>
      <w:r>
        <w:rPr>
          <w:rFonts w:hint="eastAsia"/>
        </w:rPr>
        <w:t>西安市市级单位政府采购中心</w:t>
      </w:r>
      <w:r>
        <w:rPr>
          <w:rFonts w:hint="eastAsia" w:cstheme="minorHAnsi"/>
          <w:color w:val="000000"/>
        </w:rPr>
        <w:t>：</w:t>
      </w:r>
    </w:p>
    <w:p w14:paraId="0BF01936">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的磋商文件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时留空或填写“/”，全文同）的采购</w:t>
      </w:r>
      <w:r>
        <w:rPr>
          <w:rFonts w:cstheme="minorHAnsi"/>
          <w:color w:val="000000"/>
        </w:rPr>
        <w:t>活动。</w:t>
      </w:r>
      <w:r>
        <w:rPr>
          <w:rFonts w:hint="eastAsia" w:cstheme="minorHAnsi"/>
          <w:color w:val="000000"/>
        </w:rPr>
        <w:t>为此，我方郑重声明以下诸点，并负法律责任。</w:t>
      </w:r>
    </w:p>
    <w:p w14:paraId="1503DC46">
      <w:pPr>
        <w:ind w:firstLine="567"/>
        <w:jc w:val="both"/>
        <w:rPr>
          <w:rFonts w:cstheme="minorHAnsi"/>
          <w:color w:val="000000"/>
        </w:rPr>
      </w:pPr>
      <w:r>
        <w:rPr>
          <w:rFonts w:hint="eastAsia" w:cstheme="minorHAnsi"/>
          <w:color w:val="000000"/>
        </w:rPr>
        <w:t>1．我方已详细阅读了磋商文件，完全理解并同意磋商文件的所有事项及内容。</w:t>
      </w:r>
    </w:p>
    <w:p w14:paraId="502630FC">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西安市）上发布的关于本项目的有关变更公告（包括但不限于对磋商文件做出的修改或澄清、答疑纪要，以及项目暂停、重启、延期、终止等）。</w:t>
      </w:r>
    </w:p>
    <w:p w14:paraId="64321F4B">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71E761BA">
      <w:pPr>
        <w:ind w:firstLine="567"/>
        <w:jc w:val="both"/>
        <w:rPr>
          <w:rFonts w:cstheme="minorHAnsi"/>
          <w:color w:val="000000"/>
        </w:rPr>
      </w:pPr>
      <w:r>
        <w:rPr>
          <w:rFonts w:hint="eastAsia" w:cstheme="minorHAnsi"/>
          <w:color w:val="000000"/>
        </w:rPr>
        <w:t>4．我方理解最低价不是成交的唯一条件，并尊重磋商小组的评审结果。</w:t>
      </w:r>
    </w:p>
    <w:p w14:paraId="2D5BA30B">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068EBFAA">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549D0279">
      <w:pPr>
        <w:ind w:firstLine="567"/>
        <w:jc w:val="both"/>
        <w:rPr>
          <w:rFonts w:cstheme="minorHAnsi"/>
          <w:color w:val="000000"/>
        </w:rPr>
      </w:pPr>
      <w:r>
        <w:rPr>
          <w:rFonts w:cstheme="minorHAnsi"/>
          <w:color w:val="000000"/>
        </w:rPr>
        <w:t>7</w:t>
      </w:r>
      <w:r>
        <w:rPr>
          <w:rFonts w:hint="eastAsia" w:cstheme="minorHAnsi"/>
          <w:color w:val="000000"/>
        </w:rPr>
        <w:t>．我方响应文件在开启之日起</w:t>
      </w:r>
      <w:r>
        <w:rPr>
          <w:rFonts w:cstheme="minorHAnsi"/>
          <w:color w:val="C00000"/>
        </w:rPr>
        <w:t>［___］个日历日</w:t>
      </w:r>
      <w:r>
        <w:rPr>
          <w:rFonts w:hint="eastAsia" w:cstheme="minorHAnsi"/>
          <w:color w:val="000000"/>
        </w:rPr>
        <w:t>（应不少于90个日历日）内有效。</w:t>
      </w:r>
    </w:p>
    <w:p w14:paraId="2674B6FF">
      <w:pPr>
        <w:ind w:firstLine="567"/>
        <w:jc w:val="both"/>
        <w:rPr>
          <w:rFonts w:cstheme="minorHAnsi"/>
          <w:color w:val="000000"/>
        </w:rPr>
      </w:pPr>
      <w:r>
        <w:rPr>
          <w:rFonts w:cstheme="minorHAnsi"/>
          <w:color w:val="000000"/>
        </w:rPr>
        <w:t>8</w:t>
      </w:r>
      <w:r>
        <w:rPr>
          <w:rFonts w:hint="eastAsia" w:cstheme="minorHAnsi"/>
          <w:color w:val="000000"/>
        </w:rPr>
        <w:t>．若我方成交，我方承诺：</w:t>
      </w:r>
    </w:p>
    <w:p w14:paraId="669D22B6">
      <w:pPr>
        <w:ind w:firstLine="567"/>
        <w:jc w:val="both"/>
        <w:rPr>
          <w:rFonts w:cstheme="minorHAnsi"/>
          <w:color w:val="000000"/>
        </w:rPr>
      </w:pPr>
      <w:r>
        <w:rPr>
          <w:rFonts w:hint="eastAsia" w:cstheme="minorHAnsi"/>
          <w:color w:val="000000"/>
        </w:rPr>
        <w:t>（1）将成交文件有效期延长至合同执行完毕；</w:t>
      </w:r>
    </w:p>
    <w:p w14:paraId="3549844C">
      <w:pPr>
        <w:ind w:firstLine="567"/>
        <w:jc w:val="both"/>
        <w:rPr>
          <w:rFonts w:cstheme="minorHAnsi"/>
          <w:color w:val="000000"/>
        </w:rPr>
      </w:pPr>
      <w:r>
        <w:rPr>
          <w:rFonts w:hint="eastAsia" w:cstheme="minorHAnsi"/>
          <w:color w:val="000000"/>
        </w:rPr>
        <w:t>（2）收到成交通知书后提交纸质响应文件一正两副，并按时足额交纳履约保证金；</w:t>
      </w:r>
    </w:p>
    <w:p w14:paraId="60652BD4">
      <w:pPr>
        <w:ind w:firstLine="567"/>
        <w:jc w:val="both"/>
        <w:rPr>
          <w:rFonts w:cstheme="minorHAnsi"/>
          <w:color w:val="000000"/>
        </w:rPr>
      </w:pPr>
      <w:r>
        <w:rPr>
          <w:rFonts w:hint="eastAsia" w:cstheme="minorHAnsi"/>
          <w:color w:val="000000"/>
        </w:rPr>
        <w:t>（3）遵照磋商文件中的要求，完成本项目的合同责任和义务。</w:t>
      </w:r>
    </w:p>
    <w:p w14:paraId="244F4427">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75368BA3">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4897D9E9">
      <w:pPr>
        <w:ind w:firstLine="567"/>
        <w:jc w:val="both"/>
        <w:rPr>
          <w:color w:val="000000"/>
        </w:rPr>
      </w:pPr>
      <w:r>
        <w:rPr>
          <w:rFonts w:hint="eastAsia"/>
          <w:color w:val="000000"/>
        </w:rPr>
        <w:t>（2）联系</w:t>
      </w:r>
      <w:r>
        <w:rPr>
          <w:color w:val="000000"/>
        </w:rPr>
        <w:t>电话：</w:t>
      </w:r>
    </w:p>
    <w:p w14:paraId="048F967E">
      <w:pPr>
        <w:ind w:firstLine="567"/>
        <w:jc w:val="both"/>
        <w:rPr>
          <w:color w:val="000000"/>
        </w:rPr>
      </w:pPr>
      <w:r>
        <w:rPr>
          <w:color w:val="000000"/>
        </w:rPr>
        <w:t>（</w:t>
      </w:r>
      <w:r>
        <w:rPr>
          <w:rFonts w:hint="eastAsia"/>
          <w:color w:val="000000"/>
        </w:rPr>
        <w:t>3</w:t>
      </w:r>
      <w:r>
        <w:rPr>
          <w:color w:val="000000"/>
        </w:rPr>
        <w:t>）通讯地址：</w:t>
      </w:r>
    </w:p>
    <w:p w14:paraId="138D00E5">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5D405F22">
      <w:pPr>
        <w:ind w:firstLine="567"/>
        <w:jc w:val="both"/>
      </w:pPr>
      <w:r>
        <w:t>（</w:t>
      </w:r>
      <w:r>
        <w:rPr>
          <w:rFonts w:hint="eastAsia"/>
        </w:rPr>
        <w:t>5</w:t>
      </w:r>
      <w:r>
        <w:t>）电子邮箱：</w:t>
      </w:r>
    </w:p>
    <w:p w14:paraId="6BFF3E77">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bookmarkEnd w:id="29"/>
    <w:p w14:paraId="39AB650B">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r>
        <w:t>日</w:t>
      </w:r>
      <w:r>
        <w:rPr>
          <w:rFonts w:hint="eastAsia"/>
        </w:rPr>
        <w:t>　</w:t>
      </w:r>
      <w:r>
        <w:t>期：　　年　月　日</w:t>
      </w:r>
    </w:p>
    <w:p w14:paraId="79170807">
      <w:pPr>
        <w:keepNext/>
        <w:spacing w:before="230" w:beforeLines="50" w:after="230" w:afterLines="50"/>
        <w:jc w:val="center"/>
        <w:outlineLvl w:val="1"/>
        <w:rPr>
          <w:rFonts w:ascii="Calibri" w:hAnsi="Calibri" w:eastAsia="黑体"/>
          <w:kern w:val="32"/>
          <w:sz w:val="32"/>
        </w:rPr>
      </w:pPr>
      <w:bookmarkStart w:id="30" w:name="_Hlk234503017"/>
      <w:r>
        <w:rPr>
          <w:rFonts w:ascii="Calibri" w:hAnsi="Calibri" w:eastAsia="黑体"/>
          <w:kern w:val="32"/>
          <w:sz w:val="32"/>
        </w:rPr>
        <w:t>第二部分</w:t>
      </w:r>
      <w:r>
        <w:rPr>
          <w:rFonts w:hint="eastAsia" w:ascii="Calibri" w:hAnsi="Calibri" w:eastAsia="黑体"/>
          <w:kern w:val="32"/>
          <w:sz w:val="32"/>
        </w:rPr>
        <w:t>　第一次报价</w:t>
      </w:r>
      <w:r>
        <w:rPr>
          <w:rFonts w:ascii="Calibri" w:hAnsi="Calibri" w:eastAsia="黑体"/>
          <w:kern w:val="32"/>
          <w:sz w:val="32"/>
        </w:rPr>
        <w:t>表</w:t>
      </w:r>
    </w:p>
    <w:p w14:paraId="3004DCD5">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4F03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14:paraId="3885D152">
            <w:pPr>
              <w:spacing w:line="440" w:lineRule="exact"/>
              <w:ind w:right="280"/>
              <w:jc w:val="right"/>
              <w:rPr>
                <w:rFonts w:cstheme="minorHAnsi"/>
                <w:b/>
                <w:color w:val="000000"/>
              </w:rPr>
            </w:pPr>
            <w:r>
              <w:rPr>
                <w:rFonts w:cstheme="minorHAnsi"/>
                <w:b/>
                <w:color w:val="000000"/>
              </w:rPr>
              <w:t>报价内容</w:t>
            </w:r>
          </w:p>
          <w:p w14:paraId="00BC1068">
            <w:pPr>
              <w:rPr>
                <w:rFonts w:cstheme="minorHAnsi"/>
                <w:color w:val="000000"/>
              </w:rPr>
            </w:pPr>
          </w:p>
          <w:p w14:paraId="49CE228C">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4103A9E">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7DA57199">
            <w:pPr>
              <w:jc w:val="center"/>
              <w:rPr>
                <w:rFonts w:cstheme="minorHAnsi"/>
                <w:b/>
              </w:rPr>
            </w:pPr>
            <w:r>
              <w:rPr>
                <w:rFonts w:cstheme="minorHAnsi"/>
                <w:b/>
              </w:rPr>
              <w:t>B</w:t>
            </w:r>
          </w:p>
        </w:tc>
      </w:tr>
      <w:tr w14:paraId="58A5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14:paraId="64FE16AE">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14:paraId="02B90667">
            <w:pPr>
              <w:spacing w:line="440" w:lineRule="exact"/>
              <w:jc w:val="center"/>
              <w:rPr>
                <w:b/>
              </w:rPr>
            </w:pPr>
            <w:r>
              <w:rPr>
                <w:rFonts w:hint="eastAsia"/>
                <w:b/>
              </w:rPr>
              <w:t>折扣（%）</w:t>
            </w:r>
          </w:p>
        </w:tc>
        <w:tc>
          <w:tcPr>
            <w:tcW w:w="3084" w:type="dxa"/>
            <w:tcBorders>
              <w:top w:val="single" w:color="auto" w:sz="2" w:space="0"/>
              <w:left w:val="single" w:color="auto" w:sz="2" w:space="0"/>
              <w:bottom w:val="single" w:color="auto" w:sz="2" w:space="0"/>
              <w:right w:val="single" w:color="auto" w:sz="2" w:space="0"/>
            </w:tcBorders>
            <w:vAlign w:val="center"/>
          </w:tcPr>
          <w:p w14:paraId="0F375432">
            <w:pPr>
              <w:jc w:val="center"/>
              <w:rPr>
                <w:b/>
              </w:rPr>
            </w:pPr>
            <w:r>
              <w:rPr>
                <w:rFonts w:hint="eastAsia"/>
                <w:b/>
              </w:rPr>
              <w:t>服务</w:t>
            </w:r>
            <w:r>
              <w:rPr>
                <w:b/>
              </w:rPr>
              <w:t>期</w:t>
            </w:r>
          </w:p>
        </w:tc>
      </w:tr>
      <w:tr w14:paraId="19B7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73167E73">
            <w:pPr>
              <w:spacing w:line="440" w:lineRule="exact"/>
              <w:jc w:val="center"/>
              <w:rPr>
                <w:rFonts w:cstheme="minorHAnsi"/>
                <w:color w:val="C00000"/>
                <w:sz w:val="21"/>
                <w:szCs w:val="21"/>
              </w:rPr>
            </w:pPr>
            <w:r>
              <w:rPr>
                <w:rFonts w:cstheme="minorHAnsi"/>
                <w:color w:val="C00000"/>
                <w:sz w:val="21"/>
                <w:szCs w:val="21"/>
              </w:rPr>
              <w:t>［项目名称］</w:t>
            </w:r>
          </w:p>
          <w:p w14:paraId="66F16BDD">
            <w:pPr>
              <w:spacing w:line="440" w:lineRule="exact"/>
              <w:jc w:val="center"/>
              <w:rPr>
                <w:rFonts w:cstheme="minorHAnsi"/>
                <w:b/>
                <w:color w:val="000000"/>
              </w:rPr>
            </w:pPr>
            <w:r>
              <w:rPr>
                <w:rFonts w:hint="eastAsia" w:cstheme="minorHAnsi"/>
                <w:color w:val="C00000"/>
                <w:sz w:val="21"/>
                <w:szCs w:val="21"/>
              </w:rPr>
              <w:t>采购包</w:t>
            </w:r>
            <w:r>
              <w:rPr>
                <w:rFonts w:cstheme="minorHAnsi"/>
                <w:color w:val="C00000"/>
                <w:sz w:val="21"/>
                <w:szCs w:val="21"/>
              </w:rPr>
              <w:t>［___］</w:t>
            </w:r>
          </w:p>
        </w:tc>
        <w:tc>
          <w:tcPr>
            <w:tcW w:w="2764" w:type="dxa"/>
            <w:tcBorders>
              <w:top w:val="single" w:color="auto" w:sz="2" w:space="0"/>
              <w:left w:val="single" w:color="auto" w:sz="2" w:space="0"/>
              <w:bottom w:val="single" w:color="auto" w:sz="2" w:space="0"/>
              <w:right w:val="single" w:color="auto" w:sz="2" w:space="0"/>
            </w:tcBorders>
            <w:vAlign w:val="center"/>
          </w:tcPr>
          <w:p w14:paraId="56C3F94A">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373F7D53">
            <w:pPr>
              <w:spacing w:line="440" w:lineRule="exact"/>
              <w:jc w:val="center"/>
              <w:rPr>
                <w:rFonts w:cstheme="minorHAnsi"/>
                <w:color w:val="000000"/>
              </w:rPr>
            </w:pPr>
          </w:p>
        </w:tc>
      </w:tr>
    </w:tbl>
    <w:p w14:paraId="445350CE">
      <w:r>
        <w:rPr>
          <w:rFonts w:cstheme="minorHAnsi"/>
          <w:color w:val="000000"/>
        </w:rPr>
        <w:t>供应商：（</w:t>
      </w:r>
      <w:r>
        <w:rPr>
          <w:rFonts w:cstheme="minorHAnsi"/>
          <w:i/>
          <w:color w:val="7030A0"/>
        </w:rPr>
        <w:t>供应商全称并加盖公章</w:t>
      </w:r>
      <w:r>
        <w:rPr>
          <w:rFonts w:cstheme="minorHAnsi"/>
          <w:color w:val="000000"/>
        </w:rPr>
        <w:t>）</w:t>
      </w:r>
    </w:p>
    <w:p w14:paraId="4B4FB7F7">
      <w:pPr>
        <w:spacing w:before="230" w:beforeLines="50"/>
        <w:jc w:val="both"/>
        <w:rPr>
          <w:kern w:val="24"/>
        </w:rPr>
      </w:pPr>
    </w:p>
    <w:p w14:paraId="695D9816">
      <w:pPr>
        <w:jc w:val="both"/>
        <w:rPr>
          <w:kern w:val="24"/>
        </w:rPr>
      </w:pPr>
      <w:r>
        <w:rPr>
          <w:kern w:val="24"/>
        </w:rPr>
        <w:t>〖注〗</w:t>
      </w:r>
      <w:r>
        <w:rPr>
          <w:rFonts w:hint="eastAsia"/>
          <w:kern w:val="24"/>
        </w:rPr>
        <w:t>（一）</w:t>
      </w:r>
      <w:r>
        <w:rPr>
          <w:kern w:val="24"/>
        </w:rPr>
        <w:t>以下情况按无效响应处理：</w:t>
      </w:r>
    </w:p>
    <w:p w14:paraId="46A071C3">
      <w:pPr>
        <w:ind w:firstLine="480" w:firstLineChars="200"/>
        <w:jc w:val="both"/>
        <w:rPr>
          <w:kern w:val="24"/>
        </w:rPr>
      </w:pPr>
      <w:r>
        <w:rPr>
          <w:kern w:val="24"/>
        </w:rPr>
        <w:t>1．A栏未按银行小写金额样式填写，B栏未填写</w:t>
      </w:r>
      <w:r>
        <w:rPr>
          <w:rFonts w:hint="eastAsia"/>
          <w:kern w:val="24"/>
        </w:rPr>
        <w:t>服务</w:t>
      </w:r>
      <w:r>
        <w:rPr>
          <w:kern w:val="24"/>
        </w:rPr>
        <w:t>期。</w:t>
      </w:r>
    </w:p>
    <w:p w14:paraId="6F198107">
      <w:pPr>
        <w:ind w:firstLine="480" w:firstLineChars="200"/>
        <w:jc w:val="both"/>
        <w:rPr>
          <w:kern w:val="24"/>
        </w:rPr>
      </w:pPr>
      <w:r>
        <w:rPr>
          <w:kern w:val="24"/>
        </w:rPr>
        <w:t>2．</w:t>
      </w:r>
      <w:r>
        <w:rPr>
          <w:rFonts w:hint="eastAsia"/>
          <w:kern w:val="24"/>
        </w:rPr>
        <w:t>折扣大于100%</w:t>
      </w:r>
      <w:r>
        <w:rPr>
          <w:kern w:val="24"/>
        </w:rPr>
        <w:t>。</w:t>
      </w:r>
    </w:p>
    <w:p w14:paraId="670B2A75">
      <w:pPr>
        <w:ind w:firstLine="480" w:firstLineChars="200"/>
        <w:jc w:val="both"/>
        <w:rPr>
          <w:kern w:val="24"/>
        </w:rPr>
      </w:pPr>
      <w:r>
        <w:rPr>
          <w:rFonts w:hint="eastAsia" w:ascii="宋体" w:hAnsi="宋体"/>
          <w:kern w:val="24"/>
        </w:rPr>
        <w:t>（二）填报</w:t>
      </w:r>
      <w:r>
        <w:rPr>
          <w:rFonts w:hint="eastAsia" w:cs="Calibri"/>
          <w:kern w:val="24"/>
        </w:rPr>
        <w:t>A</w:t>
      </w:r>
      <w:r>
        <w:rPr>
          <w:rFonts w:hint="eastAsia" w:ascii="宋体" w:hAnsi="宋体"/>
          <w:kern w:val="24"/>
        </w:rPr>
        <w:t>栏时请省略“</w:t>
      </w:r>
      <w:r>
        <w:rPr>
          <w:rFonts w:hint="eastAsia" w:cs="Calibri"/>
          <w:kern w:val="24"/>
        </w:rPr>
        <w:t>%</w:t>
      </w:r>
      <w:r>
        <w:rPr>
          <w:rFonts w:hint="eastAsia" w:ascii="宋体" w:hAnsi="宋体"/>
          <w:kern w:val="24"/>
        </w:rPr>
        <w:t>”：比如折扣为</w:t>
      </w:r>
      <w:r>
        <w:rPr>
          <w:rFonts w:hint="eastAsia" w:cs="Calibri"/>
          <w:kern w:val="24"/>
        </w:rPr>
        <w:t>n%</w:t>
      </w:r>
      <w:r>
        <w:rPr>
          <w:rFonts w:hint="eastAsia" w:ascii="宋体" w:hAnsi="宋体"/>
          <w:kern w:val="24"/>
        </w:rPr>
        <w:t>，则</w:t>
      </w:r>
      <w:r>
        <w:rPr>
          <w:rFonts w:hint="eastAsia" w:cs="Calibri"/>
          <w:kern w:val="24"/>
        </w:rPr>
        <w:t>A</w:t>
      </w:r>
      <w:r>
        <w:rPr>
          <w:rFonts w:hint="eastAsia" w:ascii="宋体" w:hAnsi="宋体"/>
          <w:kern w:val="24"/>
        </w:rPr>
        <w:t>栏只需填</w:t>
      </w:r>
      <w:r>
        <w:rPr>
          <w:rFonts w:hint="eastAsia" w:cs="Calibri"/>
          <w:kern w:val="24"/>
        </w:rPr>
        <w:t>n</w:t>
      </w:r>
      <w:r>
        <w:rPr>
          <w:rFonts w:hint="eastAsia" w:ascii="宋体" w:hAnsi="宋体"/>
          <w:kern w:val="24"/>
        </w:rPr>
        <w:t>值；</w:t>
      </w:r>
    </w:p>
    <w:p w14:paraId="63740313">
      <w:pPr>
        <w:ind w:firstLine="480" w:firstLineChars="200"/>
        <w:jc w:val="both"/>
        <w:rPr>
          <w:kern w:val="24"/>
        </w:rPr>
      </w:pPr>
      <w:r>
        <w:rPr>
          <w:rFonts w:hint="eastAsia" w:ascii="宋体" w:hAnsi="宋体"/>
          <w:kern w:val="24"/>
        </w:rPr>
        <w:t>（三）电子化开标一览表填写时，“投标报价”值须按本表</w:t>
      </w:r>
      <w:r>
        <w:rPr>
          <w:rFonts w:hint="eastAsia" w:cs="Calibri"/>
          <w:kern w:val="24"/>
        </w:rPr>
        <w:t>A</w:t>
      </w:r>
      <w:r>
        <w:rPr>
          <w:rFonts w:hint="eastAsia" w:ascii="宋体" w:hAnsi="宋体"/>
          <w:kern w:val="24"/>
        </w:rPr>
        <w:t>栏所填写值填写（仅填写数字，不填写单位），若不按照本规则填写，可能导致电子化系统无法识别报价，后果自负。</w:t>
      </w:r>
    </w:p>
    <w:bookmarkEnd w:id="30"/>
    <w:p w14:paraId="4077CEB2">
      <w:pPr>
        <w:ind w:firstLine="480" w:firstLineChars="200"/>
        <w:jc w:val="both"/>
        <w:rPr>
          <w:kern w:val="24"/>
        </w:rPr>
      </w:pPr>
    </w:p>
    <w:p w14:paraId="1FD46F10">
      <w:pPr>
        <w:pStyle w:val="40"/>
        <w:jc w:val="both"/>
        <w:rPr>
          <w:rFonts w:hAnsi="华文仿宋"/>
        </w:rPr>
      </w:pPr>
    </w:p>
    <w:p w14:paraId="2D4F2EEF">
      <w:pPr>
        <w:jc w:val="both"/>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085D907C">
      <w:pPr>
        <w:keepNext/>
        <w:spacing w:before="230" w:beforeLines="50" w:after="230" w:afterLines="50"/>
        <w:jc w:val="center"/>
        <w:outlineLvl w:val="1"/>
        <w:rPr>
          <w:rFonts w:ascii="Calibri" w:hAnsi="Calibri" w:eastAsia="黑体"/>
          <w:kern w:val="32"/>
          <w:sz w:val="32"/>
        </w:rPr>
      </w:pPr>
      <w:bookmarkStart w:id="31" w:name="_Hlk234503049"/>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74837B2F">
      <w:pPr>
        <w:ind w:firstLine="480" w:firstLineChars="200"/>
        <w:rPr>
          <w:rFonts w:cstheme="minorHAnsi"/>
          <w:i/>
          <w:color w:val="7030A0"/>
        </w:rPr>
      </w:pPr>
      <w:r>
        <w:rPr>
          <w:rFonts w:cstheme="minorHAnsi"/>
          <w:i/>
          <w:color w:val="7030A0"/>
        </w:rPr>
        <w:t>说明：按下方给定格式进行填写（二选一）。</w:t>
      </w:r>
      <w:r>
        <w:rPr>
          <w:i/>
          <w:color w:val="7030A0"/>
        </w:rPr>
        <w:t>法定代表人（负责人）亲自参加磋商时，提供法定代表人（负责人）身份证明；法定代表人（负责人）委托授权代表参加磋商时，提供法定代表人（负责人）委托授权书。</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本授权有效期与响应文件有效期一致。授权代表无转委托权。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2249DF91">
      <w:pPr>
        <w:widowControl w:val="0"/>
        <w:spacing w:before="120" w:after="60"/>
      </w:pPr>
      <w:r>
        <w:br w:type="page"/>
      </w:r>
    </w:p>
    <w:bookmarkEnd w:id="31"/>
    <w:p w14:paraId="65676D53">
      <w:pPr>
        <w:keepNext/>
        <w:spacing w:before="120" w:after="60"/>
        <w:jc w:val="both"/>
        <w:outlineLvl w:val="2"/>
        <w:rPr>
          <w:rFonts w:ascii="Calibri" w:hAnsi="Calibri" w:eastAsia="黑体"/>
          <w:kern w:val="28"/>
          <w:sz w:val="28"/>
        </w:rPr>
      </w:pPr>
      <w:bookmarkStart w:id="32" w:name="_Hlk234503078"/>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02EB3F8E">
      <w:pPr>
        <w:ind w:firstLine="480" w:firstLineChars="200"/>
        <w:jc w:val="both"/>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color w:val="C00000"/>
        </w:rPr>
        <w:t>未按要求提供的，视为无效响应文件</w:t>
      </w:r>
      <w:r>
        <w:t>。</w:t>
      </w:r>
    </w:p>
    <w:p w14:paraId="153C29E3">
      <w:pPr>
        <w:ind w:firstLine="480" w:firstLineChars="200"/>
        <w:jc w:val="both"/>
      </w:pPr>
      <w:r>
        <w:t>成交供应商的声明函\证明函将随成交结果一同公布，接受社会监督。</w:t>
      </w:r>
    </w:p>
    <w:p w14:paraId="1D5B35F4">
      <w:pPr>
        <w:keepNext/>
        <w:spacing w:before="120" w:after="60"/>
        <w:jc w:val="both"/>
        <w:outlineLvl w:val="3"/>
        <w:rPr>
          <w:b/>
          <w:kern w:val="28"/>
        </w:rPr>
      </w:pPr>
      <w:r>
        <w:rPr>
          <w:rFonts w:hint="eastAsia"/>
          <w:b/>
          <w:kern w:val="28"/>
        </w:rPr>
        <w:t>1．中小企业声明函</w:t>
      </w:r>
    </w:p>
    <w:p w14:paraId="4F318E8F">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50A6366">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HAnsi" w:hAnsiTheme="minorHAnsi" w:eastAsiaTheme="minorEastAsia"/>
          <w:color w:val="7030A0"/>
          <w:sz w:val="24"/>
          <w:szCs w:val="24"/>
        </w:rPr>
        <w:t>①</w:t>
      </w:r>
      <w:r>
        <w:rPr>
          <w:rFonts w:asciiTheme="minorEastAsia" w:hAnsiTheme="minorEastAsia" w:eastAsiaTheme="minorEastAsia"/>
          <w:color w:val="7030A0"/>
          <w:sz w:val="24"/>
          <w:szCs w:val="24"/>
        </w:rPr>
        <w:t xml:space="preserve">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HAnsi" w:hAnsiTheme="minorHAnsi" w:eastAsiaTheme="minorEastAsia"/>
          <w:color w:val="7030A0"/>
          <w:sz w:val="24"/>
          <w:szCs w:val="24"/>
        </w:rPr>
        <w:t>②</w:t>
      </w:r>
      <w:r>
        <w:rPr>
          <w:rFonts w:asciiTheme="minorEastAsia" w:hAnsiTheme="minorEastAsia" w:eastAsiaTheme="minorEastAsia"/>
          <w:color w:val="7030A0"/>
          <w:sz w:val="24"/>
          <w:szCs w:val="24"/>
        </w:rPr>
        <w:t xml:space="preserve">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9DFBA3">
      <w:pPr>
        <w:pStyle w:val="40"/>
        <w:wordWrap/>
        <w:spacing w:line="240" w:lineRule="auto"/>
        <w:ind w:firstLine="480" w:firstLineChars="200"/>
        <w:jc w:val="both"/>
      </w:pPr>
      <w:r>
        <w:rPr>
          <w:rFonts w:asciiTheme="minorHAnsi" w:hAnsiTheme="minorHAnsi" w:eastAsiaTheme="minorEastAsia"/>
          <w:color w:val="7030A0"/>
          <w:sz w:val="24"/>
          <w:szCs w:val="24"/>
        </w:rPr>
        <w:t>③</w:t>
      </w:r>
      <w:r>
        <w:rPr>
          <w:rFonts w:asciiTheme="minorEastAsia" w:hAnsiTheme="minorEastAsia" w:eastAsiaTheme="minorEastAsia"/>
          <w:color w:val="7030A0"/>
          <w:sz w:val="24"/>
          <w:szCs w:val="24"/>
        </w:rPr>
        <w:t xml:space="preserve"> </w:t>
      </w:r>
      <w:r>
        <w:rPr>
          <w:rFonts w:asciiTheme="minorHAnsi" w:hAnsiTheme="minorHAnsi" w:eastAsiaTheme="minorEastAsia"/>
          <w:i/>
          <w:color w:val="7030A0"/>
          <w:sz w:val="24"/>
          <w:szCs w:val="24"/>
        </w:rPr>
        <w:t>本项目采购标的对应的中小企业划分标准所属行业：见第二章「前附表」。</w:t>
      </w:r>
    </w:p>
    <w:p w14:paraId="21E4CA65">
      <w:pPr>
        <w:tabs>
          <w:tab w:val="left" w:pos="5670"/>
        </w:tabs>
        <w:ind w:firstLine="480" w:firstLineChars="200"/>
        <w:jc w:val="both"/>
        <w:rPr>
          <w:rFonts w:asciiTheme="minorEastAsia" w:hAnsiTheme="minorEastAsia" w:cstheme="minorHAnsi"/>
          <w:b/>
          <w:color w:val="C00000"/>
        </w:rPr>
      </w:pPr>
    </w:p>
    <w:p w14:paraId="2D5C7ED3">
      <w:pPr>
        <w:tabs>
          <w:tab w:val="left" w:pos="5670"/>
        </w:tabs>
        <w:jc w:val="center"/>
        <w:rPr>
          <w:rFonts w:cs="Calibri Light"/>
          <w:b/>
          <w:color w:val="1F4E79"/>
          <w:sz w:val="28"/>
          <w:szCs w:val="36"/>
        </w:rPr>
      </w:pPr>
      <w:r>
        <w:rPr>
          <w:rFonts w:cs="Calibri Light"/>
          <w:b/>
          <w:color w:val="1F4E79"/>
          <w:sz w:val="28"/>
          <w:szCs w:val="36"/>
        </w:rPr>
        <w:t>『中小企业声明函』（服务类格式）</w:t>
      </w:r>
    </w:p>
    <w:p w14:paraId="507A35F3">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7B74882F">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40997C45">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5B412D05">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6E68FD5E">
      <w:pPr>
        <w:ind w:firstLine="480" w:firstLineChars="200"/>
        <w:jc w:val="both"/>
      </w:pPr>
      <w:r>
        <w:t>以上企业，不属于大企业的分支机构，不存在控股股东为大企业的情形，也不存在与大企业的负责人为同一人的情形。</w:t>
      </w:r>
    </w:p>
    <w:p w14:paraId="4CCCF636">
      <w:pPr>
        <w:ind w:firstLine="480" w:firstLineChars="200"/>
        <w:jc w:val="both"/>
      </w:pPr>
      <w:r>
        <w:t>本企业对上述声明内容的真实性负责。如有虚假，将依法承担相应责任。</w:t>
      </w:r>
    </w:p>
    <w:p w14:paraId="6E0E4138">
      <w:pPr>
        <w:ind w:firstLine="480" w:firstLineChars="200"/>
        <w:jc w:val="both"/>
      </w:pPr>
    </w:p>
    <w:p w14:paraId="33E8E5C0">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08C2B984">
      <w:pPr>
        <w:tabs>
          <w:tab w:val="left" w:pos="5670"/>
        </w:tabs>
        <w:ind w:firstLine="480" w:firstLineChars="200"/>
        <w:jc w:val="both"/>
        <w:rPr>
          <w:rFonts w:cs="Calibri Light"/>
          <w:color w:val="000000"/>
        </w:rPr>
      </w:pPr>
      <w:r>
        <w:rPr>
          <w:rFonts w:cs="Calibri Light"/>
          <w:color w:val="000000"/>
        </w:rPr>
        <w:t>日　期：　　年　月　日</w:t>
      </w:r>
    </w:p>
    <w:p w14:paraId="3153AA5C">
      <w:pPr>
        <w:tabs>
          <w:tab w:val="left" w:pos="5670"/>
        </w:tabs>
        <w:ind w:firstLine="480" w:firstLineChars="200"/>
        <w:jc w:val="both"/>
        <w:rPr>
          <w:rFonts w:cs="Calibri Light"/>
          <w:color w:val="000000"/>
        </w:rPr>
      </w:pP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E8C2755">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1CDADA3">
      <w:pPr>
        <w:ind w:firstLine="480" w:firstLineChars="200"/>
        <w:jc w:val="both"/>
        <w:rPr>
          <w:rFonts w:cstheme="minorHAnsi"/>
          <w:color w:val="000000"/>
        </w:rPr>
      </w:pPr>
    </w:p>
    <w:p w14:paraId="5A8B242C">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pPr>
        <w:tabs>
          <w:tab w:val="left" w:pos="5670"/>
        </w:tabs>
        <w:ind w:firstLine="480" w:firstLineChars="200"/>
        <w:jc w:val="both"/>
        <w:rPr>
          <w:rFonts w:cstheme="minorHAnsi"/>
          <w:color w:val="000000"/>
        </w:rPr>
      </w:pPr>
      <w:r>
        <w:rPr>
          <w:rFonts w:cstheme="minorHAnsi"/>
          <w:color w:val="000000"/>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454DB5">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r>
        <w:rPr>
          <w:rFonts w:ascii="Calibri" w:hAnsi="Calibri" w:eastAsia="黑体"/>
          <w:kern w:val="28"/>
          <w:sz w:val="28"/>
        </w:rPr>
        <w:br w:type="page"/>
      </w:r>
    </w:p>
    <w:bookmarkEnd w:id="32"/>
    <w:p w14:paraId="793BBEE1">
      <w:pPr>
        <w:keepNext/>
        <w:spacing w:before="120" w:after="60"/>
        <w:outlineLvl w:val="2"/>
        <w:rPr>
          <w:rFonts w:ascii="黑体" w:hAnsi="黑体" w:eastAsia="黑体"/>
          <w:kern w:val="28"/>
          <w:sz w:val="28"/>
          <w:szCs w:val="28"/>
        </w:rPr>
      </w:pPr>
      <w:bookmarkStart w:id="33" w:name="_Hlk234503119"/>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bookmarkEnd w:id="33"/>
    <w:p w14:paraId="770AED3A">
      <w:pPr>
        <w:jc w:val="both"/>
        <w:rPr>
          <w:rFonts w:ascii="Calibri" w:hAnsi="Calibri" w:eastAsia="黑体"/>
          <w:kern w:val="28"/>
          <w:sz w:val="28"/>
        </w:rPr>
      </w:pPr>
    </w:p>
    <w:p w14:paraId="7C0D6F00">
      <w:pPr>
        <w:jc w:val="both"/>
        <w:rPr>
          <w:rFonts w:ascii="Calibri" w:hAnsi="Calibri" w:eastAsia="黑体"/>
          <w:kern w:val="28"/>
          <w:sz w:val="28"/>
        </w:rPr>
      </w:pPr>
    </w:p>
    <w:p w14:paraId="7E7DCCF2">
      <w:pPr>
        <w:jc w:val="both"/>
        <w:rPr>
          <w:rFonts w:ascii="Calibri" w:hAnsi="Calibri" w:eastAsia="黑体"/>
          <w:kern w:val="28"/>
          <w:sz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bookmarkStart w:id="34" w:name="_Hlk234503151"/>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说明：对第三章“磋商内容及要求”</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作出响应，若磋商文件未设置实质性条款，则请忽略此表。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磋商文件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响应文件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实质性条款的响应出现负偏离的，按无效响应处理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bookmarkEnd w:id="34"/>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bookmarkStart w:id="35" w:name="_Hlk234503189"/>
      <w:r>
        <w:rPr>
          <w:rFonts w:ascii="Calibri" w:hAnsi="Calibri" w:eastAsia="黑体"/>
          <w:kern w:val="32"/>
          <w:sz w:val="32"/>
        </w:rPr>
        <w:t>第五部分</w:t>
      </w:r>
      <w:r>
        <w:rPr>
          <w:rFonts w:hint="eastAsia" w:ascii="Calibri" w:hAnsi="Calibri" w:eastAsia="黑体"/>
          <w:kern w:val="32"/>
          <w:sz w:val="32"/>
        </w:rPr>
        <w:t>　响应</w:t>
      </w:r>
      <w:r>
        <w:rPr>
          <w:rFonts w:ascii="Calibri" w:hAnsi="Calibri" w:eastAsia="黑体"/>
          <w:kern w:val="32"/>
          <w:sz w:val="32"/>
        </w:rPr>
        <w:t>方案</w:t>
      </w:r>
    </w:p>
    <w:p w14:paraId="06E135A1">
      <w:pPr>
        <w:outlineLvl w:val="2"/>
        <w:rPr>
          <w:rFonts w:ascii="黑体" w:hAnsi="黑体" w:eastAsia="黑体"/>
          <w:sz w:val="28"/>
          <w:szCs w:val="28"/>
        </w:rPr>
      </w:pPr>
      <w:r>
        <w:rPr>
          <w:rFonts w:ascii="黑体" w:hAnsi="黑体" w:eastAsia="黑体"/>
          <w:sz w:val="28"/>
          <w:szCs w:val="28"/>
        </w:rPr>
        <w:t>（一）技术（服务）条款响应</w:t>
      </w:r>
    </w:p>
    <w:p w14:paraId="380A2FB5">
      <w:pPr>
        <w:rPr>
          <w:rFonts w:asciiTheme="minorEastAsia" w:hAnsiTheme="minorEastAsia"/>
        </w:rPr>
      </w:pPr>
    </w:p>
    <w:p w14:paraId="77EAE1D6">
      <w:pPr>
        <w:jc w:val="center"/>
        <w:rPr>
          <w:rFonts w:cstheme="minorHAnsi"/>
          <w:b/>
        </w:rPr>
      </w:pPr>
      <w:r>
        <w:rPr>
          <w:rFonts w:hint="eastAsia" w:cstheme="minorHAnsi"/>
          <w:b/>
        </w:rPr>
        <w:t>技术（服务）部分响应方案</w:t>
      </w:r>
    </w:p>
    <w:p w14:paraId="09E19919">
      <w:pPr>
        <w:ind w:firstLine="480" w:firstLineChars="200"/>
        <w:rPr>
          <w:i/>
          <w:color w:val="C00000"/>
        </w:rPr>
      </w:pPr>
      <w:r>
        <w:rPr>
          <w:rFonts w:hint="eastAsia"/>
          <w:i/>
          <w:color w:val="C00000"/>
        </w:rPr>
        <w:t>供应商结合第三章《磋商内容及要求》相关要求及第二章《评审要素及分值一览表》技术/服务</w:t>
      </w:r>
      <w:r>
        <w:rPr>
          <w:i/>
          <w:color w:val="C00000"/>
        </w:rPr>
        <w:t>方案</w:t>
      </w:r>
      <w:r>
        <w:rPr>
          <w:rFonts w:hint="eastAsia"/>
          <w:i/>
          <w:color w:val="C00000"/>
        </w:rPr>
        <w:t>各评审要素逐项编写方案。示例如下：</w:t>
      </w:r>
    </w:p>
    <w:p w14:paraId="2EBB0BD4">
      <w:pPr>
        <w:rPr>
          <w:rFonts w:asciiTheme="minorEastAsia" w:hAnsiTheme="minorEastAsia"/>
        </w:rPr>
      </w:pPr>
    </w:p>
    <w:p w14:paraId="6E5D457F">
      <w:pPr>
        <w:rPr>
          <w:rFonts w:asciiTheme="minorEastAsia" w:hAnsiTheme="minorEastAsia"/>
        </w:rPr>
      </w:pPr>
    </w:p>
    <w:p w14:paraId="58C1A340">
      <w:pPr>
        <w:rPr>
          <w:rFonts w:asciiTheme="minorEastAsia" w:hAnsiTheme="minorEastAsia"/>
        </w:rPr>
      </w:pPr>
      <w:r>
        <w:rPr>
          <w:rFonts w:asciiTheme="minorEastAsia" w:hAnsiTheme="minorEastAsia"/>
        </w:rPr>
        <w:t>1</w:t>
      </w:r>
      <w:r>
        <w:rPr>
          <w:rFonts w:hint="eastAsia" w:asciiTheme="minorEastAsia" w:hAnsiTheme="minorEastAsia"/>
        </w:rPr>
        <w:t>、审计实施方案</w:t>
      </w:r>
    </w:p>
    <w:p w14:paraId="4349CB5E">
      <w:pPr>
        <w:rPr>
          <w:rFonts w:asciiTheme="minorEastAsia" w:hAnsiTheme="minorEastAsia"/>
        </w:rPr>
      </w:pPr>
    </w:p>
    <w:p w14:paraId="0AA2CB28">
      <w:pPr>
        <w:rPr>
          <w:rFonts w:asciiTheme="minorEastAsia" w:hAnsiTheme="minorEastAsia"/>
        </w:rPr>
      </w:pPr>
    </w:p>
    <w:p w14:paraId="562F6B90">
      <w:pPr>
        <w:rPr>
          <w:rFonts w:asciiTheme="minorEastAsia" w:hAnsiTheme="minorEastAsia"/>
        </w:rPr>
      </w:pPr>
    </w:p>
    <w:p w14:paraId="503581DE">
      <w:pPr>
        <w:rPr>
          <w:rFonts w:asciiTheme="minorEastAsia" w:hAnsiTheme="minorEastAsia"/>
        </w:rPr>
      </w:pPr>
      <w:r>
        <w:rPr>
          <w:rFonts w:asciiTheme="minorEastAsia" w:hAnsiTheme="minorEastAsia"/>
        </w:rPr>
        <w:t>2</w:t>
      </w:r>
      <w:r>
        <w:rPr>
          <w:rFonts w:hint="eastAsia" w:asciiTheme="minorEastAsia" w:hAnsiTheme="minorEastAsia"/>
        </w:rPr>
        <w:t>、质量方案</w:t>
      </w:r>
    </w:p>
    <w:p w14:paraId="2A987B33">
      <w:pPr>
        <w:rPr>
          <w:rFonts w:asciiTheme="minorEastAsia" w:hAnsiTheme="minorEastAsia"/>
        </w:rPr>
      </w:pPr>
    </w:p>
    <w:p w14:paraId="04D4F5F5">
      <w:pPr>
        <w:rPr>
          <w:rFonts w:asciiTheme="minorEastAsia" w:hAnsiTheme="minorEastAsia"/>
        </w:rPr>
      </w:pPr>
    </w:p>
    <w:p w14:paraId="345EB22D">
      <w:pPr>
        <w:rPr>
          <w:rFonts w:asciiTheme="minorEastAsia" w:hAnsiTheme="minorEastAsia"/>
        </w:rPr>
      </w:pPr>
    </w:p>
    <w:p w14:paraId="10A9DA25">
      <w:pPr>
        <w:rPr>
          <w:rFonts w:asciiTheme="minorEastAsia" w:hAnsiTheme="minorEastAsia"/>
        </w:rPr>
      </w:pPr>
      <w:r>
        <w:rPr>
          <w:rFonts w:asciiTheme="minorEastAsia" w:hAnsiTheme="minorEastAsia"/>
        </w:rPr>
        <w:t>3</w:t>
      </w:r>
      <w:r>
        <w:rPr>
          <w:rFonts w:hint="eastAsia" w:asciiTheme="minorEastAsia" w:hAnsiTheme="minorEastAsia"/>
        </w:rPr>
        <w:t>、风险防控方案</w:t>
      </w:r>
    </w:p>
    <w:p w14:paraId="54E550E5">
      <w:pPr>
        <w:rPr>
          <w:rFonts w:asciiTheme="minorEastAsia" w:hAnsiTheme="minorEastAsia"/>
        </w:rPr>
      </w:pPr>
    </w:p>
    <w:p w14:paraId="3F797756">
      <w:pPr>
        <w:rPr>
          <w:rFonts w:asciiTheme="minorEastAsia" w:hAnsiTheme="minorEastAsia"/>
        </w:rPr>
      </w:pPr>
    </w:p>
    <w:p w14:paraId="443D4360">
      <w:pPr>
        <w:rPr>
          <w:rFonts w:asciiTheme="minorEastAsia" w:hAnsiTheme="minorEastAsia"/>
        </w:rPr>
      </w:pPr>
    </w:p>
    <w:p w14:paraId="2BAC357A">
      <w:pPr>
        <w:rPr>
          <w:rFonts w:asciiTheme="minorEastAsia" w:hAnsiTheme="minorEastAsia"/>
        </w:rPr>
      </w:pPr>
      <w:r>
        <w:rPr>
          <w:rFonts w:asciiTheme="minorEastAsia" w:hAnsiTheme="minorEastAsia"/>
        </w:rPr>
        <w:t>4</w:t>
      </w:r>
      <w:r>
        <w:rPr>
          <w:rFonts w:hint="eastAsia" w:asciiTheme="minorEastAsia" w:hAnsiTheme="minorEastAsia"/>
        </w:rPr>
        <w:t>、保密方案</w:t>
      </w:r>
    </w:p>
    <w:p w14:paraId="5D2FDDED">
      <w:pPr>
        <w:rPr>
          <w:rFonts w:asciiTheme="minorEastAsia" w:hAnsiTheme="minorEastAsia"/>
        </w:rPr>
      </w:pPr>
    </w:p>
    <w:p w14:paraId="087B577C">
      <w:pPr>
        <w:rPr>
          <w:rFonts w:asciiTheme="minorEastAsia" w:hAnsiTheme="minorEastAsia"/>
        </w:rPr>
      </w:pPr>
    </w:p>
    <w:p w14:paraId="30547A1F">
      <w:pPr>
        <w:rPr>
          <w:rFonts w:asciiTheme="minorEastAsia" w:hAnsiTheme="minorEastAsia"/>
        </w:rPr>
      </w:pPr>
    </w:p>
    <w:p w14:paraId="7C1FF0EE">
      <w:pPr>
        <w:rPr>
          <w:rFonts w:asciiTheme="minorEastAsia" w:hAnsiTheme="minorEastAsia"/>
        </w:rPr>
      </w:pPr>
      <w:r>
        <w:rPr>
          <w:rFonts w:asciiTheme="minorEastAsia" w:hAnsiTheme="minorEastAsia"/>
        </w:rPr>
        <w:t>5</w:t>
      </w:r>
      <w:r>
        <w:rPr>
          <w:rFonts w:hint="eastAsia" w:asciiTheme="minorEastAsia" w:hAnsiTheme="minorEastAsia"/>
        </w:rPr>
        <w:t>、应急处置方案</w:t>
      </w:r>
    </w:p>
    <w:p w14:paraId="371242DA">
      <w:pPr>
        <w:rPr>
          <w:rFonts w:asciiTheme="minorEastAsia" w:hAnsiTheme="minorEastAsia"/>
        </w:rPr>
      </w:pPr>
    </w:p>
    <w:p w14:paraId="3E6161FE">
      <w:pPr>
        <w:rPr>
          <w:rFonts w:asciiTheme="minorEastAsia" w:hAnsiTheme="minorEastAsia"/>
        </w:rPr>
      </w:pPr>
    </w:p>
    <w:p w14:paraId="7AB16C2C">
      <w:pPr>
        <w:rPr>
          <w:rFonts w:asciiTheme="minorEastAsia" w:hAnsiTheme="minorEastAsia"/>
        </w:rPr>
      </w:pPr>
    </w:p>
    <w:p w14:paraId="7F9BA89D">
      <w:pPr>
        <w:rPr>
          <w:rFonts w:asciiTheme="minorEastAsia" w:hAnsiTheme="minorEastAsia"/>
        </w:rPr>
      </w:pPr>
      <w:r>
        <w:rPr>
          <w:rFonts w:asciiTheme="minorEastAsia" w:hAnsiTheme="minorEastAsia"/>
        </w:rPr>
        <w:t>6</w:t>
      </w:r>
      <w:r>
        <w:rPr>
          <w:rFonts w:hint="eastAsia" w:asciiTheme="minorEastAsia" w:hAnsiTheme="minorEastAsia"/>
        </w:rPr>
        <w:t>、反馈机制</w:t>
      </w:r>
    </w:p>
    <w:p w14:paraId="0CEF67B9">
      <w:pPr>
        <w:rPr>
          <w:rFonts w:asciiTheme="minorEastAsia" w:hAnsiTheme="minorEastAsia"/>
        </w:rPr>
      </w:pPr>
      <w:r>
        <w:rPr>
          <w:rFonts w:asciiTheme="minorEastAsia" w:hAnsiTheme="minorEastAsia"/>
        </w:rPr>
        <w:t>7</w:t>
      </w:r>
      <w:r>
        <w:rPr>
          <w:rFonts w:hint="eastAsia" w:asciiTheme="minorEastAsia" w:hAnsiTheme="minorEastAsia"/>
        </w:rPr>
        <w:t>、管理制度</w:t>
      </w:r>
    </w:p>
    <w:p w14:paraId="2E5509E9">
      <w:pPr>
        <w:rPr>
          <w:rFonts w:asciiTheme="minorEastAsia" w:hAnsiTheme="minorEastAsia"/>
        </w:rPr>
      </w:pPr>
    </w:p>
    <w:p w14:paraId="4046C26D">
      <w:pPr>
        <w:rPr>
          <w:rFonts w:asciiTheme="minorEastAsia" w:hAnsiTheme="minorEastAsia"/>
        </w:rPr>
      </w:pPr>
    </w:p>
    <w:p w14:paraId="3D4BA6A0">
      <w:pPr>
        <w:rPr>
          <w:rFonts w:asciiTheme="minorEastAsia" w:hAnsiTheme="minorEastAsia"/>
        </w:rPr>
      </w:pPr>
    </w:p>
    <w:p w14:paraId="5884049A">
      <w:pPr>
        <w:rPr>
          <w:rFonts w:asciiTheme="minorEastAsia" w:hAnsiTheme="minorEastAsia"/>
        </w:rPr>
      </w:pPr>
      <w:r>
        <w:rPr>
          <w:rFonts w:asciiTheme="minorEastAsia" w:hAnsiTheme="minorEastAsia"/>
        </w:rPr>
        <w:t>8</w:t>
      </w:r>
      <w:r>
        <w:rPr>
          <w:rFonts w:hint="eastAsia" w:asciiTheme="minorEastAsia" w:hAnsiTheme="minorEastAsia"/>
        </w:rPr>
        <w:t>、档案管理制度</w:t>
      </w:r>
    </w:p>
    <w:p w14:paraId="620541B8">
      <w:pPr>
        <w:rPr>
          <w:rFonts w:asciiTheme="minorEastAsia" w:hAnsiTheme="minorEastAsia"/>
        </w:rPr>
      </w:pPr>
    </w:p>
    <w:p w14:paraId="42981D49">
      <w:pPr>
        <w:rPr>
          <w:rFonts w:asciiTheme="minorEastAsia" w:hAnsiTheme="minorEastAsia"/>
        </w:rPr>
      </w:pPr>
    </w:p>
    <w:p w14:paraId="7A4991EA">
      <w:pPr>
        <w:rPr>
          <w:rFonts w:asciiTheme="minorEastAsia" w:hAnsiTheme="minorEastAsia"/>
        </w:rPr>
      </w:pPr>
    </w:p>
    <w:p w14:paraId="3BDBE889">
      <w:pPr>
        <w:rPr>
          <w:rFonts w:asciiTheme="minorEastAsia" w:hAnsiTheme="minorEastAsia"/>
        </w:rPr>
      </w:pPr>
      <w:r>
        <w:rPr>
          <w:rFonts w:asciiTheme="minorEastAsia" w:hAnsiTheme="minorEastAsia"/>
        </w:rPr>
        <w:t>9</w:t>
      </w:r>
      <w:r>
        <w:rPr>
          <w:rFonts w:hint="eastAsia" w:asciiTheme="minorEastAsia" w:hAnsiTheme="minorEastAsia"/>
        </w:rPr>
        <w:t>、考核培训方案</w:t>
      </w:r>
    </w:p>
    <w:p w14:paraId="1CC39B22">
      <w:pPr>
        <w:rPr>
          <w:rFonts w:cstheme="minorHAnsi"/>
          <w:b/>
          <w:color w:val="C00000"/>
          <w:sz w:val="28"/>
          <w:szCs w:val="28"/>
        </w:rPr>
      </w:pPr>
      <w:r>
        <w:rPr>
          <w:rFonts w:cstheme="minorHAnsi"/>
          <w:b/>
          <w:color w:val="C00000"/>
          <w:sz w:val="28"/>
          <w:szCs w:val="28"/>
        </w:rPr>
        <w:br w:type="page"/>
      </w:r>
    </w:p>
    <w:bookmarkEnd w:id="35"/>
    <w:p w14:paraId="172332CF">
      <w:pPr>
        <w:keepNext/>
        <w:spacing w:before="120" w:after="60"/>
        <w:outlineLvl w:val="2"/>
        <w:rPr>
          <w:rFonts w:ascii="黑体" w:hAnsi="黑体" w:eastAsia="黑体"/>
          <w:kern w:val="28"/>
          <w:sz w:val="28"/>
          <w:szCs w:val="28"/>
        </w:rPr>
      </w:pPr>
      <w:bookmarkStart w:id="36" w:name="_Hlk234503211"/>
      <w:r>
        <w:rPr>
          <w:rFonts w:ascii="黑体" w:hAnsi="黑体" w:eastAsia="黑体"/>
          <w:kern w:val="28"/>
          <w:sz w:val="28"/>
          <w:szCs w:val="28"/>
        </w:rPr>
        <w:t>（二）商务条款响应</w:t>
      </w:r>
    </w:p>
    <w:p w14:paraId="29607971">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14:paraId="5796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14:paraId="751FBEDC">
            <w:pPr>
              <w:jc w:val="center"/>
              <w:rPr>
                <w:sz w:val="21"/>
                <w:szCs w:val="21"/>
              </w:rPr>
            </w:pPr>
            <w:r>
              <w:rPr>
                <w:sz w:val="21"/>
                <w:szCs w:val="21"/>
              </w:rPr>
              <w:t>序号</w:t>
            </w:r>
          </w:p>
        </w:tc>
        <w:tc>
          <w:tcPr>
            <w:tcW w:w="3126" w:type="dxa"/>
            <w:shd w:val="clear" w:color="auto" w:fill="F1F1F1" w:themeFill="background1" w:themeFillShade="F2"/>
            <w:vAlign w:val="center"/>
          </w:tcPr>
          <w:p w14:paraId="5DEA03D1">
            <w:pPr>
              <w:jc w:val="center"/>
              <w:rPr>
                <w:sz w:val="21"/>
                <w:szCs w:val="21"/>
              </w:rPr>
            </w:pPr>
            <w:r>
              <w:rPr>
                <w:sz w:val="21"/>
                <w:szCs w:val="21"/>
              </w:rPr>
              <w:t>磋商文件</w:t>
            </w:r>
          </w:p>
        </w:tc>
        <w:tc>
          <w:tcPr>
            <w:tcW w:w="3432" w:type="dxa"/>
            <w:shd w:val="clear" w:color="auto" w:fill="F1F1F1" w:themeFill="background1" w:themeFillShade="F2"/>
            <w:vAlign w:val="center"/>
          </w:tcPr>
          <w:p w14:paraId="75A1598A">
            <w:pPr>
              <w:jc w:val="center"/>
              <w:rPr>
                <w:sz w:val="21"/>
                <w:szCs w:val="21"/>
              </w:rPr>
            </w:pPr>
            <w:r>
              <w:rPr>
                <w:sz w:val="21"/>
                <w:szCs w:val="21"/>
              </w:rPr>
              <w:t>响应文件</w:t>
            </w:r>
          </w:p>
        </w:tc>
        <w:tc>
          <w:tcPr>
            <w:tcW w:w="1823" w:type="dxa"/>
            <w:vMerge w:val="restart"/>
            <w:shd w:val="clear" w:color="auto" w:fill="F1F1F1" w:themeFill="background1" w:themeFillShade="F2"/>
            <w:vAlign w:val="center"/>
          </w:tcPr>
          <w:p w14:paraId="49F5038F">
            <w:pPr>
              <w:jc w:val="center"/>
              <w:rPr>
                <w:sz w:val="21"/>
                <w:szCs w:val="21"/>
              </w:rPr>
            </w:pPr>
            <w:r>
              <w:rPr>
                <w:sz w:val="21"/>
                <w:szCs w:val="21"/>
              </w:rPr>
              <w:t>响应说明</w:t>
            </w:r>
          </w:p>
        </w:tc>
      </w:tr>
      <w:tr w14:paraId="4F69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14:paraId="40ADA6D0">
            <w:pPr>
              <w:jc w:val="center"/>
              <w:rPr>
                <w:sz w:val="21"/>
                <w:szCs w:val="21"/>
              </w:rPr>
            </w:pPr>
          </w:p>
        </w:tc>
        <w:tc>
          <w:tcPr>
            <w:tcW w:w="3126" w:type="dxa"/>
            <w:shd w:val="clear" w:color="auto" w:fill="F1F1F1" w:themeFill="background1" w:themeFillShade="F2"/>
            <w:vAlign w:val="center"/>
          </w:tcPr>
          <w:p w14:paraId="55EEC86C">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14:paraId="448BAB14">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14:paraId="3D2F01EC">
            <w:pPr>
              <w:rPr>
                <w:sz w:val="21"/>
                <w:szCs w:val="21"/>
              </w:rPr>
            </w:pPr>
          </w:p>
        </w:tc>
      </w:tr>
      <w:tr w14:paraId="0E8C7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E0E78C1">
            <w:pPr>
              <w:rPr>
                <w:sz w:val="21"/>
                <w:szCs w:val="21"/>
              </w:rPr>
            </w:pPr>
          </w:p>
        </w:tc>
        <w:tc>
          <w:tcPr>
            <w:tcW w:w="3126" w:type="dxa"/>
            <w:vAlign w:val="center"/>
          </w:tcPr>
          <w:p w14:paraId="09B9B6C0">
            <w:pPr>
              <w:rPr>
                <w:sz w:val="21"/>
                <w:szCs w:val="21"/>
              </w:rPr>
            </w:pPr>
          </w:p>
        </w:tc>
        <w:tc>
          <w:tcPr>
            <w:tcW w:w="3432" w:type="dxa"/>
            <w:vAlign w:val="center"/>
          </w:tcPr>
          <w:p w14:paraId="26E3396B">
            <w:pPr>
              <w:rPr>
                <w:sz w:val="21"/>
                <w:szCs w:val="21"/>
              </w:rPr>
            </w:pPr>
          </w:p>
        </w:tc>
        <w:tc>
          <w:tcPr>
            <w:tcW w:w="1823" w:type="dxa"/>
            <w:vAlign w:val="center"/>
          </w:tcPr>
          <w:p w14:paraId="761E96CF">
            <w:pPr>
              <w:rPr>
                <w:sz w:val="21"/>
                <w:szCs w:val="21"/>
              </w:rPr>
            </w:pPr>
          </w:p>
        </w:tc>
      </w:tr>
      <w:tr w14:paraId="769A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D58123C">
            <w:pPr>
              <w:rPr>
                <w:sz w:val="21"/>
                <w:szCs w:val="21"/>
              </w:rPr>
            </w:pPr>
          </w:p>
        </w:tc>
        <w:tc>
          <w:tcPr>
            <w:tcW w:w="3126" w:type="dxa"/>
            <w:vAlign w:val="center"/>
          </w:tcPr>
          <w:p w14:paraId="4D1B1FA3">
            <w:pPr>
              <w:rPr>
                <w:sz w:val="21"/>
                <w:szCs w:val="21"/>
              </w:rPr>
            </w:pPr>
          </w:p>
        </w:tc>
        <w:tc>
          <w:tcPr>
            <w:tcW w:w="3432" w:type="dxa"/>
            <w:vAlign w:val="center"/>
          </w:tcPr>
          <w:p w14:paraId="24998E1A">
            <w:pPr>
              <w:rPr>
                <w:sz w:val="21"/>
                <w:szCs w:val="21"/>
              </w:rPr>
            </w:pPr>
          </w:p>
        </w:tc>
        <w:tc>
          <w:tcPr>
            <w:tcW w:w="1823" w:type="dxa"/>
            <w:vAlign w:val="center"/>
          </w:tcPr>
          <w:p w14:paraId="31ED45C6">
            <w:pPr>
              <w:rPr>
                <w:sz w:val="21"/>
                <w:szCs w:val="21"/>
              </w:rPr>
            </w:pPr>
          </w:p>
        </w:tc>
      </w:tr>
      <w:tr w14:paraId="60CE8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4AAC8D3">
            <w:pPr>
              <w:rPr>
                <w:sz w:val="21"/>
                <w:szCs w:val="21"/>
              </w:rPr>
            </w:pPr>
          </w:p>
        </w:tc>
        <w:tc>
          <w:tcPr>
            <w:tcW w:w="3126" w:type="dxa"/>
            <w:vAlign w:val="center"/>
          </w:tcPr>
          <w:p w14:paraId="29FEE8A8">
            <w:pPr>
              <w:rPr>
                <w:sz w:val="21"/>
                <w:szCs w:val="21"/>
              </w:rPr>
            </w:pPr>
          </w:p>
        </w:tc>
        <w:tc>
          <w:tcPr>
            <w:tcW w:w="3432" w:type="dxa"/>
            <w:vAlign w:val="center"/>
          </w:tcPr>
          <w:p w14:paraId="33303FBC">
            <w:pPr>
              <w:rPr>
                <w:sz w:val="21"/>
                <w:szCs w:val="21"/>
              </w:rPr>
            </w:pPr>
          </w:p>
        </w:tc>
        <w:tc>
          <w:tcPr>
            <w:tcW w:w="1823" w:type="dxa"/>
            <w:vAlign w:val="center"/>
          </w:tcPr>
          <w:p w14:paraId="5D09ECCE">
            <w:pPr>
              <w:rPr>
                <w:sz w:val="21"/>
                <w:szCs w:val="21"/>
              </w:rPr>
            </w:pPr>
          </w:p>
        </w:tc>
      </w:tr>
      <w:tr w14:paraId="187E8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6F52B4FF">
            <w:pPr>
              <w:rPr>
                <w:sz w:val="21"/>
                <w:szCs w:val="21"/>
              </w:rPr>
            </w:pPr>
          </w:p>
        </w:tc>
        <w:tc>
          <w:tcPr>
            <w:tcW w:w="3126" w:type="dxa"/>
            <w:vAlign w:val="center"/>
          </w:tcPr>
          <w:p w14:paraId="54E1F26D">
            <w:pPr>
              <w:rPr>
                <w:sz w:val="21"/>
                <w:szCs w:val="21"/>
              </w:rPr>
            </w:pPr>
          </w:p>
        </w:tc>
        <w:tc>
          <w:tcPr>
            <w:tcW w:w="3432" w:type="dxa"/>
            <w:vAlign w:val="center"/>
          </w:tcPr>
          <w:p w14:paraId="7B1E2CB1">
            <w:pPr>
              <w:rPr>
                <w:sz w:val="21"/>
                <w:szCs w:val="21"/>
              </w:rPr>
            </w:pPr>
          </w:p>
        </w:tc>
        <w:tc>
          <w:tcPr>
            <w:tcW w:w="1823" w:type="dxa"/>
            <w:vAlign w:val="center"/>
          </w:tcPr>
          <w:p w14:paraId="4FA56E1F">
            <w:pPr>
              <w:rPr>
                <w:sz w:val="21"/>
                <w:szCs w:val="21"/>
              </w:rPr>
            </w:pPr>
          </w:p>
        </w:tc>
      </w:tr>
      <w:tr w14:paraId="19B6B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8929EC5">
            <w:pPr>
              <w:rPr>
                <w:sz w:val="21"/>
                <w:szCs w:val="21"/>
              </w:rPr>
            </w:pPr>
          </w:p>
        </w:tc>
        <w:tc>
          <w:tcPr>
            <w:tcW w:w="3126" w:type="dxa"/>
            <w:vAlign w:val="center"/>
          </w:tcPr>
          <w:p w14:paraId="5EFD3CD9">
            <w:pPr>
              <w:rPr>
                <w:sz w:val="21"/>
                <w:szCs w:val="21"/>
              </w:rPr>
            </w:pPr>
          </w:p>
        </w:tc>
        <w:tc>
          <w:tcPr>
            <w:tcW w:w="3432" w:type="dxa"/>
            <w:vAlign w:val="center"/>
          </w:tcPr>
          <w:p w14:paraId="34144340">
            <w:pPr>
              <w:rPr>
                <w:sz w:val="21"/>
                <w:szCs w:val="21"/>
              </w:rPr>
            </w:pPr>
          </w:p>
        </w:tc>
        <w:tc>
          <w:tcPr>
            <w:tcW w:w="1823" w:type="dxa"/>
            <w:vAlign w:val="center"/>
          </w:tcPr>
          <w:p w14:paraId="0864AFBE">
            <w:pPr>
              <w:rPr>
                <w:sz w:val="21"/>
                <w:szCs w:val="21"/>
              </w:rPr>
            </w:pPr>
          </w:p>
        </w:tc>
      </w:tr>
      <w:tr w14:paraId="138D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1733378">
            <w:pPr>
              <w:rPr>
                <w:sz w:val="21"/>
                <w:szCs w:val="21"/>
              </w:rPr>
            </w:pPr>
          </w:p>
        </w:tc>
        <w:tc>
          <w:tcPr>
            <w:tcW w:w="3126" w:type="dxa"/>
            <w:vAlign w:val="center"/>
          </w:tcPr>
          <w:p w14:paraId="534B7F8D">
            <w:pPr>
              <w:rPr>
                <w:sz w:val="21"/>
                <w:szCs w:val="21"/>
              </w:rPr>
            </w:pPr>
          </w:p>
        </w:tc>
        <w:tc>
          <w:tcPr>
            <w:tcW w:w="3432" w:type="dxa"/>
            <w:vAlign w:val="center"/>
          </w:tcPr>
          <w:p w14:paraId="126925B5">
            <w:pPr>
              <w:rPr>
                <w:sz w:val="21"/>
                <w:szCs w:val="21"/>
              </w:rPr>
            </w:pPr>
          </w:p>
        </w:tc>
        <w:tc>
          <w:tcPr>
            <w:tcW w:w="1823" w:type="dxa"/>
            <w:vAlign w:val="center"/>
          </w:tcPr>
          <w:p w14:paraId="66D8504B">
            <w:pPr>
              <w:rPr>
                <w:sz w:val="21"/>
                <w:szCs w:val="21"/>
              </w:rPr>
            </w:pPr>
          </w:p>
        </w:tc>
      </w:tr>
      <w:tr w14:paraId="4C1A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94F4699">
            <w:pPr>
              <w:rPr>
                <w:sz w:val="21"/>
                <w:szCs w:val="21"/>
              </w:rPr>
            </w:pPr>
          </w:p>
        </w:tc>
        <w:tc>
          <w:tcPr>
            <w:tcW w:w="3126" w:type="dxa"/>
            <w:vAlign w:val="center"/>
          </w:tcPr>
          <w:p w14:paraId="725F3245">
            <w:pPr>
              <w:rPr>
                <w:sz w:val="21"/>
                <w:szCs w:val="21"/>
              </w:rPr>
            </w:pPr>
          </w:p>
        </w:tc>
        <w:tc>
          <w:tcPr>
            <w:tcW w:w="3432" w:type="dxa"/>
            <w:vAlign w:val="center"/>
          </w:tcPr>
          <w:p w14:paraId="49188790">
            <w:pPr>
              <w:rPr>
                <w:sz w:val="21"/>
                <w:szCs w:val="21"/>
              </w:rPr>
            </w:pPr>
          </w:p>
        </w:tc>
        <w:tc>
          <w:tcPr>
            <w:tcW w:w="1823" w:type="dxa"/>
            <w:vAlign w:val="center"/>
          </w:tcPr>
          <w:p w14:paraId="4D157AF3">
            <w:pPr>
              <w:rPr>
                <w:sz w:val="21"/>
                <w:szCs w:val="21"/>
              </w:rPr>
            </w:pPr>
          </w:p>
        </w:tc>
      </w:tr>
      <w:tr w14:paraId="290E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3D564DF">
            <w:pPr>
              <w:rPr>
                <w:sz w:val="21"/>
                <w:szCs w:val="21"/>
              </w:rPr>
            </w:pPr>
            <w:r>
              <w:rPr>
                <w:sz w:val="21"/>
                <w:szCs w:val="21"/>
              </w:rPr>
              <w:t>备注</w:t>
            </w:r>
          </w:p>
        </w:tc>
        <w:tc>
          <w:tcPr>
            <w:tcW w:w="8381" w:type="dxa"/>
            <w:gridSpan w:val="3"/>
            <w:vAlign w:val="center"/>
          </w:tcPr>
          <w:p w14:paraId="1C8B963B">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14:paraId="320F1965">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14:paraId="084E07DE">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14:paraId="349090C3">
            <w:pPr>
              <w:jc w:val="both"/>
              <w:rPr>
                <w:sz w:val="21"/>
                <w:szCs w:val="21"/>
              </w:rPr>
            </w:pPr>
            <w:r>
              <w:rPr>
                <w:rFonts w:hint="eastAsia" w:asciiTheme="minorEastAsia" w:hAnsiTheme="minorEastAsia"/>
                <w:sz w:val="21"/>
                <w:szCs w:val="21"/>
              </w:rPr>
              <w:t>④ 表格中“示例”部分仅供参考，供应商在响应时请自行清除。</w:t>
            </w:r>
          </w:p>
        </w:tc>
      </w:tr>
    </w:tbl>
    <w:p w14:paraId="7CA100E9">
      <w:pPr>
        <w:rPr>
          <w:i/>
          <w:color w:val="C00000"/>
        </w:rPr>
      </w:pPr>
    </w:p>
    <w:p w14:paraId="47ACE9F3">
      <w:pPr>
        <w:jc w:val="center"/>
        <w:rPr>
          <w:rFonts w:cstheme="minorHAnsi"/>
          <w:b/>
        </w:rPr>
      </w:pPr>
      <w:r>
        <w:rPr>
          <w:rFonts w:cstheme="minorHAnsi"/>
          <w:b/>
        </w:rPr>
        <w:t>2</w:t>
      </w:r>
      <w:r>
        <w:rPr>
          <w:rFonts w:hint="eastAsia" w:cstheme="minorHAnsi"/>
          <w:b/>
        </w:rPr>
        <w:t>.商务评审部分方案</w:t>
      </w:r>
    </w:p>
    <w:p w14:paraId="32EFF2EE">
      <w:pPr>
        <w:ind w:firstLine="480" w:firstLineChars="200"/>
        <w:rPr>
          <w:rFonts w:asciiTheme="minorEastAsia" w:hAnsiTheme="minorEastAsia" w:cstheme="minorHAnsi"/>
          <w:b/>
          <w:color w:val="000000"/>
          <w:kern w:val="24"/>
        </w:rPr>
      </w:pPr>
      <w:r>
        <w:rPr>
          <w:rFonts w:hint="eastAsia"/>
          <w:i/>
          <w:color w:val="C00000"/>
        </w:rPr>
        <w:t>供应商结合第三章《磋商内容及要求》相关要求及第二章《评审要素及分值一览表》商务部分中各评审要素逐项编写方案。</w:t>
      </w:r>
      <w:r>
        <w:rPr>
          <w:i/>
          <w:color w:val="C00000"/>
        </w:rPr>
        <w:t>示例如下：</w:t>
      </w:r>
    </w:p>
    <w:p w14:paraId="3A475221">
      <w:pPr>
        <w:rPr>
          <w:rFonts w:asciiTheme="minorEastAsia" w:hAnsiTheme="minorEastAsia" w:cstheme="minorHAnsi"/>
          <w:b/>
          <w:color w:val="000000"/>
          <w:kern w:val="24"/>
        </w:rPr>
      </w:pPr>
    </w:p>
    <w:p w14:paraId="69D3B794">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．项目负责人</w:t>
      </w:r>
    </w:p>
    <w:p w14:paraId="31119CD0">
      <w:pPr>
        <w:rPr>
          <w:rFonts w:asciiTheme="minorEastAsia" w:hAnsiTheme="minorEastAsia" w:cstheme="minorHAnsi"/>
          <w:b/>
          <w:color w:val="000000"/>
          <w:kern w:val="24"/>
        </w:rPr>
      </w:pPr>
    </w:p>
    <w:p w14:paraId="0BB9A80A">
      <w:pPr>
        <w:rPr>
          <w:rFonts w:asciiTheme="minorEastAsia" w:hAnsiTheme="minorEastAsia" w:cstheme="minorHAnsi"/>
          <w:b/>
          <w:color w:val="000000"/>
          <w:kern w:val="24"/>
        </w:rPr>
      </w:pPr>
    </w:p>
    <w:p w14:paraId="1B2751F2">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．人员要求</w:t>
      </w:r>
    </w:p>
    <w:p w14:paraId="0C2EF47B">
      <w:pPr>
        <w:rPr>
          <w:rFonts w:asciiTheme="minorEastAsia" w:hAnsiTheme="minorEastAsia" w:cstheme="minorHAnsi"/>
          <w:b/>
          <w:color w:val="000000"/>
          <w:kern w:val="24"/>
        </w:rPr>
      </w:pPr>
    </w:p>
    <w:p w14:paraId="7AC7B290">
      <w:pPr>
        <w:rPr>
          <w:rFonts w:asciiTheme="minorEastAsia" w:hAnsiTheme="minorEastAsia" w:cstheme="minorHAnsi"/>
          <w:b/>
          <w:color w:val="000000"/>
          <w:kern w:val="24"/>
        </w:rPr>
      </w:pPr>
    </w:p>
    <w:p w14:paraId="652248E7">
      <w:pPr>
        <w:rPr>
          <w:rFonts w:asciiTheme="minorEastAsia" w:hAnsiTheme="minorEastAsia" w:cstheme="minorHAnsi"/>
          <w:b/>
          <w:color w:val="000000"/>
          <w:kern w:val="24"/>
        </w:rPr>
      </w:pPr>
      <w:r>
        <w:rPr>
          <w:rFonts w:hint="eastAsia" w:asciiTheme="minorEastAsia" w:hAnsiTheme="minorEastAsia" w:cstheme="minorHAnsi"/>
          <w:b/>
          <w:color w:val="000000"/>
          <w:kern w:val="24"/>
        </w:rPr>
        <w:t>3．服务承诺</w:t>
      </w:r>
    </w:p>
    <w:p w14:paraId="6F53AD8B">
      <w:pPr>
        <w:rPr>
          <w:rFonts w:asciiTheme="minorEastAsia" w:hAnsiTheme="minorEastAsia" w:cstheme="minorHAnsi"/>
          <w:b/>
          <w:color w:val="000000"/>
          <w:kern w:val="24"/>
        </w:rPr>
      </w:pPr>
      <w:r>
        <w:rPr>
          <w:rFonts w:asciiTheme="minorEastAsia" w:hAnsiTheme="minorEastAsia" w:cstheme="minorHAnsi"/>
          <w:b/>
          <w:color w:val="000000"/>
          <w:kern w:val="24"/>
        </w:rPr>
        <w:t>4．拟派项目团队人员情况表</w:t>
      </w: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14:paraId="2071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14:paraId="0B4CD97F">
            <w:pPr>
              <w:jc w:val="center"/>
              <w:rPr>
                <w:rFonts w:asciiTheme="minorEastAsia" w:hAnsiTheme="minorEastAsia" w:cstheme="minorHAnsi"/>
                <w:b/>
                <w:color w:val="000000"/>
                <w:sz w:val="21"/>
                <w:szCs w:val="21"/>
              </w:rPr>
            </w:pPr>
            <w:bookmarkStart w:id="37" w:name="OLE_LINK19"/>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14:paraId="1E4090EA">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14:paraId="2E04283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14:paraId="7086A8B4">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14:paraId="7902F77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14:paraId="12A42E0E">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4FE1B1DF">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14:paraId="6E0C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3F822F0A">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053776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18DCC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DD970EA">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79CDADF3">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2974786">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09FD072">
            <w:pPr>
              <w:jc w:val="center"/>
              <w:rPr>
                <w:rFonts w:asciiTheme="minorEastAsia" w:hAnsiTheme="minorEastAsia" w:cstheme="minorHAnsi"/>
                <w:color w:val="000000"/>
                <w:sz w:val="21"/>
                <w:szCs w:val="21"/>
              </w:rPr>
            </w:pPr>
          </w:p>
        </w:tc>
      </w:tr>
      <w:tr w14:paraId="05DC6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EC3D6ED">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A1903D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CB4018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0AA7B85">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7516612">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18C5A8B1">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1E55435">
            <w:pPr>
              <w:jc w:val="center"/>
              <w:rPr>
                <w:rFonts w:asciiTheme="minorEastAsia" w:hAnsiTheme="minorEastAsia" w:cstheme="minorHAnsi"/>
                <w:color w:val="000000"/>
                <w:sz w:val="21"/>
                <w:szCs w:val="21"/>
              </w:rPr>
            </w:pPr>
          </w:p>
        </w:tc>
      </w:tr>
      <w:tr w14:paraId="212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408F027C">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95F1BD9">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0BC34A3">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F3C4521">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3634DCC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2505A2D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444096F">
            <w:pPr>
              <w:jc w:val="center"/>
              <w:rPr>
                <w:rFonts w:asciiTheme="minorEastAsia" w:hAnsiTheme="minorEastAsia" w:cstheme="minorHAnsi"/>
                <w:color w:val="000000"/>
                <w:sz w:val="21"/>
                <w:szCs w:val="21"/>
              </w:rPr>
            </w:pPr>
          </w:p>
        </w:tc>
      </w:tr>
      <w:tr w14:paraId="7B87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2D0D164">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FFDAE0B">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20A95C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B202DC2">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2C88561A">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55BE92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320B6DFB">
            <w:pPr>
              <w:jc w:val="center"/>
              <w:rPr>
                <w:rFonts w:asciiTheme="minorEastAsia" w:hAnsiTheme="minorEastAsia" w:cstheme="minorHAnsi"/>
                <w:color w:val="000000"/>
                <w:sz w:val="21"/>
                <w:szCs w:val="21"/>
              </w:rPr>
            </w:pPr>
          </w:p>
        </w:tc>
      </w:tr>
      <w:tr w14:paraId="7A35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299F9D7">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812A15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C3962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363A443">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0A19F97">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3744A6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F585159">
            <w:pPr>
              <w:jc w:val="center"/>
              <w:rPr>
                <w:rFonts w:asciiTheme="minorEastAsia" w:hAnsiTheme="minorEastAsia" w:cstheme="minorHAnsi"/>
                <w:color w:val="000000"/>
                <w:sz w:val="21"/>
                <w:szCs w:val="21"/>
              </w:rPr>
            </w:pPr>
          </w:p>
        </w:tc>
      </w:tr>
      <w:tr w14:paraId="1069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50088E3E">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7345B677">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475DA2E">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4006BB">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B4EFC9D">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03DF439">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3CED25F">
            <w:pPr>
              <w:jc w:val="center"/>
              <w:rPr>
                <w:rFonts w:asciiTheme="minorEastAsia" w:hAnsiTheme="minorEastAsia" w:cstheme="minorHAnsi"/>
                <w:color w:val="000000"/>
                <w:sz w:val="21"/>
                <w:szCs w:val="21"/>
              </w:rPr>
            </w:pPr>
          </w:p>
        </w:tc>
      </w:tr>
      <w:tr w14:paraId="371C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0428622">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320C89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BBBA3E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8C3328">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59355A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4048E1FF">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712CBAD">
            <w:pPr>
              <w:jc w:val="center"/>
              <w:rPr>
                <w:rFonts w:asciiTheme="minorEastAsia" w:hAnsiTheme="minorEastAsia" w:cstheme="minorHAnsi"/>
                <w:color w:val="000000"/>
                <w:sz w:val="21"/>
                <w:szCs w:val="21"/>
              </w:rPr>
            </w:pPr>
          </w:p>
        </w:tc>
      </w:tr>
      <w:tr w14:paraId="4ADB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9246C86">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14:paraId="05643C6E">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716F033A">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磋商文件对人员“资格\学历\职称”提出要求的，应在本表下方附相应的“资格证\学历证\职称证”等证明材料。</w:t>
            </w:r>
          </w:p>
        </w:tc>
      </w:tr>
      <w:bookmarkEnd w:id="37"/>
    </w:tbl>
    <w:p w14:paraId="3CD1E5E1">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14:paraId="5571EA0C">
      <w:pPr>
        <w:rPr>
          <w:rFonts w:asciiTheme="minorEastAsia" w:hAnsiTheme="minorEastAsia" w:cstheme="minorHAnsi"/>
          <w:b/>
          <w:color w:val="000000"/>
          <w:kern w:val="24"/>
        </w:rPr>
      </w:pPr>
    </w:p>
    <w:p w14:paraId="158D2DDA">
      <w:pPr>
        <w:rPr>
          <w:rFonts w:asciiTheme="minorEastAsia" w:hAnsiTheme="minorEastAsia" w:cstheme="minorHAnsi"/>
          <w:b/>
          <w:color w:val="000000"/>
          <w:kern w:val="24"/>
        </w:rPr>
      </w:pPr>
      <w:r>
        <w:rPr>
          <w:rFonts w:asciiTheme="minorEastAsia" w:hAnsiTheme="minorEastAsia" w:cstheme="minorHAnsi"/>
          <w:b/>
          <w:color w:val="000000"/>
          <w:kern w:val="24"/>
        </w:rPr>
        <w:t>5</w:t>
      </w:r>
      <w:r>
        <w:rPr>
          <w:rFonts w:hint="eastAsia" w:asciiTheme="minorEastAsia" w:hAnsiTheme="minorEastAsia" w:cstheme="minorHAnsi"/>
          <w:b/>
          <w:color w:val="000000"/>
          <w:kern w:val="24"/>
        </w:rPr>
        <w:t>．业绩</w:t>
      </w:r>
    </w:p>
    <w:p w14:paraId="6F94045C">
      <w:pPr>
        <w:rPr>
          <w:rFonts w:asciiTheme="minorEastAsia" w:hAnsiTheme="minorEastAsia" w:cstheme="minorHAnsi"/>
          <w:b/>
        </w:rPr>
      </w:pPr>
    </w:p>
    <w:p w14:paraId="1C782DD1">
      <w:pPr>
        <w:rPr>
          <w:rFonts w:asciiTheme="minorEastAsia" w:hAnsiTheme="minorEastAsia" w:cstheme="minorHAnsi"/>
          <w:b/>
        </w:rPr>
      </w:pPr>
    </w:p>
    <w:p w14:paraId="49827016">
      <w:pPr>
        <w:rPr>
          <w:rFonts w:cstheme="minorHAnsi"/>
          <w:b/>
        </w:rPr>
      </w:pPr>
      <w:r>
        <w:rPr>
          <w:rFonts w:cstheme="minorHAnsi"/>
          <w:b/>
        </w:rPr>
        <w:br w:type="page"/>
      </w:r>
    </w:p>
    <w:bookmarkEnd w:id="36"/>
    <w:p w14:paraId="2C12C892">
      <w:pPr>
        <w:keepNext/>
        <w:spacing w:before="120" w:after="60"/>
        <w:outlineLvl w:val="2"/>
        <w:rPr>
          <w:rFonts w:ascii="黑体" w:hAnsi="黑体" w:eastAsia="黑体"/>
          <w:kern w:val="28"/>
          <w:sz w:val="28"/>
          <w:szCs w:val="28"/>
        </w:rPr>
      </w:pPr>
      <w:bookmarkStart w:id="38" w:name="_Hlk234503235"/>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bookmarkEnd w:id="38"/>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bookmarkStart w:id="39" w:name="_Hlk234503278"/>
      <w:r>
        <w:rPr>
          <w:rFonts w:ascii="黑体" w:hAnsi="黑体" w:eastAsia="黑体"/>
          <w:kern w:val="28"/>
          <w:sz w:val="28"/>
          <w:szCs w:val="28"/>
        </w:rPr>
        <w:t>（四）其他需要提供的资料</w:t>
      </w:r>
    </w:p>
    <w:bookmarkEnd w:id="39"/>
    <w:p w14:paraId="0C1D8066">
      <w:pPr>
        <w:rPr>
          <w:rFonts w:ascii="Calibri" w:hAnsi="华文仿宋"/>
          <w:b/>
        </w:rPr>
      </w:pPr>
    </w:p>
    <w:p w14:paraId="62D3921C">
      <w:pPr>
        <w:rPr>
          <w:rFonts w:cstheme="minorHAnsi"/>
        </w:rPr>
      </w:pPr>
    </w:p>
    <w:p w14:paraId="004BA9F8">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bookmarkStart w:id="40" w:name="_Hlk234503305"/>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② 磋商</w:t>
            </w:r>
            <w:r>
              <w:rPr>
                <w:rFonts w:asciiTheme="minorEastAsia" w:hAnsiTheme="minorEastAsia" w:cstheme="minorHAnsi"/>
                <w:color w:val="000000"/>
                <w:sz w:val="21"/>
                <w:szCs w:val="21"/>
              </w:rPr>
              <w:t>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bookmarkEnd w:id="40"/>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bookmarkStart w:id="41" w:name="_Hlk234503331"/>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1"/>
        <w:ind w:firstLine="480"/>
        <w:rPr>
          <w:i/>
          <w:color w:val="7030A0"/>
        </w:rPr>
      </w:pPr>
      <w:r>
        <w:rPr>
          <w:i/>
          <w:color w:val="7030A0"/>
        </w:rPr>
        <w:t>未签署下列承诺书的，将被视为无效响应，其责任由供应商自行承担。</w:t>
      </w:r>
    </w:p>
    <w:p w14:paraId="409E63E0">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176A5D0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6680529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63ECBA9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4CB8922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76C0E72">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5FCB3D60">
      <w:pPr>
        <w:ind w:firstLine="480" w:firstLineChars="200"/>
        <w:jc w:val="both"/>
        <w:rPr>
          <w:rFonts w:ascii="Calibri" w:hAnsi="Calibri" w:eastAsia="宋体" w:cstheme="minorHAnsi"/>
          <w:color w:val="000000"/>
          <w:kern w:val="24"/>
        </w:rPr>
      </w:pPr>
    </w:p>
    <w:p w14:paraId="12FE84F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493F993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667F1DB1">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bookmarkEnd w:id="41"/>
    <w:p w14:paraId="536A6C8C">
      <w:pPr>
        <w:keepNext/>
        <w:ind w:firstLine="480" w:firstLineChars="200"/>
        <w:jc w:val="both"/>
        <w:rPr>
          <w:rFonts w:ascii="Calibri" w:hAnsi="Calibri" w:eastAsia="宋体" w:cstheme="minorHAnsi"/>
          <w:color w:val="000000"/>
          <w:kern w:val="24"/>
        </w:rPr>
      </w:pPr>
    </w:p>
    <w:sectPr>
      <w:footerReference r:id="rId29" w:type="default"/>
      <w:footerReference r:id="rId30"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华文仿宋">
    <w:altName w:val="仿宋"/>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77267">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C4DE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BE1AD">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551A1">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6CE30">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8D9BD">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A92DE">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BB5A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76F1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2B91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56E2E">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F8940">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76E6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6AC83">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A28D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61410">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1931E">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987B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6F5D2">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01ED4">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西安市消防救援支队2026年社会化审计服务采购项目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西安市消防救援支队2026年社会化审计服务采购项目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西安市消防救援支队2026年社会化审计服务采购项目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attachedTemplate r:id="rId1"/>
  <w:documentProtection w:enforcement="0"/>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3F56"/>
    <w:rsid w:val="0000473B"/>
    <w:rsid w:val="00004F9A"/>
    <w:rsid w:val="00005E26"/>
    <w:rsid w:val="00006A52"/>
    <w:rsid w:val="0000732D"/>
    <w:rsid w:val="00007A79"/>
    <w:rsid w:val="00010FED"/>
    <w:rsid w:val="00012137"/>
    <w:rsid w:val="00012844"/>
    <w:rsid w:val="00012F9B"/>
    <w:rsid w:val="0001350D"/>
    <w:rsid w:val="00013929"/>
    <w:rsid w:val="0001474C"/>
    <w:rsid w:val="00014DAF"/>
    <w:rsid w:val="00015802"/>
    <w:rsid w:val="00016042"/>
    <w:rsid w:val="000162A2"/>
    <w:rsid w:val="00017463"/>
    <w:rsid w:val="00021AF9"/>
    <w:rsid w:val="00022499"/>
    <w:rsid w:val="0002264A"/>
    <w:rsid w:val="00022A4E"/>
    <w:rsid w:val="00022F41"/>
    <w:rsid w:val="0002315C"/>
    <w:rsid w:val="00023261"/>
    <w:rsid w:val="000234CF"/>
    <w:rsid w:val="0002357E"/>
    <w:rsid w:val="000235C8"/>
    <w:rsid w:val="000251DF"/>
    <w:rsid w:val="0002669B"/>
    <w:rsid w:val="0002684E"/>
    <w:rsid w:val="00027064"/>
    <w:rsid w:val="00027B08"/>
    <w:rsid w:val="00027E6B"/>
    <w:rsid w:val="000307EC"/>
    <w:rsid w:val="0003251F"/>
    <w:rsid w:val="00032BB4"/>
    <w:rsid w:val="00032CC1"/>
    <w:rsid w:val="00033096"/>
    <w:rsid w:val="00033377"/>
    <w:rsid w:val="00033B5A"/>
    <w:rsid w:val="00035CCD"/>
    <w:rsid w:val="00037B29"/>
    <w:rsid w:val="00037D01"/>
    <w:rsid w:val="00037F2F"/>
    <w:rsid w:val="00037FD3"/>
    <w:rsid w:val="000403A2"/>
    <w:rsid w:val="00040799"/>
    <w:rsid w:val="00040973"/>
    <w:rsid w:val="00043245"/>
    <w:rsid w:val="00043830"/>
    <w:rsid w:val="000440AF"/>
    <w:rsid w:val="0004445A"/>
    <w:rsid w:val="00044F32"/>
    <w:rsid w:val="00045F7B"/>
    <w:rsid w:val="00046F42"/>
    <w:rsid w:val="00047455"/>
    <w:rsid w:val="00051EF3"/>
    <w:rsid w:val="00052177"/>
    <w:rsid w:val="000543B4"/>
    <w:rsid w:val="00054879"/>
    <w:rsid w:val="000556F1"/>
    <w:rsid w:val="00055F81"/>
    <w:rsid w:val="0005692F"/>
    <w:rsid w:val="000569BC"/>
    <w:rsid w:val="00061066"/>
    <w:rsid w:val="00061A13"/>
    <w:rsid w:val="0006226C"/>
    <w:rsid w:val="00062828"/>
    <w:rsid w:val="00062D84"/>
    <w:rsid w:val="00063EEF"/>
    <w:rsid w:val="00064071"/>
    <w:rsid w:val="00064386"/>
    <w:rsid w:val="00067A39"/>
    <w:rsid w:val="00067D44"/>
    <w:rsid w:val="00067EAB"/>
    <w:rsid w:val="0007053B"/>
    <w:rsid w:val="00070AA6"/>
    <w:rsid w:val="00070BCB"/>
    <w:rsid w:val="00072084"/>
    <w:rsid w:val="00073A16"/>
    <w:rsid w:val="00074562"/>
    <w:rsid w:val="0007534F"/>
    <w:rsid w:val="00075A60"/>
    <w:rsid w:val="00076277"/>
    <w:rsid w:val="000770B7"/>
    <w:rsid w:val="00077B80"/>
    <w:rsid w:val="000802B1"/>
    <w:rsid w:val="00084264"/>
    <w:rsid w:val="00084335"/>
    <w:rsid w:val="00084C5B"/>
    <w:rsid w:val="000857F2"/>
    <w:rsid w:val="00085999"/>
    <w:rsid w:val="00086D2C"/>
    <w:rsid w:val="00090002"/>
    <w:rsid w:val="000901F4"/>
    <w:rsid w:val="000906B5"/>
    <w:rsid w:val="000911CC"/>
    <w:rsid w:val="00091FB8"/>
    <w:rsid w:val="00092417"/>
    <w:rsid w:val="00093AD5"/>
    <w:rsid w:val="000951C6"/>
    <w:rsid w:val="000952F2"/>
    <w:rsid w:val="00095A8D"/>
    <w:rsid w:val="00096428"/>
    <w:rsid w:val="00096A52"/>
    <w:rsid w:val="00097111"/>
    <w:rsid w:val="00097CDB"/>
    <w:rsid w:val="000A0237"/>
    <w:rsid w:val="000A0B70"/>
    <w:rsid w:val="000A0EFD"/>
    <w:rsid w:val="000A159C"/>
    <w:rsid w:val="000A1B38"/>
    <w:rsid w:val="000A1F6A"/>
    <w:rsid w:val="000A2583"/>
    <w:rsid w:val="000A2B11"/>
    <w:rsid w:val="000A521E"/>
    <w:rsid w:val="000A7A6A"/>
    <w:rsid w:val="000B129A"/>
    <w:rsid w:val="000B2E68"/>
    <w:rsid w:val="000B4360"/>
    <w:rsid w:val="000B4751"/>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1A5C"/>
    <w:rsid w:val="000D4097"/>
    <w:rsid w:val="000D5B96"/>
    <w:rsid w:val="000D7EAE"/>
    <w:rsid w:val="000E07FA"/>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C85"/>
    <w:rsid w:val="000F7DA6"/>
    <w:rsid w:val="00100C1B"/>
    <w:rsid w:val="00100FCE"/>
    <w:rsid w:val="00102167"/>
    <w:rsid w:val="00102471"/>
    <w:rsid w:val="00103379"/>
    <w:rsid w:val="00103D6B"/>
    <w:rsid w:val="0010423E"/>
    <w:rsid w:val="00104D98"/>
    <w:rsid w:val="00105036"/>
    <w:rsid w:val="001059A0"/>
    <w:rsid w:val="00106530"/>
    <w:rsid w:val="001067F9"/>
    <w:rsid w:val="00107B8A"/>
    <w:rsid w:val="00107BFB"/>
    <w:rsid w:val="001101BD"/>
    <w:rsid w:val="0011093D"/>
    <w:rsid w:val="00111D02"/>
    <w:rsid w:val="00111F0F"/>
    <w:rsid w:val="001131D6"/>
    <w:rsid w:val="00113B9B"/>
    <w:rsid w:val="00121FC0"/>
    <w:rsid w:val="001221AC"/>
    <w:rsid w:val="00122D76"/>
    <w:rsid w:val="001232DE"/>
    <w:rsid w:val="001232E1"/>
    <w:rsid w:val="00123FBF"/>
    <w:rsid w:val="001240BB"/>
    <w:rsid w:val="00124B52"/>
    <w:rsid w:val="00124EE7"/>
    <w:rsid w:val="001257D4"/>
    <w:rsid w:val="0013005B"/>
    <w:rsid w:val="001300BD"/>
    <w:rsid w:val="0013015E"/>
    <w:rsid w:val="0013081C"/>
    <w:rsid w:val="00131904"/>
    <w:rsid w:val="0013342E"/>
    <w:rsid w:val="001338D9"/>
    <w:rsid w:val="00133ADB"/>
    <w:rsid w:val="00134EE2"/>
    <w:rsid w:val="001351E3"/>
    <w:rsid w:val="00135AA2"/>
    <w:rsid w:val="00135F6F"/>
    <w:rsid w:val="00136D4A"/>
    <w:rsid w:val="0013712F"/>
    <w:rsid w:val="00137CD5"/>
    <w:rsid w:val="00137E7B"/>
    <w:rsid w:val="00140177"/>
    <w:rsid w:val="00142244"/>
    <w:rsid w:val="001454AD"/>
    <w:rsid w:val="001455F6"/>
    <w:rsid w:val="001456C7"/>
    <w:rsid w:val="00145DA0"/>
    <w:rsid w:val="00146BFE"/>
    <w:rsid w:val="00152476"/>
    <w:rsid w:val="001534EC"/>
    <w:rsid w:val="0015361E"/>
    <w:rsid w:val="00156ED5"/>
    <w:rsid w:val="0015782A"/>
    <w:rsid w:val="001578D6"/>
    <w:rsid w:val="00160A34"/>
    <w:rsid w:val="001612F4"/>
    <w:rsid w:val="00162008"/>
    <w:rsid w:val="00162710"/>
    <w:rsid w:val="001630D0"/>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5B98"/>
    <w:rsid w:val="00175BF5"/>
    <w:rsid w:val="00176CF3"/>
    <w:rsid w:val="00176F0E"/>
    <w:rsid w:val="001811B5"/>
    <w:rsid w:val="00182C33"/>
    <w:rsid w:val="0018316D"/>
    <w:rsid w:val="00184A1D"/>
    <w:rsid w:val="00184DE0"/>
    <w:rsid w:val="00184F72"/>
    <w:rsid w:val="00187440"/>
    <w:rsid w:val="00187846"/>
    <w:rsid w:val="00191693"/>
    <w:rsid w:val="00191834"/>
    <w:rsid w:val="00191A7E"/>
    <w:rsid w:val="00191DD9"/>
    <w:rsid w:val="00192174"/>
    <w:rsid w:val="001925F4"/>
    <w:rsid w:val="00193B5F"/>
    <w:rsid w:val="001947E8"/>
    <w:rsid w:val="00194890"/>
    <w:rsid w:val="0019564E"/>
    <w:rsid w:val="00196A1C"/>
    <w:rsid w:val="00196DD9"/>
    <w:rsid w:val="00197C5C"/>
    <w:rsid w:val="001A0376"/>
    <w:rsid w:val="001A08AC"/>
    <w:rsid w:val="001A0C97"/>
    <w:rsid w:val="001A127F"/>
    <w:rsid w:val="001A2103"/>
    <w:rsid w:val="001A5309"/>
    <w:rsid w:val="001A5764"/>
    <w:rsid w:val="001A5AF6"/>
    <w:rsid w:val="001A7BDA"/>
    <w:rsid w:val="001B003B"/>
    <w:rsid w:val="001B0699"/>
    <w:rsid w:val="001B0C7B"/>
    <w:rsid w:val="001B2019"/>
    <w:rsid w:val="001B49FD"/>
    <w:rsid w:val="001B5302"/>
    <w:rsid w:val="001B5B8B"/>
    <w:rsid w:val="001B6638"/>
    <w:rsid w:val="001C0A0A"/>
    <w:rsid w:val="001C0BA3"/>
    <w:rsid w:val="001C0BBD"/>
    <w:rsid w:val="001C25ED"/>
    <w:rsid w:val="001C4AFC"/>
    <w:rsid w:val="001C5BE5"/>
    <w:rsid w:val="001C607B"/>
    <w:rsid w:val="001C732E"/>
    <w:rsid w:val="001D1423"/>
    <w:rsid w:val="001D1BCB"/>
    <w:rsid w:val="001D22C0"/>
    <w:rsid w:val="001D2CE5"/>
    <w:rsid w:val="001D3803"/>
    <w:rsid w:val="001D4171"/>
    <w:rsid w:val="001D4442"/>
    <w:rsid w:val="001D576E"/>
    <w:rsid w:val="001D70BC"/>
    <w:rsid w:val="001D7B5D"/>
    <w:rsid w:val="001E0376"/>
    <w:rsid w:val="001E0C4B"/>
    <w:rsid w:val="001E1DFE"/>
    <w:rsid w:val="001E2623"/>
    <w:rsid w:val="001E2BB9"/>
    <w:rsid w:val="001E568C"/>
    <w:rsid w:val="001E6560"/>
    <w:rsid w:val="001E6A70"/>
    <w:rsid w:val="001E7761"/>
    <w:rsid w:val="001E790E"/>
    <w:rsid w:val="001F0A60"/>
    <w:rsid w:val="001F15AE"/>
    <w:rsid w:val="001F2059"/>
    <w:rsid w:val="001F23C9"/>
    <w:rsid w:val="001F2A6A"/>
    <w:rsid w:val="001F4827"/>
    <w:rsid w:val="001F49A1"/>
    <w:rsid w:val="001F4ACC"/>
    <w:rsid w:val="001F622E"/>
    <w:rsid w:val="001F7532"/>
    <w:rsid w:val="001F75D7"/>
    <w:rsid w:val="001F779A"/>
    <w:rsid w:val="001F7B5A"/>
    <w:rsid w:val="00200E55"/>
    <w:rsid w:val="00201795"/>
    <w:rsid w:val="002017D8"/>
    <w:rsid w:val="00201DD0"/>
    <w:rsid w:val="002027F6"/>
    <w:rsid w:val="002039B1"/>
    <w:rsid w:val="0020498C"/>
    <w:rsid w:val="002051A7"/>
    <w:rsid w:val="002053E9"/>
    <w:rsid w:val="00207790"/>
    <w:rsid w:val="00210476"/>
    <w:rsid w:val="00210CFC"/>
    <w:rsid w:val="00210FBE"/>
    <w:rsid w:val="0021105F"/>
    <w:rsid w:val="002111A6"/>
    <w:rsid w:val="00212328"/>
    <w:rsid w:val="002125C8"/>
    <w:rsid w:val="00213205"/>
    <w:rsid w:val="002137AF"/>
    <w:rsid w:val="002174B0"/>
    <w:rsid w:val="00220787"/>
    <w:rsid w:val="002209DE"/>
    <w:rsid w:val="00221727"/>
    <w:rsid w:val="0022295D"/>
    <w:rsid w:val="00223AA8"/>
    <w:rsid w:val="00223E30"/>
    <w:rsid w:val="00223EFE"/>
    <w:rsid w:val="00224257"/>
    <w:rsid w:val="0022457B"/>
    <w:rsid w:val="00224D12"/>
    <w:rsid w:val="00226069"/>
    <w:rsid w:val="00226A70"/>
    <w:rsid w:val="0023021B"/>
    <w:rsid w:val="0023070C"/>
    <w:rsid w:val="00230C6A"/>
    <w:rsid w:val="00232797"/>
    <w:rsid w:val="00233D53"/>
    <w:rsid w:val="002345B9"/>
    <w:rsid w:val="00235ECB"/>
    <w:rsid w:val="002378CD"/>
    <w:rsid w:val="00237A3F"/>
    <w:rsid w:val="00237A4A"/>
    <w:rsid w:val="00237C8C"/>
    <w:rsid w:val="00240CD3"/>
    <w:rsid w:val="00241D96"/>
    <w:rsid w:val="0024210D"/>
    <w:rsid w:val="00244C29"/>
    <w:rsid w:val="00244DB8"/>
    <w:rsid w:val="00244FE4"/>
    <w:rsid w:val="00247B11"/>
    <w:rsid w:val="00250468"/>
    <w:rsid w:val="00250A0D"/>
    <w:rsid w:val="00250B6E"/>
    <w:rsid w:val="00250D62"/>
    <w:rsid w:val="002512DB"/>
    <w:rsid w:val="002519B6"/>
    <w:rsid w:val="00252050"/>
    <w:rsid w:val="00252AF3"/>
    <w:rsid w:val="00253B74"/>
    <w:rsid w:val="00254492"/>
    <w:rsid w:val="002547E0"/>
    <w:rsid w:val="00255DBC"/>
    <w:rsid w:val="00256AC1"/>
    <w:rsid w:val="0025777A"/>
    <w:rsid w:val="00257B25"/>
    <w:rsid w:val="00260306"/>
    <w:rsid w:val="00261898"/>
    <w:rsid w:val="00261F45"/>
    <w:rsid w:val="002621C5"/>
    <w:rsid w:val="00264014"/>
    <w:rsid w:val="0026501F"/>
    <w:rsid w:val="00266611"/>
    <w:rsid w:val="002669FC"/>
    <w:rsid w:val="0026748B"/>
    <w:rsid w:val="00267AE5"/>
    <w:rsid w:val="00267C8A"/>
    <w:rsid w:val="00267FDD"/>
    <w:rsid w:val="00270CDC"/>
    <w:rsid w:val="00271136"/>
    <w:rsid w:val="002720DE"/>
    <w:rsid w:val="00272146"/>
    <w:rsid w:val="002721CB"/>
    <w:rsid w:val="00272337"/>
    <w:rsid w:val="002724F0"/>
    <w:rsid w:val="00272E7E"/>
    <w:rsid w:val="00273219"/>
    <w:rsid w:val="00273A93"/>
    <w:rsid w:val="00273F51"/>
    <w:rsid w:val="002742A7"/>
    <w:rsid w:val="002742EA"/>
    <w:rsid w:val="0027449B"/>
    <w:rsid w:val="00274AFC"/>
    <w:rsid w:val="00275230"/>
    <w:rsid w:val="00275284"/>
    <w:rsid w:val="00275C8F"/>
    <w:rsid w:val="00276641"/>
    <w:rsid w:val="00276C8A"/>
    <w:rsid w:val="002771C6"/>
    <w:rsid w:val="0028033D"/>
    <w:rsid w:val="0028114A"/>
    <w:rsid w:val="00282837"/>
    <w:rsid w:val="00282CF7"/>
    <w:rsid w:val="00283DD5"/>
    <w:rsid w:val="002848E9"/>
    <w:rsid w:val="00284C34"/>
    <w:rsid w:val="00291777"/>
    <w:rsid w:val="00292519"/>
    <w:rsid w:val="0029384E"/>
    <w:rsid w:val="00294428"/>
    <w:rsid w:val="002961E2"/>
    <w:rsid w:val="00296372"/>
    <w:rsid w:val="002966F0"/>
    <w:rsid w:val="00296C23"/>
    <w:rsid w:val="0029717E"/>
    <w:rsid w:val="00297703"/>
    <w:rsid w:val="00297866"/>
    <w:rsid w:val="002A26D5"/>
    <w:rsid w:val="002A3B25"/>
    <w:rsid w:val="002A4387"/>
    <w:rsid w:val="002A62BF"/>
    <w:rsid w:val="002A6815"/>
    <w:rsid w:val="002A6BFB"/>
    <w:rsid w:val="002A703D"/>
    <w:rsid w:val="002A76CC"/>
    <w:rsid w:val="002A7B39"/>
    <w:rsid w:val="002A7BB1"/>
    <w:rsid w:val="002A7FF7"/>
    <w:rsid w:val="002B009B"/>
    <w:rsid w:val="002B0F05"/>
    <w:rsid w:val="002B12E1"/>
    <w:rsid w:val="002B35C4"/>
    <w:rsid w:val="002B36C2"/>
    <w:rsid w:val="002B4127"/>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2B5F"/>
    <w:rsid w:val="002D327B"/>
    <w:rsid w:val="002D41DD"/>
    <w:rsid w:val="002D483A"/>
    <w:rsid w:val="002D5205"/>
    <w:rsid w:val="002D65D4"/>
    <w:rsid w:val="002D679E"/>
    <w:rsid w:val="002D7418"/>
    <w:rsid w:val="002E1283"/>
    <w:rsid w:val="002E1660"/>
    <w:rsid w:val="002E379C"/>
    <w:rsid w:val="002E3BD8"/>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3C48"/>
    <w:rsid w:val="002F577D"/>
    <w:rsid w:val="002F736E"/>
    <w:rsid w:val="002F7AF0"/>
    <w:rsid w:val="002F7D7D"/>
    <w:rsid w:val="00300067"/>
    <w:rsid w:val="00300B27"/>
    <w:rsid w:val="0030123B"/>
    <w:rsid w:val="00301E0D"/>
    <w:rsid w:val="00301FAE"/>
    <w:rsid w:val="003024CF"/>
    <w:rsid w:val="00302E0F"/>
    <w:rsid w:val="00304812"/>
    <w:rsid w:val="00304831"/>
    <w:rsid w:val="003061B0"/>
    <w:rsid w:val="00306470"/>
    <w:rsid w:val="00311862"/>
    <w:rsid w:val="003125F9"/>
    <w:rsid w:val="0031590A"/>
    <w:rsid w:val="00315F34"/>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6F42"/>
    <w:rsid w:val="00327A6B"/>
    <w:rsid w:val="003302D2"/>
    <w:rsid w:val="00330BFE"/>
    <w:rsid w:val="00330EA4"/>
    <w:rsid w:val="0033167F"/>
    <w:rsid w:val="00332A7C"/>
    <w:rsid w:val="0033368F"/>
    <w:rsid w:val="00334247"/>
    <w:rsid w:val="003345B6"/>
    <w:rsid w:val="00335C58"/>
    <w:rsid w:val="00337CFC"/>
    <w:rsid w:val="0034052E"/>
    <w:rsid w:val="003406B1"/>
    <w:rsid w:val="00343305"/>
    <w:rsid w:val="0034345F"/>
    <w:rsid w:val="003443D3"/>
    <w:rsid w:val="003450CD"/>
    <w:rsid w:val="00345F35"/>
    <w:rsid w:val="00346A88"/>
    <w:rsid w:val="00346D43"/>
    <w:rsid w:val="00346E2B"/>
    <w:rsid w:val="00347728"/>
    <w:rsid w:val="0035004F"/>
    <w:rsid w:val="003509CA"/>
    <w:rsid w:val="003511FC"/>
    <w:rsid w:val="00351734"/>
    <w:rsid w:val="0035221D"/>
    <w:rsid w:val="003522C9"/>
    <w:rsid w:val="00354FCF"/>
    <w:rsid w:val="003551A7"/>
    <w:rsid w:val="003551E0"/>
    <w:rsid w:val="003552C3"/>
    <w:rsid w:val="0035572B"/>
    <w:rsid w:val="003564FB"/>
    <w:rsid w:val="00357EC3"/>
    <w:rsid w:val="00360830"/>
    <w:rsid w:val="0036148F"/>
    <w:rsid w:val="003627F9"/>
    <w:rsid w:val="00364896"/>
    <w:rsid w:val="00366A2C"/>
    <w:rsid w:val="003704E3"/>
    <w:rsid w:val="00371456"/>
    <w:rsid w:val="0037185C"/>
    <w:rsid w:val="00373AE9"/>
    <w:rsid w:val="00374506"/>
    <w:rsid w:val="0037495D"/>
    <w:rsid w:val="0037531B"/>
    <w:rsid w:val="00375819"/>
    <w:rsid w:val="00375C89"/>
    <w:rsid w:val="00375CB9"/>
    <w:rsid w:val="00376DAF"/>
    <w:rsid w:val="00381E43"/>
    <w:rsid w:val="0038204A"/>
    <w:rsid w:val="00382469"/>
    <w:rsid w:val="0038316C"/>
    <w:rsid w:val="003833FB"/>
    <w:rsid w:val="00383F8F"/>
    <w:rsid w:val="00384CD5"/>
    <w:rsid w:val="00385F71"/>
    <w:rsid w:val="003872CB"/>
    <w:rsid w:val="00387AFC"/>
    <w:rsid w:val="00390290"/>
    <w:rsid w:val="0039216D"/>
    <w:rsid w:val="00392EBD"/>
    <w:rsid w:val="00393459"/>
    <w:rsid w:val="003943D1"/>
    <w:rsid w:val="0039449C"/>
    <w:rsid w:val="003944F3"/>
    <w:rsid w:val="00394ED8"/>
    <w:rsid w:val="00395695"/>
    <w:rsid w:val="003966C3"/>
    <w:rsid w:val="00397EEA"/>
    <w:rsid w:val="003A0002"/>
    <w:rsid w:val="003A0295"/>
    <w:rsid w:val="003A0D83"/>
    <w:rsid w:val="003A192D"/>
    <w:rsid w:val="003A2A14"/>
    <w:rsid w:val="003B086A"/>
    <w:rsid w:val="003B0D75"/>
    <w:rsid w:val="003B14CA"/>
    <w:rsid w:val="003B25DE"/>
    <w:rsid w:val="003B2AF6"/>
    <w:rsid w:val="003B3207"/>
    <w:rsid w:val="003B35A9"/>
    <w:rsid w:val="003C1AD1"/>
    <w:rsid w:val="003C309B"/>
    <w:rsid w:val="003C3325"/>
    <w:rsid w:val="003C3EA8"/>
    <w:rsid w:val="003C61F3"/>
    <w:rsid w:val="003C6AB2"/>
    <w:rsid w:val="003C6ABB"/>
    <w:rsid w:val="003C6CC8"/>
    <w:rsid w:val="003C7C29"/>
    <w:rsid w:val="003C7D35"/>
    <w:rsid w:val="003D0275"/>
    <w:rsid w:val="003D0D2A"/>
    <w:rsid w:val="003D18B9"/>
    <w:rsid w:val="003D2606"/>
    <w:rsid w:val="003D39C7"/>
    <w:rsid w:val="003D3A50"/>
    <w:rsid w:val="003D45F5"/>
    <w:rsid w:val="003D4976"/>
    <w:rsid w:val="003D55C8"/>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874"/>
    <w:rsid w:val="003E7DCF"/>
    <w:rsid w:val="003F0E1D"/>
    <w:rsid w:val="003F1C2D"/>
    <w:rsid w:val="003F3882"/>
    <w:rsid w:val="003F3B74"/>
    <w:rsid w:val="003F3F0B"/>
    <w:rsid w:val="003F4346"/>
    <w:rsid w:val="003F5FB9"/>
    <w:rsid w:val="003F60A3"/>
    <w:rsid w:val="003F7C8E"/>
    <w:rsid w:val="004001BE"/>
    <w:rsid w:val="0040124D"/>
    <w:rsid w:val="004017C8"/>
    <w:rsid w:val="0040181A"/>
    <w:rsid w:val="00401D26"/>
    <w:rsid w:val="00401F6C"/>
    <w:rsid w:val="004024C2"/>
    <w:rsid w:val="00404A7B"/>
    <w:rsid w:val="00404EB9"/>
    <w:rsid w:val="00405285"/>
    <w:rsid w:val="004068A7"/>
    <w:rsid w:val="00406C11"/>
    <w:rsid w:val="00407BBB"/>
    <w:rsid w:val="004106B2"/>
    <w:rsid w:val="00411C65"/>
    <w:rsid w:val="004122FD"/>
    <w:rsid w:val="00412B20"/>
    <w:rsid w:val="00412CBC"/>
    <w:rsid w:val="00414D38"/>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30409"/>
    <w:rsid w:val="00431100"/>
    <w:rsid w:val="0043159B"/>
    <w:rsid w:val="004317AB"/>
    <w:rsid w:val="00431DBF"/>
    <w:rsid w:val="00431DD7"/>
    <w:rsid w:val="00433512"/>
    <w:rsid w:val="0043432D"/>
    <w:rsid w:val="00437842"/>
    <w:rsid w:val="0044122A"/>
    <w:rsid w:val="00441977"/>
    <w:rsid w:val="00441D7B"/>
    <w:rsid w:val="00442041"/>
    <w:rsid w:val="00444250"/>
    <w:rsid w:val="00444298"/>
    <w:rsid w:val="00444F2A"/>
    <w:rsid w:val="004456C5"/>
    <w:rsid w:val="00446812"/>
    <w:rsid w:val="004474B0"/>
    <w:rsid w:val="00454666"/>
    <w:rsid w:val="004547F6"/>
    <w:rsid w:val="004549DF"/>
    <w:rsid w:val="004550FE"/>
    <w:rsid w:val="00455F40"/>
    <w:rsid w:val="004574A4"/>
    <w:rsid w:val="00460822"/>
    <w:rsid w:val="00460F96"/>
    <w:rsid w:val="00463236"/>
    <w:rsid w:val="00463834"/>
    <w:rsid w:val="004642AE"/>
    <w:rsid w:val="004644D9"/>
    <w:rsid w:val="004657D3"/>
    <w:rsid w:val="00465C3A"/>
    <w:rsid w:val="0046690A"/>
    <w:rsid w:val="0046782F"/>
    <w:rsid w:val="004719DE"/>
    <w:rsid w:val="00471E1E"/>
    <w:rsid w:val="0047278F"/>
    <w:rsid w:val="00473CE1"/>
    <w:rsid w:val="00474667"/>
    <w:rsid w:val="0047566E"/>
    <w:rsid w:val="0047590B"/>
    <w:rsid w:val="0047799A"/>
    <w:rsid w:val="00482B46"/>
    <w:rsid w:val="0048394D"/>
    <w:rsid w:val="004846F1"/>
    <w:rsid w:val="00487FE6"/>
    <w:rsid w:val="004907CB"/>
    <w:rsid w:val="00490F98"/>
    <w:rsid w:val="00491349"/>
    <w:rsid w:val="0049193C"/>
    <w:rsid w:val="00492F9F"/>
    <w:rsid w:val="00493684"/>
    <w:rsid w:val="00493DFE"/>
    <w:rsid w:val="00493E48"/>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259"/>
    <w:rsid w:val="004B6DC3"/>
    <w:rsid w:val="004B7BC8"/>
    <w:rsid w:val="004C093C"/>
    <w:rsid w:val="004C0B7A"/>
    <w:rsid w:val="004C0CA0"/>
    <w:rsid w:val="004C0CC3"/>
    <w:rsid w:val="004C17D4"/>
    <w:rsid w:val="004C36C3"/>
    <w:rsid w:val="004C48B9"/>
    <w:rsid w:val="004C5B48"/>
    <w:rsid w:val="004C6493"/>
    <w:rsid w:val="004C7371"/>
    <w:rsid w:val="004D11A6"/>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4F56"/>
    <w:rsid w:val="004E5196"/>
    <w:rsid w:val="004E5DD1"/>
    <w:rsid w:val="004E63AF"/>
    <w:rsid w:val="004E6B7F"/>
    <w:rsid w:val="004E7520"/>
    <w:rsid w:val="004F01A5"/>
    <w:rsid w:val="004F04DD"/>
    <w:rsid w:val="004F08ED"/>
    <w:rsid w:val="004F24E3"/>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961"/>
    <w:rsid w:val="00502DB5"/>
    <w:rsid w:val="0050431E"/>
    <w:rsid w:val="005053C1"/>
    <w:rsid w:val="00506ECC"/>
    <w:rsid w:val="00510062"/>
    <w:rsid w:val="00510D3F"/>
    <w:rsid w:val="00511E18"/>
    <w:rsid w:val="00512B77"/>
    <w:rsid w:val="00512C56"/>
    <w:rsid w:val="00513B28"/>
    <w:rsid w:val="00515A3D"/>
    <w:rsid w:val="00515ADE"/>
    <w:rsid w:val="00515E63"/>
    <w:rsid w:val="005176F4"/>
    <w:rsid w:val="005203BA"/>
    <w:rsid w:val="005209E8"/>
    <w:rsid w:val="00521222"/>
    <w:rsid w:val="0052123E"/>
    <w:rsid w:val="005220F8"/>
    <w:rsid w:val="00522932"/>
    <w:rsid w:val="0052539A"/>
    <w:rsid w:val="00527C5B"/>
    <w:rsid w:val="005309DD"/>
    <w:rsid w:val="00531C36"/>
    <w:rsid w:val="005330CB"/>
    <w:rsid w:val="0053320F"/>
    <w:rsid w:val="005340C0"/>
    <w:rsid w:val="00534E45"/>
    <w:rsid w:val="00534E48"/>
    <w:rsid w:val="00535F18"/>
    <w:rsid w:val="00537136"/>
    <w:rsid w:val="005406CD"/>
    <w:rsid w:val="005412C1"/>
    <w:rsid w:val="00542499"/>
    <w:rsid w:val="00542742"/>
    <w:rsid w:val="0054287D"/>
    <w:rsid w:val="00542A4A"/>
    <w:rsid w:val="00543027"/>
    <w:rsid w:val="0054390D"/>
    <w:rsid w:val="00544037"/>
    <w:rsid w:val="00544FDF"/>
    <w:rsid w:val="0054537C"/>
    <w:rsid w:val="00545E64"/>
    <w:rsid w:val="00547AD0"/>
    <w:rsid w:val="0055098B"/>
    <w:rsid w:val="005509F0"/>
    <w:rsid w:val="00551012"/>
    <w:rsid w:val="0055376E"/>
    <w:rsid w:val="00553778"/>
    <w:rsid w:val="00553AC5"/>
    <w:rsid w:val="00554646"/>
    <w:rsid w:val="00554791"/>
    <w:rsid w:val="005555A0"/>
    <w:rsid w:val="005576E1"/>
    <w:rsid w:val="005577D4"/>
    <w:rsid w:val="00557D72"/>
    <w:rsid w:val="0056006F"/>
    <w:rsid w:val="0056050F"/>
    <w:rsid w:val="00560BBE"/>
    <w:rsid w:val="00561698"/>
    <w:rsid w:val="00561DAD"/>
    <w:rsid w:val="0056216F"/>
    <w:rsid w:val="005627E9"/>
    <w:rsid w:val="0056358D"/>
    <w:rsid w:val="0056377F"/>
    <w:rsid w:val="005642D3"/>
    <w:rsid w:val="005668B8"/>
    <w:rsid w:val="005676F6"/>
    <w:rsid w:val="005715AF"/>
    <w:rsid w:val="005722C2"/>
    <w:rsid w:val="005722F7"/>
    <w:rsid w:val="00572506"/>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E3F"/>
    <w:rsid w:val="005866B9"/>
    <w:rsid w:val="00592CFD"/>
    <w:rsid w:val="00593C8A"/>
    <w:rsid w:val="00594467"/>
    <w:rsid w:val="00594DC1"/>
    <w:rsid w:val="00594F66"/>
    <w:rsid w:val="005960B9"/>
    <w:rsid w:val="00596DDA"/>
    <w:rsid w:val="005A0DEA"/>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4EBE"/>
    <w:rsid w:val="005B509D"/>
    <w:rsid w:val="005B51A3"/>
    <w:rsid w:val="005B547C"/>
    <w:rsid w:val="005B556C"/>
    <w:rsid w:val="005B65A5"/>
    <w:rsid w:val="005B67BE"/>
    <w:rsid w:val="005B6F3F"/>
    <w:rsid w:val="005B7116"/>
    <w:rsid w:val="005C03AE"/>
    <w:rsid w:val="005C1784"/>
    <w:rsid w:val="005C2884"/>
    <w:rsid w:val="005C381B"/>
    <w:rsid w:val="005C3D94"/>
    <w:rsid w:val="005C50A4"/>
    <w:rsid w:val="005C50D1"/>
    <w:rsid w:val="005C6C4F"/>
    <w:rsid w:val="005D000E"/>
    <w:rsid w:val="005D035F"/>
    <w:rsid w:val="005D24EB"/>
    <w:rsid w:val="005D2A79"/>
    <w:rsid w:val="005D3C04"/>
    <w:rsid w:val="005D4F16"/>
    <w:rsid w:val="005D5E30"/>
    <w:rsid w:val="005D62E5"/>
    <w:rsid w:val="005D6C3D"/>
    <w:rsid w:val="005D7216"/>
    <w:rsid w:val="005E032C"/>
    <w:rsid w:val="005E0A86"/>
    <w:rsid w:val="005E12F7"/>
    <w:rsid w:val="005E2BBC"/>
    <w:rsid w:val="005E37E1"/>
    <w:rsid w:val="005E4DEF"/>
    <w:rsid w:val="005E51CD"/>
    <w:rsid w:val="005E548A"/>
    <w:rsid w:val="005E5BCC"/>
    <w:rsid w:val="005E5CCE"/>
    <w:rsid w:val="005E6CCC"/>
    <w:rsid w:val="005F1247"/>
    <w:rsid w:val="005F19BB"/>
    <w:rsid w:val="005F328D"/>
    <w:rsid w:val="005F3B5B"/>
    <w:rsid w:val="005F6909"/>
    <w:rsid w:val="005F6C88"/>
    <w:rsid w:val="0060005D"/>
    <w:rsid w:val="00600A1A"/>
    <w:rsid w:val="006022C0"/>
    <w:rsid w:val="00602836"/>
    <w:rsid w:val="00602E42"/>
    <w:rsid w:val="00603657"/>
    <w:rsid w:val="00603BB4"/>
    <w:rsid w:val="00604448"/>
    <w:rsid w:val="00604603"/>
    <w:rsid w:val="0060479B"/>
    <w:rsid w:val="00606561"/>
    <w:rsid w:val="00606A55"/>
    <w:rsid w:val="006075B5"/>
    <w:rsid w:val="0061018F"/>
    <w:rsid w:val="00611427"/>
    <w:rsid w:val="00611AC2"/>
    <w:rsid w:val="00611F4A"/>
    <w:rsid w:val="00611FFE"/>
    <w:rsid w:val="00613BB6"/>
    <w:rsid w:val="0061572C"/>
    <w:rsid w:val="00615E79"/>
    <w:rsid w:val="00616D0D"/>
    <w:rsid w:val="00617595"/>
    <w:rsid w:val="0061777B"/>
    <w:rsid w:val="00621440"/>
    <w:rsid w:val="006232DD"/>
    <w:rsid w:val="00623A3D"/>
    <w:rsid w:val="00624066"/>
    <w:rsid w:val="0062454A"/>
    <w:rsid w:val="00624620"/>
    <w:rsid w:val="006247E0"/>
    <w:rsid w:val="00624946"/>
    <w:rsid w:val="00625173"/>
    <w:rsid w:val="00630CCB"/>
    <w:rsid w:val="00631E71"/>
    <w:rsid w:val="0063350A"/>
    <w:rsid w:val="006340A0"/>
    <w:rsid w:val="00634E24"/>
    <w:rsid w:val="00634FB6"/>
    <w:rsid w:val="0063581A"/>
    <w:rsid w:val="00636BF4"/>
    <w:rsid w:val="00637FE9"/>
    <w:rsid w:val="0064101A"/>
    <w:rsid w:val="00641D78"/>
    <w:rsid w:val="00642CB1"/>
    <w:rsid w:val="00642DD8"/>
    <w:rsid w:val="006431A9"/>
    <w:rsid w:val="0064508B"/>
    <w:rsid w:val="006460E3"/>
    <w:rsid w:val="006466DF"/>
    <w:rsid w:val="00647100"/>
    <w:rsid w:val="00651046"/>
    <w:rsid w:val="006518D0"/>
    <w:rsid w:val="00651A0E"/>
    <w:rsid w:val="00652156"/>
    <w:rsid w:val="00652393"/>
    <w:rsid w:val="00652845"/>
    <w:rsid w:val="006535E4"/>
    <w:rsid w:val="00654D4B"/>
    <w:rsid w:val="00656003"/>
    <w:rsid w:val="00657150"/>
    <w:rsid w:val="006571DD"/>
    <w:rsid w:val="0065774D"/>
    <w:rsid w:val="0065792C"/>
    <w:rsid w:val="00657FF7"/>
    <w:rsid w:val="00661AA7"/>
    <w:rsid w:val="00661B66"/>
    <w:rsid w:val="0066211E"/>
    <w:rsid w:val="00662804"/>
    <w:rsid w:val="00662E32"/>
    <w:rsid w:val="0066417E"/>
    <w:rsid w:val="00664343"/>
    <w:rsid w:val="0066634E"/>
    <w:rsid w:val="0066668A"/>
    <w:rsid w:val="00667CAB"/>
    <w:rsid w:val="00670BE1"/>
    <w:rsid w:val="006734D2"/>
    <w:rsid w:val="00674641"/>
    <w:rsid w:val="00675065"/>
    <w:rsid w:val="00675563"/>
    <w:rsid w:val="00675DAD"/>
    <w:rsid w:val="0067765B"/>
    <w:rsid w:val="00677CF0"/>
    <w:rsid w:val="006807FA"/>
    <w:rsid w:val="00682389"/>
    <w:rsid w:val="00682FD8"/>
    <w:rsid w:val="006834DA"/>
    <w:rsid w:val="00683A85"/>
    <w:rsid w:val="0068482C"/>
    <w:rsid w:val="00685346"/>
    <w:rsid w:val="00685B24"/>
    <w:rsid w:val="00686757"/>
    <w:rsid w:val="0068677F"/>
    <w:rsid w:val="006870E8"/>
    <w:rsid w:val="0068779B"/>
    <w:rsid w:val="006879AE"/>
    <w:rsid w:val="00690BC5"/>
    <w:rsid w:val="00690C8E"/>
    <w:rsid w:val="00691341"/>
    <w:rsid w:val="00691D24"/>
    <w:rsid w:val="006933DD"/>
    <w:rsid w:val="0069471D"/>
    <w:rsid w:val="0069553A"/>
    <w:rsid w:val="00695670"/>
    <w:rsid w:val="00695B4C"/>
    <w:rsid w:val="00695E20"/>
    <w:rsid w:val="00697CAC"/>
    <w:rsid w:val="006A2505"/>
    <w:rsid w:val="006A2D90"/>
    <w:rsid w:val="006A3BA0"/>
    <w:rsid w:val="006A4EC6"/>
    <w:rsid w:val="006A6B87"/>
    <w:rsid w:val="006A6DF3"/>
    <w:rsid w:val="006A7769"/>
    <w:rsid w:val="006B20D5"/>
    <w:rsid w:val="006B2EA3"/>
    <w:rsid w:val="006B34F6"/>
    <w:rsid w:val="006B4952"/>
    <w:rsid w:val="006B59AB"/>
    <w:rsid w:val="006B5EA1"/>
    <w:rsid w:val="006B62C2"/>
    <w:rsid w:val="006B6316"/>
    <w:rsid w:val="006B6C2F"/>
    <w:rsid w:val="006B7F10"/>
    <w:rsid w:val="006C042B"/>
    <w:rsid w:val="006C2543"/>
    <w:rsid w:val="006C2A45"/>
    <w:rsid w:val="006C323A"/>
    <w:rsid w:val="006C4042"/>
    <w:rsid w:val="006C56D9"/>
    <w:rsid w:val="006C5AB4"/>
    <w:rsid w:val="006C6530"/>
    <w:rsid w:val="006C6C85"/>
    <w:rsid w:val="006C700A"/>
    <w:rsid w:val="006C7C59"/>
    <w:rsid w:val="006D0312"/>
    <w:rsid w:val="006D05B4"/>
    <w:rsid w:val="006D06D5"/>
    <w:rsid w:val="006D103C"/>
    <w:rsid w:val="006D214E"/>
    <w:rsid w:val="006D2DEA"/>
    <w:rsid w:val="006D2E9C"/>
    <w:rsid w:val="006D30BC"/>
    <w:rsid w:val="006D32F5"/>
    <w:rsid w:val="006D382D"/>
    <w:rsid w:val="006D3B60"/>
    <w:rsid w:val="006D5689"/>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77"/>
    <w:rsid w:val="006F3496"/>
    <w:rsid w:val="006F4633"/>
    <w:rsid w:val="006F5AC8"/>
    <w:rsid w:val="006F5F50"/>
    <w:rsid w:val="006F71FE"/>
    <w:rsid w:val="006F721C"/>
    <w:rsid w:val="006F7A75"/>
    <w:rsid w:val="007004C1"/>
    <w:rsid w:val="007019E2"/>
    <w:rsid w:val="00703B54"/>
    <w:rsid w:val="00703F7A"/>
    <w:rsid w:val="00704218"/>
    <w:rsid w:val="0070472C"/>
    <w:rsid w:val="00706102"/>
    <w:rsid w:val="00706B38"/>
    <w:rsid w:val="007106B3"/>
    <w:rsid w:val="00711356"/>
    <w:rsid w:val="00711986"/>
    <w:rsid w:val="007121CF"/>
    <w:rsid w:val="00713D33"/>
    <w:rsid w:val="00714A7B"/>
    <w:rsid w:val="00716375"/>
    <w:rsid w:val="007170E9"/>
    <w:rsid w:val="00717B21"/>
    <w:rsid w:val="00721876"/>
    <w:rsid w:val="00721D18"/>
    <w:rsid w:val="00722FC8"/>
    <w:rsid w:val="00723928"/>
    <w:rsid w:val="007240F9"/>
    <w:rsid w:val="00724763"/>
    <w:rsid w:val="007303C2"/>
    <w:rsid w:val="0073139F"/>
    <w:rsid w:val="007321C1"/>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414B"/>
    <w:rsid w:val="007552A7"/>
    <w:rsid w:val="007566E2"/>
    <w:rsid w:val="00757FC1"/>
    <w:rsid w:val="00760265"/>
    <w:rsid w:val="007607FF"/>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50D4"/>
    <w:rsid w:val="007753D3"/>
    <w:rsid w:val="00775725"/>
    <w:rsid w:val="00775864"/>
    <w:rsid w:val="00776280"/>
    <w:rsid w:val="0078129F"/>
    <w:rsid w:val="007816DE"/>
    <w:rsid w:val="00781798"/>
    <w:rsid w:val="00781A2A"/>
    <w:rsid w:val="00784228"/>
    <w:rsid w:val="0078424E"/>
    <w:rsid w:val="0079003B"/>
    <w:rsid w:val="00791F35"/>
    <w:rsid w:val="0079398D"/>
    <w:rsid w:val="00797959"/>
    <w:rsid w:val="007A0298"/>
    <w:rsid w:val="007A07F3"/>
    <w:rsid w:val="007A0EED"/>
    <w:rsid w:val="007A18BC"/>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77B"/>
    <w:rsid w:val="007B1F48"/>
    <w:rsid w:val="007B2234"/>
    <w:rsid w:val="007B29C8"/>
    <w:rsid w:val="007B3AF9"/>
    <w:rsid w:val="007B4190"/>
    <w:rsid w:val="007B5A22"/>
    <w:rsid w:val="007B7795"/>
    <w:rsid w:val="007C11F3"/>
    <w:rsid w:val="007C1E2E"/>
    <w:rsid w:val="007C2A5B"/>
    <w:rsid w:val="007C2F2F"/>
    <w:rsid w:val="007C32E6"/>
    <w:rsid w:val="007C3BD4"/>
    <w:rsid w:val="007C4071"/>
    <w:rsid w:val="007C551E"/>
    <w:rsid w:val="007C5E69"/>
    <w:rsid w:val="007C6103"/>
    <w:rsid w:val="007C6B04"/>
    <w:rsid w:val="007C7079"/>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84A"/>
    <w:rsid w:val="007E1F6F"/>
    <w:rsid w:val="007E2BD2"/>
    <w:rsid w:val="007E5F41"/>
    <w:rsid w:val="007E6311"/>
    <w:rsid w:val="007E6CF2"/>
    <w:rsid w:val="007F03A5"/>
    <w:rsid w:val="007F0BE0"/>
    <w:rsid w:val="007F1EB4"/>
    <w:rsid w:val="007F5493"/>
    <w:rsid w:val="007F575C"/>
    <w:rsid w:val="007F5B53"/>
    <w:rsid w:val="007F60D5"/>
    <w:rsid w:val="007F61C8"/>
    <w:rsid w:val="007F6DC7"/>
    <w:rsid w:val="0080075E"/>
    <w:rsid w:val="00802948"/>
    <w:rsid w:val="00802AAC"/>
    <w:rsid w:val="0080324C"/>
    <w:rsid w:val="00803BA5"/>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710"/>
    <w:rsid w:val="0081749C"/>
    <w:rsid w:val="00817ADF"/>
    <w:rsid w:val="00820427"/>
    <w:rsid w:val="00821045"/>
    <w:rsid w:val="0082111F"/>
    <w:rsid w:val="008216A5"/>
    <w:rsid w:val="00821BA2"/>
    <w:rsid w:val="00822824"/>
    <w:rsid w:val="008228B9"/>
    <w:rsid w:val="00824639"/>
    <w:rsid w:val="008256B0"/>
    <w:rsid w:val="00826479"/>
    <w:rsid w:val="0082672E"/>
    <w:rsid w:val="00826C95"/>
    <w:rsid w:val="00826CD6"/>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467"/>
    <w:rsid w:val="00843A87"/>
    <w:rsid w:val="00843C41"/>
    <w:rsid w:val="00843DDE"/>
    <w:rsid w:val="00843FE7"/>
    <w:rsid w:val="0084500E"/>
    <w:rsid w:val="00845138"/>
    <w:rsid w:val="008455FB"/>
    <w:rsid w:val="0084584F"/>
    <w:rsid w:val="008479F5"/>
    <w:rsid w:val="00847DB4"/>
    <w:rsid w:val="00850403"/>
    <w:rsid w:val="00850BC8"/>
    <w:rsid w:val="00850E33"/>
    <w:rsid w:val="0085172A"/>
    <w:rsid w:val="008536B3"/>
    <w:rsid w:val="008547BF"/>
    <w:rsid w:val="0085569C"/>
    <w:rsid w:val="00856715"/>
    <w:rsid w:val="0085674D"/>
    <w:rsid w:val="00856DC0"/>
    <w:rsid w:val="00860446"/>
    <w:rsid w:val="008607CA"/>
    <w:rsid w:val="00861CE7"/>
    <w:rsid w:val="00862611"/>
    <w:rsid w:val="00862E46"/>
    <w:rsid w:val="00864D01"/>
    <w:rsid w:val="00865BFC"/>
    <w:rsid w:val="00870585"/>
    <w:rsid w:val="0087254B"/>
    <w:rsid w:val="0087394A"/>
    <w:rsid w:val="00873EAC"/>
    <w:rsid w:val="00874D32"/>
    <w:rsid w:val="008755B1"/>
    <w:rsid w:val="00875F7F"/>
    <w:rsid w:val="00880D1C"/>
    <w:rsid w:val="00880EB6"/>
    <w:rsid w:val="00881B84"/>
    <w:rsid w:val="00882D57"/>
    <w:rsid w:val="00884C73"/>
    <w:rsid w:val="00885795"/>
    <w:rsid w:val="00885CC3"/>
    <w:rsid w:val="00886362"/>
    <w:rsid w:val="008876A3"/>
    <w:rsid w:val="008877DD"/>
    <w:rsid w:val="00887DFB"/>
    <w:rsid w:val="00891F76"/>
    <w:rsid w:val="00892329"/>
    <w:rsid w:val="0089283A"/>
    <w:rsid w:val="00892ADC"/>
    <w:rsid w:val="008931DF"/>
    <w:rsid w:val="00893813"/>
    <w:rsid w:val="008957F7"/>
    <w:rsid w:val="0089658C"/>
    <w:rsid w:val="00897000"/>
    <w:rsid w:val="0089796A"/>
    <w:rsid w:val="008A06A4"/>
    <w:rsid w:val="008A0739"/>
    <w:rsid w:val="008A2458"/>
    <w:rsid w:val="008A3682"/>
    <w:rsid w:val="008A5D30"/>
    <w:rsid w:val="008A66B8"/>
    <w:rsid w:val="008A7EED"/>
    <w:rsid w:val="008B0953"/>
    <w:rsid w:val="008B25E6"/>
    <w:rsid w:val="008B2B1D"/>
    <w:rsid w:val="008B3358"/>
    <w:rsid w:val="008B5009"/>
    <w:rsid w:val="008B5D80"/>
    <w:rsid w:val="008B6C0C"/>
    <w:rsid w:val="008B7C8C"/>
    <w:rsid w:val="008B7E45"/>
    <w:rsid w:val="008C0552"/>
    <w:rsid w:val="008C1237"/>
    <w:rsid w:val="008C1D9E"/>
    <w:rsid w:val="008C2981"/>
    <w:rsid w:val="008C64FB"/>
    <w:rsid w:val="008C7048"/>
    <w:rsid w:val="008C771B"/>
    <w:rsid w:val="008C77A4"/>
    <w:rsid w:val="008D0DB7"/>
    <w:rsid w:val="008D175E"/>
    <w:rsid w:val="008D2DAF"/>
    <w:rsid w:val="008D3E6F"/>
    <w:rsid w:val="008D4EEC"/>
    <w:rsid w:val="008D5B0C"/>
    <w:rsid w:val="008D5BFC"/>
    <w:rsid w:val="008E1C91"/>
    <w:rsid w:val="008E2EFF"/>
    <w:rsid w:val="008E3B9E"/>
    <w:rsid w:val="008E4AFF"/>
    <w:rsid w:val="008E4E0F"/>
    <w:rsid w:val="008E5935"/>
    <w:rsid w:val="008E5E49"/>
    <w:rsid w:val="008E725C"/>
    <w:rsid w:val="008E738E"/>
    <w:rsid w:val="008F0A84"/>
    <w:rsid w:val="008F0CC3"/>
    <w:rsid w:val="008F175B"/>
    <w:rsid w:val="008F44C7"/>
    <w:rsid w:val="008F46A2"/>
    <w:rsid w:val="008F5035"/>
    <w:rsid w:val="008F5056"/>
    <w:rsid w:val="008F5A80"/>
    <w:rsid w:val="008F5CC0"/>
    <w:rsid w:val="008F6954"/>
    <w:rsid w:val="008F721D"/>
    <w:rsid w:val="008F7E0B"/>
    <w:rsid w:val="00900C2F"/>
    <w:rsid w:val="0090408F"/>
    <w:rsid w:val="009066DC"/>
    <w:rsid w:val="00906F8A"/>
    <w:rsid w:val="0091032F"/>
    <w:rsid w:val="009104E4"/>
    <w:rsid w:val="00910A37"/>
    <w:rsid w:val="00911C4C"/>
    <w:rsid w:val="00912421"/>
    <w:rsid w:val="00913EA0"/>
    <w:rsid w:val="00915570"/>
    <w:rsid w:val="0091611D"/>
    <w:rsid w:val="00916267"/>
    <w:rsid w:val="00917373"/>
    <w:rsid w:val="009173A3"/>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CF5"/>
    <w:rsid w:val="00933F00"/>
    <w:rsid w:val="00935401"/>
    <w:rsid w:val="00935BE0"/>
    <w:rsid w:val="00936A9D"/>
    <w:rsid w:val="0094003A"/>
    <w:rsid w:val="0094004A"/>
    <w:rsid w:val="00940404"/>
    <w:rsid w:val="009414BA"/>
    <w:rsid w:val="00941868"/>
    <w:rsid w:val="00942FCD"/>
    <w:rsid w:val="0094338B"/>
    <w:rsid w:val="009453D0"/>
    <w:rsid w:val="00945BC0"/>
    <w:rsid w:val="0094638E"/>
    <w:rsid w:val="00946A82"/>
    <w:rsid w:val="0095071A"/>
    <w:rsid w:val="00951071"/>
    <w:rsid w:val="0095158B"/>
    <w:rsid w:val="0095329E"/>
    <w:rsid w:val="0095333C"/>
    <w:rsid w:val="00953610"/>
    <w:rsid w:val="00953F1C"/>
    <w:rsid w:val="009544D9"/>
    <w:rsid w:val="00955186"/>
    <w:rsid w:val="00955282"/>
    <w:rsid w:val="00956990"/>
    <w:rsid w:val="00956EE8"/>
    <w:rsid w:val="009570F6"/>
    <w:rsid w:val="00961028"/>
    <w:rsid w:val="00961615"/>
    <w:rsid w:val="009620C8"/>
    <w:rsid w:val="00962363"/>
    <w:rsid w:val="00964112"/>
    <w:rsid w:val="0096484B"/>
    <w:rsid w:val="00965C09"/>
    <w:rsid w:val="00965D28"/>
    <w:rsid w:val="009664BB"/>
    <w:rsid w:val="00966B06"/>
    <w:rsid w:val="00966B6A"/>
    <w:rsid w:val="0097057C"/>
    <w:rsid w:val="00970C2C"/>
    <w:rsid w:val="00971419"/>
    <w:rsid w:val="009715C5"/>
    <w:rsid w:val="00971AF2"/>
    <w:rsid w:val="00972322"/>
    <w:rsid w:val="009723B8"/>
    <w:rsid w:val="00972647"/>
    <w:rsid w:val="00973264"/>
    <w:rsid w:val="009742A2"/>
    <w:rsid w:val="009755BB"/>
    <w:rsid w:val="0098096E"/>
    <w:rsid w:val="009817A0"/>
    <w:rsid w:val="00982089"/>
    <w:rsid w:val="0098281C"/>
    <w:rsid w:val="009833A0"/>
    <w:rsid w:val="0098397B"/>
    <w:rsid w:val="00983C0B"/>
    <w:rsid w:val="0098423D"/>
    <w:rsid w:val="00984871"/>
    <w:rsid w:val="009850E9"/>
    <w:rsid w:val="00985DFA"/>
    <w:rsid w:val="00985FC3"/>
    <w:rsid w:val="00986315"/>
    <w:rsid w:val="00986617"/>
    <w:rsid w:val="009911E3"/>
    <w:rsid w:val="00991869"/>
    <w:rsid w:val="00992201"/>
    <w:rsid w:val="00993C0B"/>
    <w:rsid w:val="00993E24"/>
    <w:rsid w:val="00994416"/>
    <w:rsid w:val="0099454D"/>
    <w:rsid w:val="00994575"/>
    <w:rsid w:val="00994B4C"/>
    <w:rsid w:val="00994E42"/>
    <w:rsid w:val="00995178"/>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206F"/>
    <w:rsid w:val="009B32A8"/>
    <w:rsid w:val="009B3DF0"/>
    <w:rsid w:val="009B5C25"/>
    <w:rsid w:val="009B5F6F"/>
    <w:rsid w:val="009B66E7"/>
    <w:rsid w:val="009B7A7F"/>
    <w:rsid w:val="009B7A90"/>
    <w:rsid w:val="009B7BA4"/>
    <w:rsid w:val="009B7F07"/>
    <w:rsid w:val="009C1007"/>
    <w:rsid w:val="009C1F6E"/>
    <w:rsid w:val="009C2514"/>
    <w:rsid w:val="009C29E2"/>
    <w:rsid w:val="009C3C03"/>
    <w:rsid w:val="009C3C6C"/>
    <w:rsid w:val="009C3EBA"/>
    <w:rsid w:val="009C4C61"/>
    <w:rsid w:val="009C5377"/>
    <w:rsid w:val="009C58A2"/>
    <w:rsid w:val="009C611D"/>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9CC"/>
    <w:rsid w:val="00A13EDB"/>
    <w:rsid w:val="00A14C4D"/>
    <w:rsid w:val="00A14C72"/>
    <w:rsid w:val="00A15845"/>
    <w:rsid w:val="00A16B48"/>
    <w:rsid w:val="00A17B52"/>
    <w:rsid w:val="00A2021A"/>
    <w:rsid w:val="00A20D43"/>
    <w:rsid w:val="00A21110"/>
    <w:rsid w:val="00A2141C"/>
    <w:rsid w:val="00A21B16"/>
    <w:rsid w:val="00A22115"/>
    <w:rsid w:val="00A22294"/>
    <w:rsid w:val="00A22D76"/>
    <w:rsid w:val="00A2438C"/>
    <w:rsid w:val="00A24D47"/>
    <w:rsid w:val="00A25EAE"/>
    <w:rsid w:val="00A271E8"/>
    <w:rsid w:val="00A30370"/>
    <w:rsid w:val="00A31056"/>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8FF"/>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8F"/>
    <w:rsid w:val="00A72FD2"/>
    <w:rsid w:val="00A7420A"/>
    <w:rsid w:val="00A74D3C"/>
    <w:rsid w:val="00A7550A"/>
    <w:rsid w:val="00A75DB1"/>
    <w:rsid w:val="00A760CB"/>
    <w:rsid w:val="00A761C2"/>
    <w:rsid w:val="00A76BBD"/>
    <w:rsid w:val="00A76D29"/>
    <w:rsid w:val="00A81335"/>
    <w:rsid w:val="00A816A1"/>
    <w:rsid w:val="00A816E2"/>
    <w:rsid w:val="00A81ADF"/>
    <w:rsid w:val="00A82026"/>
    <w:rsid w:val="00A8229A"/>
    <w:rsid w:val="00A82952"/>
    <w:rsid w:val="00A82ABC"/>
    <w:rsid w:val="00A83B44"/>
    <w:rsid w:val="00A86383"/>
    <w:rsid w:val="00A86960"/>
    <w:rsid w:val="00A869B7"/>
    <w:rsid w:val="00A86B01"/>
    <w:rsid w:val="00A87B06"/>
    <w:rsid w:val="00A91267"/>
    <w:rsid w:val="00A91A54"/>
    <w:rsid w:val="00A91B7E"/>
    <w:rsid w:val="00A94247"/>
    <w:rsid w:val="00A96F13"/>
    <w:rsid w:val="00AA00E5"/>
    <w:rsid w:val="00AA0118"/>
    <w:rsid w:val="00AA1080"/>
    <w:rsid w:val="00AA16D3"/>
    <w:rsid w:val="00AA18CA"/>
    <w:rsid w:val="00AA1D98"/>
    <w:rsid w:val="00AA3063"/>
    <w:rsid w:val="00AA3BFA"/>
    <w:rsid w:val="00AA4BCE"/>
    <w:rsid w:val="00AA5A0A"/>
    <w:rsid w:val="00AA5E84"/>
    <w:rsid w:val="00AA725C"/>
    <w:rsid w:val="00AA7570"/>
    <w:rsid w:val="00AB02D5"/>
    <w:rsid w:val="00AB18DF"/>
    <w:rsid w:val="00AB3274"/>
    <w:rsid w:val="00AB34A5"/>
    <w:rsid w:val="00AB3AA4"/>
    <w:rsid w:val="00AB3E05"/>
    <w:rsid w:val="00AB6831"/>
    <w:rsid w:val="00AB7A0E"/>
    <w:rsid w:val="00AC0409"/>
    <w:rsid w:val="00AC0C60"/>
    <w:rsid w:val="00AC1643"/>
    <w:rsid w:val="00AC178D"/>
    <w:rsid w:val="00AC1897"/>
    <w:rsid w:val="00AC1A52"/>
    <w:rsid w:val="00AC2E63"/>
    <w:rsid w:val="00AC2EA5"/>
    <w:rsid w:val="00AC3A70"/>
    <w:rsid w:val="00AC4BEF"/>
    <w:rsid w:val="00AC4C17"/>
    <w:rsid w:val="00AC63F8"/>
    <w:rsid w:val="00AC7144"/>
    <w:rsid w:val="00AC75AF"/>
    <w:rsid w:val="00AC7AD3"/>
    <w:rsid w:val="00AD00DB"/>
    <w:rsid w:val="00AD2002"/>
    <w:rsid w:val="00AD20FC"/>
    <w:rsid w:val="00AD26BC"/>
    <w:rsid w:val="00AD340C"/>
    <w:rsid w:val="00AD3849"/>
    <w:rsid w:val="00AD3D18"/>
    <w:rsid w:val="00AD4D41"/>
    <w:rsid w:val="00AD4DD2"/>
    <w:rsid w:val="00AD6114"/>
    <w:rsid w:val="00AD74EC"/>
    <w:rsid w:val="00AE01B3"/>
    <w:rsid w:val="00AE0CFD"/>
    <w:rsid w:val="00AE16D0"/>
    <w:rsid w:val="00AE1978"/>
    <w:rsid w:val="00AE1B97"/>
    <w:rsid w:val="00AE1DA8"/>
    <w:rsid w:val="00AE26E8"/>
    <w:rsid w:val="00AE3855"/>
    <w:rsid w:val="00AE43E3"/>
    <w:rsid w:val="00AE4D94"/>
    <w:rsid w:val="00AE5612"/>
    <w:rsid w:val="00AE6664"/>
    <w:rsid w:val="00AE6A4B"/>
    <w:rsid w:val="00AE6EED"/>
    <w:rsid w:val="00AE74AC"/>
    <w:rsid w:val="00AE7D43"/>
    <w:rsid w:val="00AE7F1F"/>
    <w:rsid w:val="00AF11E6"/>
    <w:rsid w:val="00AF2614"/>
    <w:rsid w:val="00AF3290"/>
    <w:rsid w:val="00AF4155"/>
    <w:rsid w:val="00AF78B2"/>
    <w:rsid w:val="00AF7F35"/>
    <w:rsid w:val="00B005A5"/>
    <w:rsid w:val="00B01853"/>
    <w:rsid w:val="00B0186D"/>
    <w:rsid w:val="00B0274C"/>
    <w:rsid w:val="00B02758"/>
    <w:rsid w:val="00B02B5A"/>
    <w:rsid w:val="00B0302F"/>
    <w:rsid w:val="00B036CF"/>
    <w:rsid w:val="00B03790"/>
    <w:rsid w:val="00B03C45"/>
    <w:rsid w:val="00B03CDC"/>
    <w:rsid w:val="00B04B8A"/>
    <w:rsid w:val="00B04BFB"/>
    <w:rsid w:val="00B0779F"/>
    <w:rsid w:val="00B104AA"/>
    <w:rsid w:val="00B10972"/>
    <w:rsid w:val="00B11872"/>
    <w:rsid w:val="00B13758"/>
    <w:rsid w:val="00B13979"/>
    <w:rsid w:val="00B15E4F"/>
    <w:rsid w:val="00B2012B"/>
    <w:rsid w:val="00B204EF"/>
    <w:rsid w:val="00B20B29"/>
    <w:rsid w:val="00B20CB9"/>
    <w:rsid w:val="00B20D52"/>
    <w:rsid w:val="00B2167C"/>
    <w:rsid w:val="00B22598"/>
    <w:rsid w:val="00B24691"/>
    <w:rsid w:val="00B246D3"/>
    <w:rsid w:val="00B24DB4"/>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0FDE"/>
    <w:rsid w:val="00B71DDB"/>
    <w:rsid w:val="00B72B4C"/>
    <w:rsid w:val="00B74539"/>
    <w:rsid w:val="00B74829"/>
    <w:rsid w:val="00B74D87"/>
    <w:rsid w:val="00B75DE1"/>
    <w:rsid w:val="00B76658"/>
    <w:rsid w:val="00B76EAC"/>
    <w:rsid w:val="00B81B80"/>
    <w:rsid w:val="00B81D7F"/>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61"/>
    <w:rsid w:val="00B979E2"/>
    <w:rsid w:val="00B97D1F"/>
    <w:rsid w:val="00B97E9D"/>
    <w:rsid w:val="00BA1740"/>
    <w:rsid w:val="00BA25DB"/>
    <w:rsid w:val="00BA316F"/>
    <w:rsid w:val="00BA321A"/>
    <w:rsid w:val="00BA38E0"/>
    <w:rsid w:val="00BA3C64"/>
    <w:rsid w:val="00BA4649"/>
    <w:rsid w:val="00BA51C2"/>
    <w:rsid w:val="00BA5A55"/>
    <w:rsid w:val="00BA619F"/>
    <w:rsid w:val="00BA7D43"/>
    <w:rsid w:val="00BB02EB"/>
    <w:rsid w:val="00BB08FA"/>
    <w:rsid w:val="00BB0940"/>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15BE"/>
    <w:rsid w:val="00BD23DC"/>
    <w:rsid w:val="00BD2E19"/>
    <w:rsid w:val="00BD33A0"/>
    <w:rsid w:val="00BD3BF3"/>
    <w:rsid w:val="00BD5316"/>
    <w:rsid w:val="00BD578E"/>
    <w:rsid w:val="00BD6613"/>
    <w:rsid w:val="00BD7A29"/>
    <w:rsid w:val="00BE1F49"/>
    <w:rsid w:val="00BE32FA"/>
    <w:rsid w:val="00BE41BE"/>
    <w:rsid w:val="00BE4EBB"/>
    <w:rsid w:val="00BE59AF"/>
    <w:rsid w:val="00BE6F8C"/>
    <w:rsid w:val="00BE735F"/>
    <w:rsid w:val="00BF0B0F"/>
    <w:rsid w:val="00BF150A"/>
    <w:rsid w:val="00BF19FD"/>
    <w:rsid w:val="00BF2D38"/>
    <w:rsid w:val="00BF30A5"/>
    <w:rsid w:val="00BF3210"/>
    <w:rsid w:val="00BF3B09"/>
    <w:rsid w:val="00BF449C"/>
    <w:rsid w:val="00BF4A06"/>
    <w:rsid w:val="00BF4B27"/>
    <w:rsid w:val="00BF6721"/>
    <w:rsid w:val="00BF74AB"/>
    <w:rsid w:val="00C007ED"/>
    <w:rsid w:val="00C02DA8"/>
    <w:rsid w:val="00C03270"/>
    <w:rsid w:val="00C03937"/>
    <w:rsid w:val="00C03D5B"/>
    <w:rsid w:val="00C03D8E"/>
    <w:rsid w:val="00C044EA"/>
    <w:rsid w:val="00C048FB"/>
    <w:rsid w:val="00C04CFA"/>
    <w:rsid w:val="00C06D3A"/>
    <w:rsid w:val="00C074A8"/>
    <w:rsid w:val="00C076EF"/>
    <w:rsid w:val="00C07714"/>
    <w:rsid w:val="00C1262A"/>
    <w:rsid w:val="00C1444A"/>
    <w:rsid w:val="00C144BA"/>
    <w:rsid w:val="00C15E59"/>
    <w:rsid w:val="00C15E84"/>
    <w:rsid w:val="00C16C84"/>
    <w:rsid w:val="00C17537"/>
    <w:rsid w:val="00C20D1A"/>
    <w:rsid w:val="00C21DB4"/>
    <w:rsid w:val="00C224CD"/>
    <w:rsid w:val="00C2391D"/>
    <w:rsid w:val="00C24239"/>
    <w:rsid w:val="00C25539"/>
    <w:rsid w:val="00C25B4A"/>
    <w:rsid w:val="00C25C2B"/>
    <w:rsid w:val="00C264E6"/>
    <w:rsid w:val="00C2744F"/>
    <w:rsid w:val="00C33ABF"/>
    <w:rsid w:val="00C33D5F"/>
    <w:rsid w:val="00C34648"/>
    <w:rsid w:val="00C34717"/>
    <w:rsid w:val="00C34D95"/>
    <w:rsid w:val="00C34F84"/>
    <w:rsid w:val="00C357EB"/>
    <w:rsid w:val="00C359C0"/>
    <w:rsid w:val="00C363FF"/>
    <w:rsid w:val="00C37015"/>
    <w:rsid w:val="00C37DD4"/>
    <w:rsid w:val="00C40072"/>
    <w:rsid w:val="00C408BD"/>
    <w:rsid w:val="00C40CA2"/>
    <w:rsid w:val="00C4213E"/>
    <w:rsid w:val="00C434BB"/>
    <w:rsid w:val="00C438D5"/>
    <w:rsid w:val="00C45741"/>
    <w:rsid w:val="00C458ED"/>
    <w:rsid w:val="00C4699F"/>
    <w:rsid w:val="00C4711A"/>
    <w:rsid w:val="00C472A3"/>
    <w:rsid w:val="00C474D5"/>
    <w:rsid w:val="00C50C4A"/>
    <w:rsid w:val="00C524B1"/>
    <w:rsid w:val="00C53623"/>
    <w:rsid w:val="00C53D6E"/>
    <w:rsid w:val="00C544EF"/>
    <w:rsid w:val="00C54B07"/>
    <w:rsid w:val="00C56B9D"/>
    <w:rsid w:val="00C56D79"/>
    <w:rsid w:val="00C5722A"/>
    <w:rsid w:val="00C60706"/>
    <w:rsid w:val="00C61A1B"/>
    <w:rsid w:val="00C63151"/>
    <w:rsid w:val="00C6464D"/>
    <w:rsid w:val="00C648D3"/>
    <w:rsid w:val="00C64FE6"/>
    <w:rsid w:val="00C66AE3"/>
    <w:rsid w:val="00C67BE9"/>
    <w:rsid w:val="00C70E74"/>
    <w:rsid w:val="00C7112B"/>
    <w:rsid w:val="00C71217"/>
    <w:rsid w:val="00C72672"/>
    <w:rsid w:val="00C72DBC"/>
    <w:rsid w:val="00C73A09"/>
    <w:rsid w:val="00C74041"/>
    <w:rsid w:val="00C75F5C"/>
    <w:rsid w:val="00C76B39"/>
    <w:rsid w:val="00C76F57"/>
    <w:rsid w:val="00C77891"/>
    <w:rsid w:val="00C8081E"/>
    <w:rsid w:val="00C8194B"/>
    <w:rsid w:val="00C82A88"/>
    <w:rsid w:val="00C831A1"/>
    <w:rsid w:val="00C84ACF"/>
    <w:rsid w:val="00C8510F"/>
    <w:rsid w:val="00C856C4"/>
    <w:rsid w:val="00C8634C"/>
    <w:rsid w:val="00C86F92"/>
    <w:rsid w:val="00C87FD1"/>
    <w:rsid w:val="00C90072"/>
    <w:rsid w:val="00C900F8"/>
    <w:rsid w:val="00C90803"/>
    <w:rsid w:val="00C91B57"/>
    <w:rsid w:val="00C92EEA"/>
    <w:rsid w:val="00C93209"/>
    <w:rsid w:val="00C9533B"/>
    <w:rsid w:val="00C95A92"/>
    <w:rsid w:val="00C9752E"/>
    <w:rsid w:val="00CA14A2"/>
    <w:rsid w:val="00CA1662"/>
    <w:rsid w:val="00CA236A"/>
    <w:rsid w:val="00CA2ACE"/>
    <w:rsid w:val="00CA5311"/>
    <w:rsid w:val="00CA597B"/>
    <w:rsid w:val="00CA6E89"/>
    <w:rsid w:val="00CB0748"/>
    <w:rsid w:val="00CB18BD"/>
    <w:rsid w:val="00CB1B09"/>
    <w:rsid w:val="00CB232C"/>
    <w:rsid w:val="00CB2D79"/>
    <w:rsid w:val="00CB2E90"/>
    <w:rsid w:val="00CB31D0"/>
    <w:rsid w:val="00CB3AE6"/>
    <w:rsid w:val="00CB4405"/>
    <w:rsid w:val="00CB4EF4"/>
    <w:rsid w:val="00CB51F6"/>
    <w:rsid w:val="00CB5BD0"/>
    <w:rsid w:val="00CB63F6"/>
    <w:rsid w:val="00CB6CF9"/>
    <w:rsid w:val="00CC042F"/>
    <w:rsid w:val="00CC11D6"/>
    <w:rsid w:val="00CC1A2E"/>
    <w:rsid w:val="00CC237A"/>
    <w:rsid w:val="00CC37A9"/>
    <w:rsid w:val="00CC456E"/>
    <w:rsid w:val="00CC5447"/>
    <w:rsid w:val="00CC5D7B"/>
    <w:rsid w:val="00CC74BC"/>
    <w:rsid w:val="00CD2332"/>
    <w:rsid w:val="00CD2668"/>
    <w:rsid w:val="00CD2FAC"/>
    <w:rsid w:val="00CD361B"/>
    <w:rsid w:val="00CD3879"/>
    <w:rsid w:val="00CD495B"/>
    <w:rsid w:val="00CD5C64"/>
    <w:rsid w:val="00CD611F"/>
    <w:rsid w:val="00CD6818"/>
    <w:rsid w:val="00CD7C0B"/>
    <w:rsid w:val="00CD7C6C"/>
    <w:rsid w:val="00CE0DA1"/>
    <w:rsid w:val="00CE1100"/>
    <w:rsid w:val="00CE2111"/>
    <w:rsid w:val="00CE3BDB"/>
    <w:rsid w:val="00CE4305"/>
    <w:rsid w:val="00CE44AB"/>
    <w:rsid w:val="00CE4BC6"/>
    <w:rsid w:val="00CE52BF"/>
    <w:rsid w:val="00CE698A"/>
    <w:rsid w:val="00CE6CDF"/>
    <w:rsid w:val="00CE70DB"/>
    <w:rsid w:val="00CE7D62"/>
    <w:rsid w:val="00CE7FEB"/>
    <w:rsid w:val="00CF001E"/>
    <w:rsid w:val="00CF2A1F"/>
    <w:rsid w:val="00CF3031"/>
    <w:rsid w:val="00CF363A"/>
    <w:rsid w:val="00CF4EA8"/>
    <w:rsid w:val="00CF50D5"/>
    <w:rsid w:val="00CF5C9B"/>
    <w:rsid w:val="00CF5CAA"/>
    <w:rsid w:val="00CF6662"/>
    <w:rsid w:val="00D01058"/>
    <w:rsid w:val="00D01136"/>
    <w:rsid w:val="00D01218"/>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422B"/>
    <w:rsid w:val="00D1756F"/>
    <w:rsid w:val="00D2047F"/>
    <w:rsid w:val="00D20BC2"/>
    <w:rsid w:val="00D2100C"/>
    <w:rsid w:val="00D21893"/>
    <w:rsid w:val="00D23183"/>
    <w:rsid w:val="00D23A71"/>
    <w:rsid w:val="00D23DB6"/>
    <w:rsid w:val="00D242FC"/>
    <w:rsid w:val="00D24F90"/>
    <w:rsid w:val="00D26400"/>
    <w:rsid w:val="00D264F9"/>
    <w:rsid w:val="00D26E9A"/>
    <w:rsid w:val="00D270C3"/>
    <w:rsid w:val="00D31768"/>
    <w:rsid w:val="00D330DB"/>
    <w:rsid w:val="00D33C2D"/>
    <w:rsid w:val="00D344FD"/>
    <w:rsid w:val="00D34682"/>
    <w:rsid w:val="00D35E6A"/>
    <w:rsid w:val="00D36138"/>
    <w:rsid w:val="00D361F7"/>
    <w:rsid w:val="00D367A3"/>
    <w:rsid w:val="00D36F7E"/>
    <w:rsid w:val="00D379C7"/>
    <w:rsid w:val="00D37A4D"/>
    <w:rsid w:val="00D37BDA"/>
    <w:rsid w:val="00D40A97"/>
    <w:rsid w:val="00D41D8D"/>
    <w:rsid w:val="00D42370"/>
    <w:rsid w:val="00D42755"/>
    <w:rsid w:val="00D44DC2"/>
    <w:rsid w:val="00D46FE0"/>
    <w:rsid w:val="00D51C08"/>
    <w:rsid w:val="00D51F3E"/>
    <w:rsid w:val="00D554DE"/>
    <w:rsid w:val="00D55644"/>
    <w:rsid w:val="00D55D74"/>
    <w:rsid w:val="00D568D6"/>
    <w:rsid w:val="00D6016F"/>
    <w:rsid w:val="00D61012"/>
    <w:rsid w:val="00D613B2"/>
    <w:rsid w:val="00D61D4F"/>
    <w:rsid w:val="00D62526"/>
    <w:rsid w:val="00D62CEA"/>
    <w:rsid w:val="00D65B3B"/>
    <w:rsid w:val="00D66284"/>
    <w:rsid w:val="00D6655A"/>
    <w:rsid w:val="00D66E7E"/>
    <w:rsid w:val="00D7112C"/>
    <w:rsid w:val="00D73A27"/>
    <w:rsid w:val="00D73BEF"/>
    <w:rsid w:val="00D75375"/>
    <w:rsid w:val="00D75DD7"/>
    <w:rsid w:val="00D75F4C"/>
    <w:rsid w:val="00D7704E"/>
    <w:rsid w:val="00D77F99"/>
    <w:rsid w:val="00D80DD2"/>
    <w:rsid w:val="00D8461E"/>
    <w:rsid w:val="00D848AF"/>
    <w:rsid w:val="00D84D41"/>
    <w:rsid w:val="00D85201"/>
    <w:rsid w:val="00D85867"/>
    <w:rsid w:val="00D90438"/>
    <w:rsid w:val="00D90F7C"/>
    <w:rsid w:val="00D91BBB"/>
    <w:rsid w:val="00D92026"/>
    <w:rsid w:val="00D93737"/>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4762"/>
    <w:rsid w:val="00DB512D"/>
    <w:rsid w:val="00DB51D0"/>
    <w:rsid w:val="00DB630A"/>
    <w:rsid w:val="00DB6473"/>
    <w:rsid w:val="00DB6705"/>
    <w:rsid w:val="00DC1FC6"/>
    <w:rsid w:val="00DC3ED2"/>
    <w:rsid w:val="00DC4AE1"/>
    <w:rsid w:val="00DC5939"/>
    <w:rsid w:val="00DC6B38"/>
    <w:rsid w:val="00DC7235"/>
    <w:rsid w:val="00DC767D"/>
    <w:rsid w:val="00DC7A15"/>
    <w:rsid w:val="00DD0CDD"/>
    <w:rsid w:val="00DD1244"/>
    <w:rsid w:val="00DD1B5D"/>
    <w:rsid w:val="00DD26EA"/>
    <w:rsid w:val="00DD2A54"/>
    <w:rsid w:val="00DD2FC8"/>
    <w:rsid w:val="00DD35BB"/>
    <w:rsid w:val="00DD5EDD"/>
    <w:rsid w:val="00DD6B34"/>
    <w:rsid w:val="00DD7198"/>
    <w:rsid w:val="00DE0C6E"/>
    <w:rsid w:val="00DE3B48"/>
    <w:rsid w:val="00DE766D"/>
    <w:rsid w:val="00DF06D5"/>
    <w:rsid w:val="00DF06E1"/>
    <w:rsid w:val="00DF0FF1"/>
    <w:rsid w:val="00DF1557"/>
    <w:rsid w:val="00DF1AEF"/>
    <w:rsid w:val="00DF253B"/>
    <w:rsid w:val="00DF4505"/>
    <w:rsid w:val="00DF49C5"/>
    <w:rsid w:val="00DF6B72"/>
    <w:rsid w:val="00DF7223"/>
    <w:rsid w:val="00DF749E"/>
    <w:rsid w:val="00DF7523"/>
    <w:rsid w:val="00DF7988"/>
    <w:rsid w:val="00E0112E"/>
    <w:rsid w:val="00E01CEC"/>
    <w:rsid w:val="00E02056"/>
    <w:rsid w:val="00E036A6"/>
    <w:rsid w:val="00E037D5"/>
    <w:rsid w:val="00E046DC"/>
    <w:rsid w:val="00E05F80"/>
    <w:rsid w:val="00E0664E"/>
    <w:rsid w:val="00E07564"/>
    <w:rsid w:val="00E07EB9"/>
    <w:rsid w:val="00E10A87"/>
    <w:rsid w:val="00E114BC"/>
    <w:rsid w:val="00E11D50"/>
    <w:rsid w:val="00E13609"/>
    <w:rsid w:val="00E138AE"/>
    <w:rsid w:val="00E14B3C"/>
    <w:rsid w:val="00E16067"/>
    <w:rsid w:val="00E17A41"/>
    <w:rsid w:val="00E212E3"/>
    <w:rsid w:val="00E21EB3"/>
    <w:rsid w:val="00E22505"/>
    <w:rsid w:val="00E227F4"/>
    <w:rsid w:val="00E23903"/>
    <w:rsid w:val="00E23960"/>
    <w:rsid w:val="00E23F27"/>
    <w:rsid w:val="00E2465F"/>
    <w:rsid w:val="00E2575E"/>
    <w:rsid w:val="00E25E0D"/>
    <w:rsid w:val="00E2723D"/>
    <w:rsid w:val="00E27DAA"/>
    <w:rsid w:val="00E27FDC"/>
    <w:rsid w:val="00E303C9"/>
    <w:rsid w:val="00E30627"/>
    <w:rsid w:val="00E309C5"/>
    <w:rsid w:val="00E30E7D"/>
    <w:rsid w:val="00E31BA9"/>
    <w:rsid w:val="00E332F8"/>
    <w:rsid w:val="00E33659"/>
    <w:rsid w:val="00E40872"/>
    <w:rsid w:val="00E40AB9"/>
    <w:rsid w:val="00E41594"/>
    <w:rsid w:val="00E4296F"/>
    <w:rsid w:val="00E43896"/>
    <w:rsid w:val="00E44D88"/>
    <w:rsid w:val="00E46034"/>
    <w:rsid w:val="00E46A08"/>
    <w:rsid w:val="00E47864"/>
    <w:rsid w:val="00E47BE1"/>
    <w:rsid w:val="00E518FB"/>
    <w:rsid w:val="00E51911"/>
    <w:rsid w:val="00E56FE8"/>
    <w:rsid w:val="00E57C5E"/>
    <w:rsid w:val="00E57FE6"/>
    <w:rsid w:val="00E6057C"/>
    <w:rsid w:val="00E607A7"/>
    <w:rsid w:val="00E60C5E"/>
    <w:rsid w:val="00E631D5"/>
    <w:rsid w:val="00E637C3"/>
    <w:rsid w:val="00E63BD1"/>
    <w:rsid w:val="00E6435C"/>
    <w:rsid w:val="00E6467D"/>
    <w:rsid w:val="00E6495A"/>
    <w:rsid w:val="00E65AC4"/>
    <w:rsid w:val="00E66BCF"/>
    <w:rsid w:val="00E675EB"/>
    <w:rsid w:val="00E71342"/>
    <w:rsid w:val="00E71C55"/>
    <w:rsid w:val="00E7277A"/>
    <w:rsid w:val="00E728E4"/>
    <w:rsid w:val="00E74627"/>
    <w:rsid w:val="00E7538A"/>
    <w:rsid w:val="00E755BA"/>
    <w:rsid w:val="00E75F29"/>
    <w:rsid w:val="00E761F2"/>
    <w:rsid w:val="00E76F7A"/>
    <w:rsid w:val="00E77471"/>
    <w:rsid w:val="00E777FC"/>
    <w:rsid w:val="00E77878"/>
    <w:rsid w:val="00E82651"/>
    <w:rsid w:val="00E838CB"/>
    <w:rsid w:val="00E83B54"/>
    <w:rsid w:val="00E83DB2"/>
    <w:rsid w:val="00E840FB"/>
    <w:rsid w:val="00E8555A"/>
    <w:rsid w:val="00E85DAF"/>
    <w:rsid w:val="00E86A39"/>
    <w:rsid w:val="00E87038"/>
    <w:rsid w:val="00E8703F"/>
    <w:rsid w:val="00E87864"/>
    <w:rsid w:val="00E879DE"/>
    <w:rsid w:val="00E90EE7"/>
    <w:rsid w:val="00E91432"/>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14BA"/>
    <w:rsid w:val="00EA6401"/>
    <w:rsid w:val="00EA68DB"/>
    <w:rsid w:val="00EA6B0B"/>
    <w:rsid w:val="00EA7277"/>
    <w:rsid w:val="00EA7FFB"/>
    <w:rsid w:val="00EB01CF"/>
    <w:rsid w:val="00EB0764"/>
    <w:rsid w:val="00EB1322"/>
    <w:rsid w:val="00EB1A62"/>
    <w:rsid w:val="00EB3D08"/>
    <w:rsid w:val="00EB4FC8"/>
    <w:rsid w:val="00EB5350"/>
    <w:rsid w:val="00EB538F"/>
    <w:rsid w:val="00EB7672"/>
    <w:rsid w:val="00EB7A4C"/>
    <w:rsid w:val="00EC0DD8"/>
    <w:rsid w:val="00EC1093"/>
    <w:rsid w:val="00EC1729"/>
    <w:rsid w:val="00EC2A66"/>
    <w:rsid w:val="00EC3672"/>
    <w:rsid w:val="00EC44FF"/>
    <w:rsid w:val="00EC53C5"/>
    <w:rsid w:val="00ED0960"/>
    <w:rsid w:val="00ED3632"/>
    <w:rsid w:val="00ED3782"/>
    <w:rsid w:val="00ED56C1"/>
    <w:rsid w:val="00ED6961"/>
    <w:rsid w:val="00ED7CED"/>
    <w:rsid w:val="00ED7D80"/>
    <w:rsid w:val="00EE08BA"/>
    <w:rsid w:val="00EE0E79"/>
    <w:rsid w:val="00EE1F49"/>
    <w:rsid w:val="00EE1F87"/>
    <w:rsid w:val="00EE3720"/>
    <w:rsid w:val="00EE3F92"/>
    <w:rsid w:val="00EE4E4F"/>
    <w:rsid w:val="00EE68DF"/>
    <w:rsid w:val="00EE7634"/>
    <w:rsid w:val="00EF0783"/>
    <w:rsid w:val="00EF08C2"/>
    <w:rsid w:val="00EF0C92"/>
    <w:rsid w:val="00EF1AA0"/>
    <w:rsid w:val="00EF271D"/>
    <w:rsid w:val="00EF2887"/>
    <w:rsid w:val="00EF3C8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78C6"/>
    <w:rsid w:val="00F1070F"/>
    <w:rsid w:val="00F1280C"/>
    <w:rsid w:val="00F13BB5"/>
    <w:rsid w:val="00F141BC"/>
    <w:rsid w:val="00F14992"/>
    <w:rsid w:val="00F16A50"/>
    <w:rsid w:val="00F16F57"/>
    <w:rsid w:val="00F21456"/>
    <w:rsid w:val="00F21D20"/>
    <w:rsid w:val="00F22674"/>
    <w:rsid w:val="00F2297A"/>
    <w:rsid w:val="00F22B78"/>
    <w:rsid w:val="00F244F9"/>
    <w:rsid w:val="00F2487F"/>
    <w:rsid w:val="00F249A7"/>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A46"/>
    <w:rsid w:val="00F32CCE"/>
    <w:rsid w:val="00F336F8"/>
    <w:rsid w:val="00F37170"/>
    <w:rsid w:val="00F416A4"/>
    <w:rsid w:val="00F43040"/>
    <w:rsid w:val="00F430A9"/>
    <w:rsid w:val="00F436A2"/>
    <w:rsid w:val="00F43A4E"/>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4C03"/>
    <w:rsid w:val="00F564CD"/>
    <w:rsid w:val="00F57622"/>
    <w:rsid w:val="00F610A5"/>
    <w:rsid w:val="00F61702"/>
    <w:rsid w:val="00F627B6"/>
    <w:rsid w:val="00F62E71"/>
    <w:rsid w:val="00F6306C"/>
    <w:rsid w:val="00F630C8"/>
    <w:rsid w:val="00F64C12"/>
    <w:rsid w:val="00F6552D"/>
    <w:rsid w:val="00F6573B"/>
    <w:rsid w:val="00F667F5"/>
    <w:rsid w:val="00F67278"/>
    <w:rsid w:val="00F67ABE"/>
    <w:rsid w:val="00F710E9"/>
    <w:rsid w:val="00F733F0"/>
    <w:rsid w:val="00F745E2"/>
    <w:rsid w:val="00F75E36"/>
    <w:rsid w:val="00F75F28"/>
    <w:rsid w:val="00F76A72"/>
    <w:rsid w:val="00F76D12"/>
    <w:rsid w:val="00F77340"/>
    <w:rsid w:val="00F8042D"/>
    <w:rsid w:val="00F83267"/>
    <w:rsid w:val="00F85256"/>
    <w:rsid w:val="00F85A8F"/>
    <w:rsid w:val="00F8751C"/>
    <w:rsid w:val="00F87572"/>
    <w:rsid w:val="00F87CA2"/>
    <w:rsid w:val="00F87FF7"/>
    <w:rsid w:val="00F90C6D"/>
    <w:rsid w:val="00F911A7"/>
    <w:rsid w:val="00F91976"/>
    <w:rsid w:val="00F92C8D"/>
    <w:rsid w:val="00F92D86"/>
    <w:rsid w:val="00F931AD"/>
    <w:rsid w:val="00F95FE5"/>
    <w:rsid w:val="00F9641E"/>
    <w:rsid w:val="00F96E61"/>
    <w:rsid w:val="00F9741A"/>
    <w:rsid w:val="00FA1393"/>
    <w:rsid w:val="00FA18B4"/>
    <w:rsid w:val="00FA1F53"/>
    <w:rsid w:val="00FA2095"/>
    <w:rsid w:val="00FA244D"/>
    <w:rsid w:val="00FA31A6"/>
    <w:rsid w:val="00FA3AB4"/>
    <w:rsid w:val="00FA4EF6"/>
    <w:rsid w:val="00FA5600"/>
    <w:rsid w:val="00FA5992"/>
    <w:rsid w:val="00FA7224"/>
    <w:rsid w:val="00FA7C51"/>
    <w:rsid w:val="00FB1215"/>
    <w:rsid w:val="00FB2935"/>
    <w:rsid w:val="00FB3D8E"/>
    <w:rsid w:val="00FB4CB0"/>
    <w:rsid w:val="00FB608E"/>
    <w:rsid w:val="00FB6392"/>
    <w:rsid w:val="00FB6B49"/>
    <w:rsid w:val="00FC0A59"/>
    <w:rsid w:val="00FC149A"/>
    <w:rsid w:val="00FC3953"/>
    <w:rsid w:val="00FC39BA"/>
    <w:rsid w:val="00FC3DAC"/>
    <w:rsid w:val="00FC5864"/>
    <w:rsid w:val="00FC5A0A"/>
    <w:rsid w:val="00FC5CA0"/>
    <w:rsid w:val="00FC7208"/>
    <w:rsid w:val="00FC732E"/>
    <w:rsid w:val="00FD1428"/>
    <w:rsid w:val="00FD20C5"/>
    <w:rsid w:val="00FD2761"/>
    <w:rsid w:val="00FD2AA0"/>
    <w:rsid w:val="00FD2C3F"/>
    <w:rsid w:val="00FD3422"/>
    <w:rsid w:val="00FD37B5"/>
    <w:rsid w:val="00FD3EF9"/>
    <w:rsid w:val="00FD4568"/>
    <w:rsid w:val="00FD5B5E"/>
    <w:rsid w:val="00FD613E"/>
    <w:rsid w:val="00FD6F4D"/>
    <w:rsid w:val="00FD728F"/>
    <w:rsid w:val="00FD7324"/>
    <w:rsid w:val="00FD77C9"/>
    <w:rsid w:val="00FE0559"/>
    <w:rsid w:val="00FE05A0"/>
    <w:rsid w:val="00FE0B7D"/>
    <w:rsid w:val="00FE12FC"/>
    <w:rsid w:val="00FE3884"/>
    <w:rsid w:val="00FE3FCF"/>
    <w:rsid w:val="00FE7494"/>
    <w:rsid w:val="00FF025A"/>
    <w:rsid w:val="00FF2C7E"/>
    <w:rsid w:val="00FF2E19"/>
    <w:rsid w:val="00FF568F"/>
    <w:rsid w:val="00FF7091"/>
    <w:rsid w:val="00FF756F"/>
    <w:rsid w:val="2BA439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字符"/>
    <w:basedOn w:val="26"/>
    <w:link w:val="15"/>
    <w:semiHidden/>
    <w:qFormat/>
    <w:uiPriority w:val="99"/>
    <w:rPr>
      <w:rFonts w:ascii="华文仿宋" w:hAnsi="华文仿宋" w:eastAsia="华文仿宋"/>
      <w:sz w:val="28"/>
      <w:szCs w:val="28"/>
    </w:rPr>
  </w:style>
  <w:style w:type="character" w:customStyle="1" w:styleId="54">
    <w:name w:val="页眉 字符"/>
    <w:basedOn w:val="26"/>
    <w:link w:val="18"/>
    <w:qFormat/>
    <w:uiPriority w:val="0"/>
    <w:rPr>
      <w:rFonts w:ascii="华文仿宋" w:hAnsi="华文仿宋" w:eastAsia="华文仿宋"/>
      <w:sz w:val="18"/>
      <w:szCs w:val="18"/>
    </w:rPr>
  </w:style>
  <w:style w:type="character" w:customStyle="1" w:styleId="55">
    <w:name w:val="页脚 字符"/>
    <w:basedOn w:val="26"/>
    <w:link w:val="17"/>
    <w:qFormat/>
    <w:uiPriority w:val="99"/>
    <w:rPr>
      <w:rFonts w:ascii="华文仿宋" w:hAnsi="华文仿宋" w:eastAsia="华文仿宋"/>
      <w:sz w:val="18"/>
      <w:szCs w:val="18"/>
    </w:rPr>
  </w:style>
  <w:style w:type="character" w:customStyle="1" w:styleId="56">
    <w:name w:val="标题 1 字符"/>
    <w:basedOn w:val="26"/>
    <w:link w:val="2"/>
    <w:qFormat/>
    <w:uiPriority w:val="9"/>
    <w:rPr>
      <w:rFonts w:ascii="Calibri" w:hAnsi="Calibri" w:eastAsia="黑体"/>
      <w:bCs/>
      <w:kern w:val="36"/>
      <w:sz w:val="32"/>
      <w:szCs w:val="32"/>
    </w:rPr>
  </w:style>
  <w:style w:type="character" w:customStyle="1" w:styleId="57">
    <w:name w:val="标题 2 字符"/>
    <w:basedOn w:val="26"/>
    <w:link w:val="3"/>
    <w:qFormat/>
    <w:uiPriority w:val="9"/>
    <w:rPr>
      <w:rFonts w:ascii="Calibri" w:hAnsi="Calibri" w:eastAsia="黑体" w:cstheme="majorBidi"/>
      <w:bCs/>
      <w:iCs/>
      <w:kern w:val="32"/>
      <w:sz w:val="28"/>
      <w:szCs w:val="28"/>
    </w:rPr>
  </w:style>
  <w:style w:type="character" w:customStyle="1" w:styleId="58">
    <w:name w:val="标题 3 字符"/>
    <w:basedOn w:val="26"/>
    <w:link w:val="4"/>
    <w:qFormat/>
    <w:uiPriority w:val="9"/>
    <w:rPr>
      <w:rFonts w:ascii="Calibri Light" w:hAnsi="Calibri Light" w:eastAsia="宋体"/>
      <w:b/>
      <w:bCs/>
      <w:kern w:val="30"/>
      <w:sz w:val="24"/>
      <w:szCs w:val="26"/>
    </w:rPr>
  </w:style>
  <w:style w:type="character" w:customStyle="1" w:styleId="59">
    <w:name w:val="标题 4 字符"/>
    <w:basedOn w:val="26"/>
    <w:link w:val="5"/>
    <w:semiHidden/>
    <w:qFormat/>
    <w:uiPriority w:val="9"/>
    <w:rPr>
      <w:rFonts w:cstheme="majorBidi"/>
      <w:b/>
      <w:bCs/>
      <w:sz w:val="28"/>
      <w:szCs w:val="28"/>
    </w:rPr>
  </w:style>
  <w:style w:type="character" w:customStyle="1" w:styleId="60">
    <w:name w:val="标题 5 字符"/>
    <w:basedOn w:val="26"/>
    <w:link w:val="6"/>
    <w:semiHidden/>
    <w:qFormat/>
    <w:uiPriority w:val="9"/>
    <w:rPr>
      <w:b/>
      <w:bCs/>
      <w:i/>
      <w:iCs/>
      <w:sz w:val="26"/>
      <w:szCs w:val="26"/>
    </w:rPr>
  </w:style>
  <w:style w:type="character" w:customStyle="1" w:styleId="61">
    <w:name w:val="标题 6 字符"/>
    <w:basedOn w:val="26"/>
    <w:link w:val="7"/>
    <w:semiHidden/>
    <w:qFormat/>
    <w:uiPriority w:val="9"/>
    <w:rPr>
      <w:rFonts w:cstheme="majorBidi"/>
      <w:b/>
      <w:bCs/>
    </w:rPr>
  </w:style>
  <w:style w:type="character" w:customStyle="1" w:styleId="62">
    <w:name w:val="标题 7 字符"/>
    <w:basedOn w:val="26"/>
    <w:link w:val="8"/>
    <w:semiHidden/>
    <w:qFormat/>
    <w:uiPriority w:val="9"/>
    <w:rPr>
      <w:sz w:val="24"/>
      <w:szCs w:val="24"/>
    </w:rPr>
  </w:style>
  <w:style w:type="character" w:customStyle="1" w:styleId="63">
    <w:name w:val="标题 8 字符"/>
    <w:basedOn w:val="26"/>
    <w:link w:val="9"/>
    <w:semiHidden/>
    <w:qFormat/>
    <w:uiPriority w:val="9"/>
    <w:rPr>
      <w:rFonts w:cstheme="majorBidi"/>
      <w:i/>
      <w:iCs/>
      <w:sz w:val="24"/>
      <w:szCs w:val="24"/>
    </w:rPr>
  </w:style>
  <w:style w:type="character" w:customStyle="1" w:styleId="64">
    <w:name w:val="标题 9 字符"/>
    <w:basedOn w:val="26"/>
    <w:link w:val="10"/>
    <w:semiHidden/>
    <w:qFormat/>
    <w:uiPriority w:val="9"/>
    <w:rPr>
      <w:rFonts w:asciiTheme="majorHAnsi" w:hAnsiTheme="majorHAnsi" w:eastAsiaTheme="majorEastAsia" w:cstheme="majorBidi"/>
    </w:rPr>
  </w:style>
  <w:style w:type="character" w:customStyle="1" w:styleId="65">
    <w:name w:val="标题 字符"/>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字符"/>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字符"/>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字符"/>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字符"/>
    <w:basedOn w:val="26"/>
    <w:link w:val="16"/>
    <w:semiHidden/>
    <w:qFormat/>
    <w:uiPriority w:val="99"/>
    <w:rPr>
      <w:sz w:val="18"/>
      <w:szCs w:val="18"/>
    </w:rPr>
  </w:style>
  <w:style w:type="character" w:customStyle="1" w:styleId="80">
    <w:name w:val="批注文字 字符"/>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字符"/>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字符"/>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纯文本 字符"/>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D6B5B-6A67-436D-9928-529D5B42883B}">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68</Pages>
  <Words>4299</Words>
  <Characters>4902</Characters>
  <Lines>1058</Lines>
  <Paragraphs>1123</Paragraphs>
  <TotalTime>11</TotalTime>
  <ScaleCrop>false</ScaleCrop>
  <LinksUpToDate>false</LinksUpToDate>
  <CharactersWithSpaces>4956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2026-07-10T07:20:00Z</dcterms:created>
  <dc:creator>admin</dc:creator>
  <cp:lastModifiedBy>常巧利</cp:lastModifiedBy>
  <cp:lastPrinted>2026-07-10T07:23:00Z</cp:lastPrinted>
  <dcterms:modified xsi:type="dcterms:W3CDTF">2026-08-04T07:53:42Z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2361D82E622B42D6A08455A1A64E185C_13</vt:lpwstr>
  </property>
</Properties>
</file>