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F86F2">
      <w:pPr>
        <w:pStyle w:val="8"/>
        <w:jc w:val="left"/>
        <w:outlineLvl w:val="1"/>
        <w:rPr>
          <w:rFonts w:ascii="宋体" w:hAnsi="宋体" w:eastAsia="宋体" w:cs="宋体"/>
          <w:color w:val="000000" w:themeColor="text1"/>
          <w:sz w:val="15"/>
          <w:szCs w:val="15"/>
          <w14:textFill>
            <w14:solidFill>
              <w14:schemeClr w14:val="tx1"/>
            </w14:solidFill>
          </w14:textFill>
        </w:rPr>
      </w:pPr>
      <w:r>
        <w:rPr>
          <w:rFonts w:ascii="宋体" w:hAnsi="宋体" w:eastAsia="宋体" w:cs="宋体"/>
          <w:b/>
          <w:color w:val="000000" w:themeColor="text1"/>
          <w:sz w:val="24"/>
          <w:szCs w:val="15"/>
          <w14:textFill>
            <w14:solidFill>
              <w14:schemeClr w14:val="tx1"/>
            </w14:solidFill>
          </w14:textFill>
        </w:rPr>
        <w:t>拟签订采购合同文本</w:t>
      </w:r>
      <w:bookmarkStart w:id="24" w:name="_GoBack"/>
      <w:bookmarkEnd w:id="24"/>
    </w:p>
    <w:p w14:paraId="70C8C502">
      <w:pPr>
        <w:adjustRightInd w:val="0"/>
        <w:snapToGrid w:val="0"/>
        <w:jc w:val="center"/>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仪器设备购置合同</w:t>
      </w:r>
    </w:p>
    <w:p w14:paraId="613AC86C">
      <w:pPr>
        <w:adjustRightInd w:val="0"/>
        <w:snapToGrid w:val="0"/>
        <w:jc w:val="center"/>
        <w:rPr>
          <w:rFonts w:hint="eastAsia" w:ascii="宋体" w:hAnsi="宋体" w:eastAsia="宋体" w:cs="宋体"/>
          <w:color w:val="000000" w:themeColor="text1"/>
          <w:sz w:val="36"/>
          <w:szCs w:val="36"/>
          <w14:textFill>
            <w14:solidFill>
              <w14:schemeClr w14:val="tx1"/>
            </w14:solidFill>
          </w14:textFill>
        </w:rPr>
      </w:pPr>
    </w:p>
    <w:p w14:paraId="2727CA40">
      <w:pPr>
        <w:adjustRightInd w:val="0"/>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西安建筑科技大学（甲方）与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（乙方）就甲方购置的</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设备经双方协商达成如下合同条款：</w:t>
      </w:r>
    </w:p>
    <w:p w14:paraId="3C86CC1F">
      <w:pPr>
        <w:spacing w:line="360" w:lineRule="auto"/>
        <w:ind w:left="555"/>
        <w:outlineLvl w:val="0"/>
        <w:rPr>
          <w:rFonts w:hint="eastAsia" w:ascii="宋体" w:hAnsi="宋体" w:eastAsia="宋体" w:cs="宋体"/>
          <w:b/>
          <w:color w:val="000000" w:themeColor="text1"/>
          <w:szCs w:val="21"/>
          <w14:textFill>
            <w14:solidFill>
              <w14:schemeClr w14:val="tx1"/>
            </w14:solidFill>
          </w14:textFill>
        </w:rPr>
      </w:pPr>
      <w:bookmarkStart w:id="0" w:name="_Toc15535"/>
      <w:r>
        <w:rPr>
          <w:rFonts w:hint="eastAsia" w:ascii="宋体" w:hAnsi="宋体" w:eastAsia="宋体" w:cs="宋体"/>
          <w:b/>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color w:val="000000" w:themeColor="text1"/>
          <w:szCs w:val="21"/>
          <w14:textFill>
            <w14:solidFill>
              <w14:schemeClr w14:val="tx1"/>
            </w14:solidFill>
          </w14:textFill>
        </w:rPr>
        <w:t xml:space="preserve"> 合同内容</w:t>
      </w:r>
      <w:bookmarkEnd w:id="0"/>
    </w:p>
    <w:p w14:paraId="1A51970F">
      <w:pPr>
        <w:spacing w:line="360" w:lineRule="auto"/>
        <w:ind w:firstLine="5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在甲方组织的关于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采购</w:t>
      </w:r>
      <w:r>
        <w:rPr>
          <w:rFonts w:hint="eastAsia" w:ascii="宋体" w:hAnsi="宋体" w:eastAsia="宋体" w:cs="宋体"/>
          <w:color w:val="000000" w:themeColor="text1"/>
          <w:szCs w:val="21"/>
          <w14:textFill>
            <w14:solidFill>
              <w14:schemeClr w14:val="tx1"/>
            </w14:solidFill>
          </w14:textFill>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71CCD1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 仪器设备购置清单（币种：人民币）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37E6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36F53031">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序号</w:t>
            </w:r>
          </w:p>
        </w:tc>
        <w:tc>
          <w:tcPr>
            <w:tcW w:w="1805" w:type="dxa"/>
            <w:tcMar>
              <w:top w:w="20" w:type="dxa"/>
              <w:left w:w="20" w:type="dxa"/>
              <w:bottom w:w="0" w:type="dxa"/>
              <w:right w:w="20" w:type="dxa"/>
            </w:tcMar>
            <w:vAlign w:val="center"/>
          </w:tcPr>
          <w:p w14:paraId="7746A828">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设备名称</w:t>
            </w:r>
          </w:p>
        </w:tc>
        <w:tc>
          <w:tcPr>
            <w:tcW w:w="1980" w:type="dxa"/>
            <w:tcMar>
              <w:top w:w="20" w:type="dxa"/>
              <w:left w:w="20" w:type="dxa"/>
              <w:bottom w:w="0" w:type="dxa"/>
              <w:right w:w="20" w:type="dxa"/>
            </w:tcMar>
            <w:vAlign w:val="center"/>
          </w:tcPr>
          <w:p w14:paraId="6CADF6FF">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品牌、规格、型号</w:t>
            </w:r>
          </w:p>
        </w:tc>
        <w:tc>
          <w:tcPr>
            <w:tcW w:w="886" w:type="dxa"/>
            <w:tcMar>
              <w:top w:w="20" w:type="dxa"/>
              <w:left w:w="20" w:type="dxa"/>
              <w:bottom w:w="0" w:type="dxa"/>
              <w:right w:w="20" w:type="dxa"/>
            </w:tcMar>
            <w:vAlign w:val="center"/>
          </w:tcPr>
          <w:p w14:paraId="68E98733">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数量</w:t>
            </w:r>
          </w:p>
          <w:p w14:paraId="61F4A563">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（台、套）</w:t>
            </w:r>
          </w:p>
        </w:tc>
        <w:tc>
          <w:tcPr>
            <w:tcW w:w="985" w:type="dxa"/>
            <w:tcMar>
              <w:top w:w="20" w:type="dxa"/>
              <w:left w:w="20" w:type="dxa"/>
              <w:bottom w:w="0" w:type="dxa"/>
              <w:right w:w="20" w:type="dxa"/>
            </w:tcMar>
            <w:vAlign w:val="center"/>
          </w:tcPr>
          <w:p w14:paraId="0179BC75">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单价</w:t>
            </w:r>
          </w:p>
          <w:p w14:paraId="363F80CA">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84" w:type="dxa"/>
            <w:tcMar>
              <w:top w:w="20" w:type="dxa"/>
              <w:left w:w="20" w:type="dxa"/>
              <w:bottom w:w="0" w:type="dxa"/>
              <w:right w:w="20" w:type="dxa"/>
            </w:tcMar>
            <w:vAlign w:val="center"/>
          </w:tcPr>
          <w:p w14:paraId="3D3C8646">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合计</w:t>
            </w:r>
          </w:p>
          <w:p w14:paraId="55F7F5E8">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78" w:type="dxa"/>
            <w:vAlign w:val="center"/>
          </w:tcPr>
          <w:p w14:paraId="24A1B441">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生产商</w:t>
            </w:r>
          </w:p>
        </w:tc>
        <w:tc>
          <w:tcPr>
            <w:tcW w:w="580" w:type="dxa"/>
            <w:tcMar>
              <w:top w:w="20" w:type="dxa"/>
              <w:left w:w="20" w:type="dxa"/>
              <w:bottom w:w="0" w:type="dxa"/>
              <w:right w:w="20" w:type="dxa"/>
            </w:tcMar>
            <w:vAlign w:val="center"/>
          </w:tcPr>
          <w:p w14:paraId="6A8CD576">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备注</w:t>
            </w:r>
          </w:p>
        </w:tc>
      </w:tr>
      <w:tr w14:paraId="679A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0E42E864">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805" w:type="dxa"/>
            <w:tcMar>
              <w:top w:w="20" w:type="dxa"/>
              <w:left w:w="20" w:type="dxa"/>
              <w:bottom w:w="0" w:type="dxa"/>
              <w:right w:w="20" w:type="dxa"/>
            </w:tcMar>
            <w:vAlign w:val="center"/>
          </w:tcPr>
          <w:p w14:paraId="37D9EE10">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980" w:type="dxa"/>
            <w:tcMar>
              <w:top w:w="20" w:type="dxa"/>
              <w:left w:w="20" w:type="dxa"/>
              <w:bottom w:w="0" w:type="dxa"/>
              <w:right w:w="20" w:type="dxa"/>
            </w:tcMar>
            <w:vAlign w:val="center"/>
          </w:tcPr>
          <w:p w14:paraId="3E8EBC52">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886" w:type="dxa"/>
            <w:tcMar>
              <w:top w:w="20" w:type="dxa"/>
              <w:left w:w="20" w:type="dxa"/>
              <w:bottom w:w="0" w:type="dxa"/>
              <w:right w:w="20" w:type="dxa"/>
            </w:tcMar>
            <w:vAlign w:val="center"/>
          </w:tcPr>
          <w:p w14:paraId="04DB6DD5">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14:paraId="71114843">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14:paraId="3F0E21E9">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14:paraId="1C37ACF5">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14:paraId="1EF2E728">
            <w:pPr>
              <w:spacing w:line="360" w:lineRule="auto"/>
              <w:jc w:val="center"/>
              <w:rPr>
                <w:rFonts w:hint="eastAsia" w:ascii="宋体" w:hAnsi="宋体" w:eastAsia="宋体" w:cs="宋体"/>
                <w:color w:val="000000" w:themeColor="text1"/>
                <w:szCs w:val="21"/>
                <w14:textFill>
                  <w14:solidFill>
                    <w14:schemeClr w14:val="tx1"/>
                  </w14:solidFill>
                </w14:textFill>
              </w:rPr>
            </w:pPr>
          </w:p>
        </w:tc>
      </w:tr>
      <w:tr w14:paraId="4C84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33F30B77">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805" w:type="dxa"/>
            <w:tcMar>
              <w:top w:w="20" w:type="dxa"/>
              <w:left w:w="20" w:type="dxa"/>
              <w:bottom w:w="0" w:type="dxa"/>
              <w:right w:w="20" w:type="dxa"/>
            </w:tcMar>
            <w:vAlign w:val="center"/>
          </w:tcPr>
          <w:p w14:paraId="0E0BA5D5">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980" w:type="dxa"/>
            <w:tcMar>
              <w:top w:w="20" w:type="dxa"/>
              <w:left w:w="20" w:type="dxa"/>
              <w:bottom w:w="0" w:type="dxa"/>
              <w:right w:w="20" w:type="dxa"/>
            </w:tcMar>
            <w:vAlign w:val="center"/>
          </w:tcPr>
          <w:p w14:paraId="6FE5886F">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886" w:type="dxa"/>
            <w:tcMar>
              <w:top w:w="20" w:type="dxa"/>
              <w:left w:w="20" w:type="dxa"/>
              <w:bottom w:w="0" w:type="dxa"/>
              <w:right w:w="20" w:type="dxa"/>
            </w:tcMar>
            <w:vAlign w:val="center"/>
          </w:tcPr>
          <w:p w14:paraId="53B00308">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14:paraId="22713BB9">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14:paraId="6D0CFEAC">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14:paraId="2692FDDA">
            <w:pPr>
              <w:spacing w:line="360" w:lineRule="auto"/>
              <w:jc w:val="center"/>
              <w:rPr>
                <w:rFonts w:hint="eastAsia" w:ascii="宋体" w:hAnsi="宋体" w:eastAsia="宋体" w:cs="宋体"/>
                <w:color w:val="000000" w:themeColor="text1"/>
                <w:kern w:val="0"/>
                <w:szCs w:val="21"/>
                <w14:textFill>
                  <w14:solidFill>
                    <w14:schemeClr w14:val="tx1"/>
                  </w14:solidFill>
                </w14:textFill>
              </w:rPr>
            </w:pPr>
          </w:p>
        </w:tc>
        <w:tc>
          <w:tcPr>
            <w:tcW w:w="580" w:type="dxa"/>
            <w:tcMar>
              <w:top w:w="20" w:type="dxa"/>
              <w:left w:w="20" w:type="dxa"/>
              <w:bottom w:w="0" w:type="dxa"/>
              <w:right w:w="20" w:type="dxa"/>
            </w:tcMar>
            <w:vAlign w:val="center"/>
          </w:tcPr>
          <w:p w14:paraId="7021674A">
            <w:pPr>
              <w:spacing w:line="360" w:lineRule="auto"/>
              <w:jc w:val="center"/>
              <w:rPr>
                <w:rFonts w:hint="eastAsia" w:ascii="宋体" w:hAnsi="宋体" w:eastAsia="宋体" w:cs="宋体"/>
                <w:color w:val="000000" w:themeColor="text1"/>
                <w:szCs w:val="21"/>
                <w14:textFill>
                  <w14:solidFill>
                    <w14:schemeClr w14:val="tx1"/>
                  </w14:solidFill>
                </w14:textFill>
              </w:rPr>
            </w:pPr>
          </w:p>
        </w:tc>
      </w:tr>
      <w:tr w14:paraId="1219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0F465CC9">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1805" w:type="dxa"/>
            <w:tcMar>
              <w:top w:w="20" w:type="dxa"/>
              <w:left w:w="20" w:type="dxa"/>
              <w:bottom w:w="0" w:type="dxa"/>
              <w:right w:w="20" w:type="dxa"/>
            </w:tcMar>
            <w:vAlign w:val="center"/>
          </w:tcPr>
          <w:p w14:paraId="19623788">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980" w:type="dxa"/>
            <w:tcMar>
              <w:top w:w="20" w:type="dxa"/>
              <w:left w:w="20" w:type="dxa"/>
              <w:bottom w:w="0" w:type="dxa"/>
              <w:right w:w="20" w:type="dxa"/>
            </w:tcMar>
            <w:vAlign w:val="center"/>
          </w:tcPr>
          <w:p w14:paraId="67F90BD5">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886" w:type="dxa"/>
            <w:tcMar>
              <w:top w:w="20" w:type="dxa"/>
              <w:left w:w="20" w:type="dxa"/>
              <w:bottom w:w="0" w:type="dxa"/>
              <w:right w:w="20" w:type="dxa"/>
            </w:tcMar>
            <w:vAlign w:val="center"/>
          </w:tcPr>
          <w:p w14:paraId="5847E9C1">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14:paraId="59DF8939">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14:paraId="6FA03010">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14:paraId="6F60C647">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14:paraId="6EA3845B">
            <w:pPr>
              <w:spacing w:line="360" w:lineRule="auto"/>
              <w:jc w:val="center"/>
              <w:rPr>
                <w:rFonts w:hint="eastAsia" w:ascii="宋体" w:hAnsi="宋体" w:eastAsia="宋体" w:cs="宋体"/>
                <w:color w:val="000000" w:themeColor="text1"/>
                <w:szCs w:val="21"/>
                <w14:textFill>
                  <w14:solidFill>
                    <w14:schemeClr w14:val="tx1"/>
                  </w14:solidFill>
                </w14:textFill>
              </w:rPr>
            </w:pPr>
          </w:p>
        </w:tc>
      </w:tr>
      <w:tr w14:paraId="2635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794008EE">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合计(元)</w:t>
            </w:r>
          </w:p>
        </w:tc>
        <w:tc>
          <w:tcPr>
            <w:tcW w:w="4413" w:type="dxa"/>
            <w:gridSpan w:val="5"/>
            <w:tcMar>
              <w:top w:w="20" w:type="dxa"/>
              <w:left w:w="20" w:type="dxa"/>
              <w:bottom w:w="0" w:type="dxa"/>
              <w:right w:w="20" w:type="dxa"/>
            </w:tcMar>
            <w:vAlign w:val="center"/>
          </w:tcPr>
          <w:p w14:paraId="28A39271">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大写： </w:t>
            </w:r>
          </w:p>
        </w:tc>
      </w:tr>
      <w:tr w14:paraId="243E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758CF8AD">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4413" w:type="dxa"/>
            <w:gridSpan w:val="5"/>
            <w:tcMar>
              <w:top w:w="20" w:type="dxa"/>
              <w:left w:w="20" w:type="dxa"/>
              <w:bottom w:w="0" w:type="dxa"/>
              <w:right w:w="20" w:type="dxa"/>
            </w:tcMar>
            <w:vAlign w:val="center"/>
          </w:tcPr>
          <w:p w14:paraId="3C2CF850">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小写：   元</w:t>
            </w:r>
          </w:p>
        </w:tc>
      </w:tr>
    </w:tbl>
    <w:p w14:paraId="1CDBAB8B">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14:paraId="3250A447">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 合同总额为一次性包死价格，不受市场价格的变化和影响，在合同不发生变更时作为付款结算的依据。</w:t>
      </w:r>
    </w:p>
    <w:p w14:paraId="5ABAF4C9">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 设备的技术参数要求</w:t>
      </w:r>
    </w:p>
    <w:p w14:paraId="514D9750">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28B2BF2A">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1.4.2乙方应向甲方提供有关标准的中文文本。</w:t>
      </w:r>
    </w:p>
    <w:p w14:paraId="6C5C85B2">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1.4.3除非技术规范中另有规定，计量单位均采用中华人民共和国法定计量单位。</w:t>
      </w:r>
    </w:p>
    <w:p w14:paraId="3481FCE5">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2. 包装运输要求 </w:t>
      </w:r>
    </w:p>
    <w:p w14:paraId="79CFA126">
      <w:pPr>
        <w:spacing w:line="360" w:lineRule="auto"/>
        <w:ind w:left="105" w:firstLine="420" w:firstLineChars="200"/>
        <w:outlineLvl w:val="2"/>
        <w:rPr>
          <w:rFonts w:hint="eastAsia" w:ascii="宋体" w:hAnsi="宋体" w:eastAsia="宋体" w:cs="宋体"/>
          <w:color w:val="000000" w:themeColor="text1"/>
          <w:szCs w:val="21"/>
          <w14:textFill>
            <w14:solidFill>
              <w14:schemeClr w14:val="tx1"/>
            </w14:solidFill>
          </w14:textFill>
        </w:rPr>
      </w:pPr>
      <w:bookmarkStart w:id="1" w:name="_Toc87"/>
      <w:r>
        <w:rPr>
          <w:rFonts w:hint="eastAsia" w:ascii="宋体" w:hAnsi="宋体" w:eastAsia="宋体" w:cs="宋体"/>
          <w:color w:val="000000" w:themeColor="text1"/>
          <w:szCs w:val="21"/>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2D662558">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3.交货时间及交货地点</w:t>
      </w:r>
    </w:p>
    <w:p w14:paraId="42B3623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3.1本项目为交钥匙工程，乙方要提供整套合格产品，切实做好安全防护相关工作。产品交货、安装地点均为甲方指定地点。</w:t>
      </w:r>
    </w:p>
    <w:p w14:paraId="76CC534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 合同签订后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17A42044">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4.产品质量保证</w:t>
      </w:r>
    </w:p>
    <w:p w14:paraId="0E769737">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693C98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 乙方提供的设备及配套产品必须等同于或优于合同技术指标要求，并能按国家标准供应、检测、调试，确保产品技术指标满足使用要求。</w:t>
      </w:r>
    </w:p>
    <w:p w14:paraId="1EA75B3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563541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1E9D49D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326E7B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4.6产品质量保证期为甲方最终设备验收合格后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年，设备正常使用寿命为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694482C">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5.技术服务承诺</w:t>
      </w:r>
    </w:p>
    <w:p w14:paraId="11A1A105">
      <w:pPr>
        <w:spacing w:line="360" w:lineRule="auto"/>
        <w:ind w:left="105" w:firstLine="315" w:firstLineChars="150"/>
        <w:outlineLvl w:val="2"/>
        <w:rPr>
          <w:rFonts w:hint="eastAsia" w:ascii="宋体" w:hAnsi="宋体" w:eastAsia="宋体" w:cs="宋体"/>
          <w:color w:val="000000" w:themeColor="text1"/>
          <w:szCs w:val="21"/>
          <w14:textFill>
            <w14:solidFill>
              <w14:schemeClr w14:val="tx1"/>
            </w14:solidFill>
          </w14:textFill>
        </w:rPr>
      </w:pPr>
      <w:bookmarkStart w:id="2" w:name="_Toc23387"/>
      <w:r>
        <w:rPr>
          <w:rFonts w:hint="eastAsia" w:ascii="宋体" w:hAnsi="宋体" w:eastAsia="宋体" w:cs="宋体"/>
          <w:color w:val="000000" w:themeColor="text1"/>
          <w:szCs w:val="21"/>
          <w14:textFill>
            <w14:solidFill>
              <w14:schemeClr w14:val="tx1"/>
            </w14:solidFill>
          </w14:textFill>
        </w:rPr>
        <w:t>5.1乙方应严格按照供货时间，及时给甲方供货。</w:t>
      </w:r>
      <w:bookmarkEnd w:id="2"/>
    </w:p>
    <w:p w14:paraId="00AAF8EA">
      <w:pPr>
        <w:spacing w:line="360" w:lineRule="auto"/>
        <w:ind w:left="105" w:firstLine="315" w:firstLineChars="150"/>
        <w:outlineLvl w:val="2"/>
        <w:rPr>
          <w:rFonts w:hint="eastAsia" w:ascii="宋体" w:hAnsi="宋体" w:eastAsia="宋体" w:cs="宋体"/>
          <w:color w:val="000000" w:themeColor="text1"/>
          <w:szCs w:val="21"/>
          <w14:textFill>
            <w14:solidFill>
              <w14:schemeClr w14:val="tx1"/>
            </w14:solidFill>
          </w14:textFill>
        </w:rPr>
      </w:pPr>
      <w:bookmarkStart w:id="3" w:name="_Toc16520"/>
      <w:r>
        <w:rPr>
          <w:rFonts w:hint="eastAsia" w:ascii="宋体" w:hAnsi="宋体" w:eastAsia="宋体" w:cs="宋体"/>
          <w:color w:val="000000" w:themeColor="text1"/>
          <w:szCs w:val="21"/>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14:paraId="3A1BD00C">
      <w:pPr>
        <w:spacing w:line="360" w:lineRule="auto"/>
        <w:ind w:left="105" w:firstLine="315" w:firstLineChars="150"/>
        <w:outlineLvl w:val="2"/>
        <w:rPr>
          <w:rFonts w:hint="eastAsia" w:ascii="宋体" w:hAnsi="宋体" w:eastAsia="宋体" w:cs="宋体"/>
          <w:b/>
          <w:color w:val="000000" w:themeColor="text1"/>
          <w:szCs w:val="21"/>
          <w14:textFill>
            <w14:solidFill>
              <w14:schemeClr w14:val="tx1"/>
            </w14:solidFill>
          </w14:textFill>
        </w:rPr>
      </w:pPr>
      <w:bookmarkStart w:id="4" w:name="_Toc13760"/>
      <w:r>
        <w:rPr>
          <w:rFonts w:hint="eastAsia" w:ascii="宋体" w:hAnsi="宋体" w:eastAsia="宋体" w:cs="宋体"/>
          <w:color w:val="000000" w:themeColor="text1"/>
          <w:szCs w:val="21"/>
          <w14:textFill>
            <w14:solidFill>
              <w14:schemeClr w14:val="tx1"/>
            </w14:solidFill>
          </w14:textFill>
        </w:rPr>
        <w:t>5.3人员培训：乙方终身免费为甲方培训设备使用人员，培训内容包括：设备操作、维护、简单维修等。</w:t>
      </w:r>
      <w:bookmarkEnd w:id="4"/>
    </w:p>
    <w:p w14:paraId="58092830">
      <w:pPr>
        <w:spacing w:line="360" w:lineRule="auto"/>
        <w:ind w:firstLine="420"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5.4</w:t>
      </w:r>
      <w:r>
        <w:rPr>
          <w:rFonts w:hint="eastAsia" w:ascii="宋体" w:hAnsi="宋体" w:eastAsia="宋体" w:cs="宋体"/>
          <w:color w:val="000000" w:themeColor="text1"/>
          <w:szCs w:val="21"/>
          <w14:textFill>
            <w14:solidFill>
              <w14:schemeClr w14:val="tx1"/>
            </w14:solidFill>
          </w14:textFill>
        </w:rPr>
        <w:t>售后服务：质保期内乙方对甲方提出的服务响应不得超出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小时。</w:t>
      </w:r>
    </w:p>
    <w:p w14:paraId="725797D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5.5具体服务详见乙方投标文件中乙方的承诺书。</w:t>
      </w:r>
    </w:p>
    <w:p w14:paraId="25693494">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6.验收方法及标准</w:t>
      </w:r>
    </w:p>
    <w:p w14:paraId="5012D606">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6.1开箱验收</w:t>
      </w:r>
    </w:p>
    <w:p w14:paraId="7DA99039">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6.1.1产品运抵现场后，双方应及时开箱验收，并制作验收记录，以确认与本合同约定的数量、型号等是否一致。</w:t>
      </w:r>
    </w:p>
    <w:p w14:paraId="6D0ED80F">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6D83B34E">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0829AEA">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5D7DEC48">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  检验验收</w:t>
      </w:r>
    </w:p>
    <w:p w14:paraId="42DE67F0">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69463D99">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6.2.2 在具体实施合同规定的检验验收之前，乙方需提前提交相应的测试计划（包括测试程序、测试内容和检验标准、试验时间安排等）供甲方确认。</w:t>
      </w:r>
    </w:p>
    <w:p w14:paraId="46B60780">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6.2.3  除需甲方确认的试验验收外，乙方还应对所有检验验收测试的结果、步骤、原始数据等作妥善记录。如甲方要求，乙方应提供这些记录给甲方。</w:t>
      </w:r>
    </w:p>
    <w:p w14:paraId="504A8913">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6.2.4  检验测试出现全部或部分未达到本合同所约定的技术指标，甲方有权选择下列任一处理方式：</w:t>
      </w:r>
    </w:p>
    <w:p w14:paraId="567973FE">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a.重新测试直至合格为止；</w:t>
      </w:r>
    </w:p>
    <w:p w14:paraId="0C63CC2A">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b.要求乙方对货物进行免费更换，然后重新测试直至合格为止；</w:t>
      </w:r>
    </w:p>
    <w:p w14:paraId="6B9C2885">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无论选择何种方式，甲方因此而发生的因乙方原因引起的所有费用均由乙方负担。</w:t>
      </w:r>
    </w:p>
    <w:p w14:paraId="60CB582C">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  使用过程检验</w:t>
      </w:r>
    </w:p>
    <w:p w14:paraId="74027283">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1CF00653">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14:paraId="3F2F6602">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6.4  所有验收合格，但不能免除乙方应该承担的质保责任。</w:t>
      </w:r>
    </w:p>
    <w:p w14:paraId="18693BFC">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7.合同款项支付方式</w:t>
      </w:r>
    </w:p>
    <w:p w14:paraId="182F038C">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7.1履约保证金：</w:t>
      </w:r>
    </w:p>
    <w:p w14:paraId="5EA7D2E5">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供应商成交后凭成交通知书向学校缴纳成交金额的 5 %作为履约保证金，待合同履约完毕后无息退还。</w:t>
      </w:r>
    </w:p>
    <w:p w14:paraId="67528E81">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7.2合同款支付</w:t>
      </w:r>
    </w:p>
    <w:p w14:paraId="6531D99B">
      <w:pPr>
        <w:snapToGrid w:val="0"/>
        <w:spacing w:line="360" w:lineRule="auto"/>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国产设备：</w:t>
      </w:r>
    </w:p>
    <w:p w14:paraId="4475FAFB">
      <w:pPr>
        <w:pStyle w:val="8"/>
        <w:spacing w:line="360" w:lineRule="auto"/>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z w:val="21"/>
          <w:szCs w:val="21"/>
          <w:lang w:eastAsia="zh-CN"/>
          <w14:textFill>
            <w14:solidFill>
              <w14:schemeClr w14:val="tx1"/>
            </w14:solidFill>
          </w14:textFill>
        </w:rPr>
        <w:t>签订合同后15日内，乙方提供经甲方认可的合同金额100%的预付款保函或双方认可的其他担保措施，支付合同金额的100%。</w:t>
      </w:r>
    </w:p>
    <w:p w14:paraId="5A5A1BB0">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7.3最终结算时，乙方须向甲方出具合同总价款的增值税专用发票。</w:t>
      </w:r>
    </w:p>
    <w:p w14:paraId="4DE509AD">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8.安全生产和文明施工</w:t>
      </w:r>
    </w:p>
    <w:p w14:paraId="66B10A69">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8.1 现场安全文明施工由乙方编制专项详细方案并严格执行。</w:t>
      </w:r>
    </w:p>
    <w:p w14:paraId="30E952CF">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021AA1ED">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8.3 在设备安装施工全过程中，乙方应服从甲方的各项管理，并对乙方施工人员进行安全管理。</w:t>
      </w:r>
    </w:p>
    <w:p w14:paraId="52C2A297">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8.4 确保现场建筑物及相关设施设备完好无损，如施工过程中出现损坏，乙方负责修复赔偿。</w:t>
      </w:r>
    </w:p>
    <w:p w14:paraId="0FE45C1E">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 乙方应对安装施工人员相关岗位上岗资格进行审查，并对相关后果负责。</w:t>
      </w:r>
    </w:p>
    <w:p w14:paraId="46AEAC89">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9.索赔</w:t>
      </w:r>
    </w:p>
    <w:p w14:paraId="361DE21B">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3377F396">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bookmarkStart w:id="5" w:name="_Ref467378076"/>
      <w:r>
        <w:rPr>
          <w:rFonts w:hint="eastAsia" w:ascii="宋体" w:hAnsi="宋体" w:eastAsia="宋体" w:cs="宋体"/>
          <w:color w:val="000000" w:themeColor="text1"/>
          <w:szCs w:val="21"/>
          <w14:textFill>
            <w14:solidFill>
              <w14:schemeClr w14:val="tx1"/>
            </w14:solidFill>
          </w14:textFill>
        </w:rPr>
        <w:t>9.2在验收合格前，乙方对甲方提出的索赔负有责任，乙方应按照甲方同意的下列一种或多种方式解决索赔事宜：</w:t>
      </w:r>
      <w:bookmarkEnd w:id="5"/>
    </w:p>
    <w:p w14:paraId="1BC889CD">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75B3BCF">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14:paraId="02127933">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9C05CE4">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bookmarkStart w:id="6" w:name="_Ref127159050"/>
      <w:r>
        <w:rPr>
          <w:rFonts w:hint="eastAsia" w:ascii="宋体" w:hAnsi="宋体" w:eastAsia="宋体" w:cs="宋体"/>
          <w:color w:val="000000" w:themeColor="text1"/>
          <w:szCs w:val="21"/>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14:paraId="03B855A0">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10.违约责任</w:t>
      </w:r>
    </w:p>
    <w:p w14:paraId="51B9877B">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 合同生效后，甲乙双方应按合同规定认真履约。合同履约责任只涉及合同甲乙双方，不考虑第三方因素。</w:t>
      </w:r>
    </w:p>
    <w:p w14:paraId="558F67E7">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7991EA2C">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14:paraId="6DD19158">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10.4 在合同规定的供货期内乙方未全部交货，除应如数补齐外，还应承担合同总款的10％违约金。</w:t>
      </w:r>
    </w:p>
    <w:p w14:paraId="1BC1C472">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14:paraId="739A1D68">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A67105F">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EEBF470">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11.合同争议的解决</w:t>
      </w:r>
    </w:p>
    <w:p w14:paraId="1D0D4422">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11.1甲乙双方由于本合同的履行而发生任何争议时，双方可先通过协商解决。</w:t>
      </w:r>
    </w:p>
    <w:p w14:paraId="20FB7EDB">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11.2任何一方不愿通过协商或通过协商仍不能解决争议，则双方中任何一方均应向甲方所在地人民法院起诉。</w:t>
      </w:r>
    </w:p>
    <w:p w14:paraId="6B3E5B5E">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12.违约解除合同</w:t>
      </w:r>
    </w:p>
    <w:p w14:paraId="52440DB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12.1出现下列情形之一的，视为乙方违约。甲方可向乙方发出书面通知，部分或全部终止合同，同时保留向乙方索赔的权利。</w:t>
      </w:r>
    </w:p>
    <w:p w14:paraId="17D0481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12.1.1乙方未能在合同规定的限期或甲方同意延长的限期内，提供全部或部分货物的； </w:t>
      </w:r>
    </w:p>
    <w:p w14:paraId="2C6B06F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12.1.2乙方未能履行合同规定的其它主要义务的；</w:t>
      </w:r>
    </w:p>
    <w:p w14:paraId="20F7967D">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12.1.3乙方在本合同履行过程中有欺诈行为的。</w:t>
      </w:r>
    </w:p>
    <w:p w14:paraId="555501F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9384DCC">
      <w:pPr>
        <w:snapToGrid w:val="0"/>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13.其它事项</w:t>
      </w:r>
    </w:p>
    <w:p w14:paraId="400D5D62">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13.1 合同经双方签字盖章后生效。本合同一式五份，甲方执四份，乙方执一份，执行完毕后自行失效。</w:t>
      </w:r>
    </w:p>
    <w:p w14:paraId="5BC43D02">
      <w:pPr>
        <w:spacing w:line="360" w:lineRule="auto"/>
        <w:ind w:firstLine="411" w:firstLineChars="196"/>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13.2 合同的附件、投标文件均作为本合同不可分割的内容，且具有同等法律效力。合同的附件由甲方使用单位负责审核并签章。</w:t>
      </w:r>
    </w:p>
    <w:p w14:paraId="12656FB7">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13.3 在本合同执行过程中，甲、乙双方协商签订的补充合同与原合同具有同等法律效力。</w:t>
      </w:r>
    </w:p>
    <w:p w14:paraId="587B67DE">
      <w:pPr>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13.4 未尽事宜，双方协商解决。</w:t>
      </w:r>
    </w:p>
    <w:p w14:paraId="114C85D2">
      <w:pPr>
        <w:snapToGrid w:val="0"/>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p>
    <w:p w14:paraId="3FB6786B">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合同签订地点：西安建筑科技大学</w:t>
      </w:r>
    </w:p>
    <w:p w14:paraId="56368460">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合同签订时间：      年    月    日</w:t>
      </w:r>
    </w:p>
    <w:p w14:paraId="0481391C">
      <w:pPr>
        <w:snapToGrid w:val="0"/>
        <w:spacing w:line="480" w:lineRule="exact"/>
        <w:rPr>
          <w:rFonts w:hint="eastAsia" w:ascii="宋体" w:hAnsi="宋体" w:eastAsia="宋体" w:cs="宋体"/>
          <w:b/>
          <w:color w:val="000000" w:themeColor="text1"/>
          <w:szCs w:val="21"/>
          <w14:textFill>
            <w14:solidFill>
              <w14:schemeClr w14:val="tx1"/>
            </w14:solidFill>
          </w14:textFill>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06FA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C789FAA">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甲  方（盖章）：西安建筑科技大学</w:t>
            </w:r>
          </w:p>
        </w:tc>
        <w:tc>
          <w:tcPr>
            <w:tcW w:w="4503" w:type="dxa"/>
            <w:vAlign w:val="center"/>
          </w:tcPr>
          <w:p w14:paraId="6A923B4F">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乙  方（盖章）：</w:t>
            </w:r>
          </w:p>
        </w:tc>
      </w:tr>
      <w:tr w14:paraId="1378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927CE4C">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址：西安市雁塔路13号</w:t>
            </w:r>
          </w:p>
        </w:tc>
        <w:tc>
          <w:tcPr>
            <w:tcW w:w="4503" w:type="dxa"/>
            <w:vAlign w:val="center"/>
          </w:tcPr>
          <w:p w14:paraId="172221D6">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w:t>
            </w:r>
          </w:p>
        </w:tc>
      </w:tr>
      <w:tr w14:paraId="217A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E8E242D">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c>
          <w:tcPr>
            <w:tcW w:w="4503" w:type="dxa"/>
            <w:vAlign w:val="center"/>
          </w:tcPr>
          <w:p w14:paraId="4E0E9BC7">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r>
      <w:tr w14:paraId="33FD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60C9883">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c>
          <w:tcPr>
            <w:tcW w:w="4503" w:type="dxa"/>
            <w:vAlign w:val="center"/>
          </w:tcPr>
          <w:p w14:paraId="2C437C22">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r>
      <w:tr w14:paraId="59DE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08960EF">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开户名：西安建筑科技大学</w:t>
            </w:r>
          </w:p>
        </w:tc>
        <w:tc>
          <w:tcPr>
            <w:tcW w:w="4503" w:type="dxa"/>
            <w:vAlign w:val="center"/>
          </w:tcPr>
          <w:p w14:paraId="2158771C">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w:t>
            </w:r>
          </w:p>
        </w:tc>
      </w:tr>
      <w:tr w14:paraId="5B72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BC4F8E3">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开户行：工行雁塔路支行</w:t>
            </w:r>
          </w:p>
          <w:p w14:paraId="0E8CFC00">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税  号: 1261000043523106XB</w:t>
            </w:r>
          </w:p>
        </w:tc>
        <w:tc>
          <w:tcPr>
            <w:tcW w:w="4503" w:type="dxa"/>
            <w:vAlign w:val="center"/>
          </w:tcPr>
          <w:p w14:paraId="51AC562E">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w:t>
            </w:r>
          </w:p>
        </w:tc>
      </w:tr>
      <w:tr w14:paraId="101D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4CCA88">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号：3700023009026400639</w:t>
            </w:r>
          </w:p>
        </w:tc>
        <w:tc>
          <w:tcPr>
            <w:tcW w:w="4503" w:type="dxa"/>
            <w:vAlign w:val="center"/>
          </w:tcPr>
          <w:p w14:paraId="7102B66B">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w:t>
            </w:r>
          </w:p>
        </w:tc>
      </w:tr>
      <w:tr w14:paraId="2FC2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86581C0">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r>
              <w:rPr>
                <w:rFonts w:hint="eastAsia" w:ascii="宋体" w:hAnsi="宋体" w:eastAsia="宋体" w:cs="宋体"/>
                <w:color w:val="000000" w:themeColor="text1"/>
                <w:szCs w:val="21"/>
                <w14:textFill>
                  <w14:solidFill>
                    <w14:schemeClr w14:val="tx1"/>
                  </w14:solidFill>
                </w14:textFill>
              </w:rPr>
              <w:t xml:space="preserve"> 刘世泽</w:t>
            </w:r>
          </w:p>
        </w:tc>
        <w:tc>
          <w:tcPr>
            <w:tcW w:w="4503" w:type="dxa"/>
            <w:vAlign w:val="center"/>
          </w:tcPr>
          <w:p w14:paraId="792F89B3">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p>
        </w:tc>
      </w:tr>
      <w:tr w14:paraId="27D3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4E43D5F">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联系电话：029-82202312</w:t>
            </w:r>
          </w:p>
        </w:tc>
        <w:tc>
          <w:tcPr>
            <w:tcW w:w="4503" w:type="dxa"/>
            <w:vAlign w:val="center"/>
          </w:tcPr>
          <w:p w14:paraId="531355E7">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w:t>
            </w:r>
          </w:p>
        </w:tc>
      </w:tr>
    </w:tbl>
    <w:p w14:paraId="74A73DA0">
      <w:pPr>
        <w:rPr>
          <w:rFonts w:hint="eastAsia" w:ascii="宋体" w:hAnsi="宋体" w:eastAsia="宋体" w:cs="宋体"/>
          <w:b/>
          <w:color w:val="000000" w:themeColor="text1"/>
          <w:sz w:val="32"/>
          <w:szCs w:val="32"/>
          <w14:textFill>
            <w14:solidFill>
              <w14:schemeClr w14:val="tx1"/>
            </w14:solidFill>
          </w14:textFill>
        </w:rPr>
      </w:pPr>
    </w:p>
    <w:p w14:paraId="4EF41564">
      <w:pPr>
        <w:ind w:firstLine="315" w:firstLineChars="98"/>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r>
        <w:rPr>
          <w:rFonts w:hint="eastAsia" w:ascii="宋体" w:hAnsi="宋体" w:eastAsia="宋体" w:cs="宋体"/>
          <w:b/>
          <w:color w:val="000000" w:themeColor="text1"/>
          <w:szCs w:val="21"/>
          <w14:textFill>
            <w14:solidFill>
              <w14:schemeClr w14:val="tx1"/>
            </w14:solidFill>
          </w14:textFill>
        </w:rPr>
        <w:t>附件：技术协议</w:t>
      </w:r>
    </w:p>
    <w:p w14:paraId="04E57752">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bookmarkStart w:id="7" w:name="_Toc390373038"/>
      <w:bookmarkStart w:id="8" w:name="_Toc390360542"/>
      <w:r>
        <w:rPr>
          <w:rFonts w:hint="eastAsia" w:ascii="宋体" w:hAnsi="宋体" w:eastAsia="宋体" w:cs="宋体"/>
          <w:b/>
          <w:color w:val="000000" w:themeColor="text1"/>
          <w:szCs w:val="21"/>
          <w14:textFill>
            <w14:solidFill>
              <w14:schemeClr w14:val="tx1"/>
            </w14:solidFill>
          </w14:textFill>
        </w:rPr>
        <w:t>1.中标产品技术参数明细</w:t>
      </w:r>
    </w:p>
    <w:p w14:paraId="721F3E08">
      <w:pPr>
        <w:spacing w:line="360" w:lineRule="auto"/>
        <w:ind w:firstLine="420"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我公司承诺：合同中数列产品均满足标书及使用要求，无任何负偏离。并与所供产品完全一致。</w:t>
      </w:r>
    </w:p>
    <w:bookmarkEnd w:id="7"/>
    <w:bookmarkEnd w:id="8"/>
    <w:p w14:paraId="339BB06B">
      <w:pPr>
        <w:spacing w:line="360" w:lineRule="auto"/>
        <w:ind w:firstLine="422" w:firstLineChars="200"/>
        <w:rPr>
          <w:rStyle w:val="7"/>
          <w:rFonts w:hint="eastAsia" w:ascii="宋体" w:hAnsi="宋体" w:eastAsia="宋体" w:cs="宋体"/>
          <w:color w:val="000000" w:themeColor="text1"/>
          <w:szCs w:val="21"/>
          <w14:textFill>
            <w14:solidFill>
              <w14:schemeClr w14:val="tx1"/>
            </w14:solidFill>
          </w14:textFill>
        </w:rPr>
      </w:pPr>
      <w:r>
        <w:rPr>
          <w:rStyle w:val="7"/>
          <w:rFonts w:hint="eastAsia" w:ascii="宋体" w:hAnsi="宋体" w:eastAsia="宋体" w:cs="宋体"/>
          <w:color w:val="000000" w:themeColor="text1"/>
          <w:szCs w:val="21"/>
          <w14:textFill>
            <w14:solidFill>
              <w14:schemeClr w14:val="tx1"/>
            </w14:solidFill>
          </w14:textFill>
        </w:rPr>
        <w:t>1.1设备特性</w:t>
      </w:r>
    </w:p>
    <w:p w14:paraId="76CBC7EB">
      <w:pPr>
        <w:spacing w:line="360" w:lineRule="auto"/>
        <w:ind w:firstLine="422" w:firstLineChars="200"/>
        <w:rPr>
          <w:rStyle w:val="7"/>
          <w:rFonts w:hint="eastAsia" w:ascii="宋体" w:hAnsi="宋体" w:eastAsia="宋体" w:cs="宋体"/>
          <w:color w:val="000000" w:themeColor="text1"/>
          <w:szCs w:val="21"/>
          <w14:textFill>
            <w14:solidFill>
              <w14:schemeClr w14:val="tx1"/>
            </w14:solidFill>
          </w14:textFill>
        </w:rPr>
      </w:pPr>
      <w:r>
        <w:rPr>
          <w:rStyle w:val="7"/>
          <w:rFonts w:hint="eastAsia" w:ascii="宋体" w:hAnsi="宋体" w:eastAsia="宋体" w:cs="宋体"/>
          <w:color w:val="000000" w:themeColor="text1"/>
          <w:szCs w:val="21"/>
          <w14:textFill>
            <w14:solidFill>
              <w14:schemeClr w14:val="tx1"/>
            </w14:solidFill>
          </w14:textFill>
        </w:rPr>
        <w:t>1.2</w:t>
      </w:r>
      <w:r>
        <w:rPr>
          <w:rFonts w:hint="eastAsia" w:ascii="宋体" w:hAnsi="宋体" w:eastAsia="宋体" w:cs="宋体"/>
          <w:b/>
          <w:color w:val="000000" w:themeColor="text1"/>
          <w:szCs w:val="21"/>
          <w14:textFill>
            <w14:solidFill>
              <w14:schemeClr w14:val="tx1"/>
            </w14:solidFill>
          </w14:textFill>
        </w:rPr>
        <w:t>设备用途</w:t>
      </w:r>
    </w:p>
    <w:p w14:paraId="02C1746B">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1.3设备主要参数指标</w:t>
      </w:r>
    </w:p>
    <w:p w14:paraId="529BCBAA">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1.4质量要求与安全要求</w:t>
      </w:r>
    </w:p>
    <w:p w14:paraId="3DE12BB3">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1.5设备运行一般流程图</w:t>
      </w:r>
    </w:p>
    <w:p w14:paraId="025654F0">
      <w:pPr>
        <w:spacing w:line="360" w:lineRule="auto"/>
        <w:ind w:firstLine="422" w:firstLineChars="200"/>
        <w:rPr>
          <w:rStyle w:val="7"/>
          <w:rFonts w:hint="eastAsia" w:ascii="宋体" w:hAnsi="宋体" w:eastAsia="宋体" w:cs="宋体"/>
          <w:color w:val="000000" w:themeColor="text1"/>
          <w:szCs w:val="21"/>
          <w14:textFill>
            <w14:solidFill>
              <w14:schemeClr w14:val="tx1"/>
            </w14:solidFill>
          </w14:textFill>
        </w:rPr>
      </w:pPr>
    </w:p>
    <w:p w14:paraId="450525AC">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2.售后服务内容</w:t>
      </w:r>
      <w:bookmarkStart w:id="9" w:name="_Toc373263358"/>
      <w:bookmarkStart w:id="10" w:name="_Toc390360557"/>
      <w:bookmarkStart w:id="11" w:name="_Toc390373053"/>
    </w:p>
    <w:bookmarkEnd w:id="9"/>
    <w:bookmarkEnd w:id="10"/>
    <w:bookmarkEnd w:id="11"/>
    <w:p w14:paraId="718310F3">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bookmarkStart w:id="12" w:name="_Toc373263359"/>
      <w:bookmarkStart w:id="13" w:name="_Toc390360558"/>
      <w:bookmarkStart w:id="14" w:name="_Toc390373054"/>
      <w:r>
        <w:rPr>
          <w:rFonts w:hint="eastAsia" w:ascii="宋体" w:hAnsi="宋体" w:eastAsia="宋体" w:cs="宋体"/>
          <w:b/>
          <w:color w:val="000000" w:themeColor="text1"/>
          <w:szCs w:val="21"/>
          <w14:textFill>
            <w14:solidFill>
              <w14:schemeClr w14:val="tx1"/>
            </w14:solidFill>
          </w14:textFill>
        </w:rPr>
        <w:t>2.1技术服务、售后服务体系、故障响应时间、应急维修措施</w:t>
      </w:r>
      <w:bookmarkEnd w:id="12"/>
      <w:bookmarkEnd w:id="13"/>
      <w:bookmarkEnd w:id="14"/>
    </w:p>
    <w:p w14:paraId="4C2E2679">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2.1.1技术服务措施</w:t>
      </w:r>
    </w:p>
    <w:p w14:paraId="2186D4E3">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2.1.2售后服务体系</w:t>
      </w:r>
    </w:p>
    <w:p w14:paraId="4CA1D5A4">
      <w:pPr>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bookmarkStart w:id="15" w:name="_Toc4492"/>
      <w:r>
        <w:rPr>
          <w:rFonts w:hint="eastAsia" w:ascii="宋体" w:hAnsi="宋体" w:eastAsia="宋体" w:cs="宋体"/>
          <w:color w:val="000000" w:themeColor="text1"/>
          <w:szCs w:val="21"/>
          <w14:textFill>
            <w14:solidFill>
              <w14:schemeClr w14:val="tx1"/>
            </w14:solidFill>
          </w14:textFill>
        </w:rPr>
        <w:t>质保期内服务</w:t>
      </w:r>
      <w:bookmarkEnd w:id="15"/>
    </w:p>
    <w:p w14:paraId="778DD1DC">
      <w:pPr>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bookmarkStart w:id="16" w:name="_Toc3772"/>
      <w:r>
        <w:rPr>
          <w:rFonts w:hint="eastAsia" w:ascii="宋体" w:hAnsi="宋体" w:eastAsia="宋体" w:cs="宋体"/>
          <w:color w:val="000000" w:themeColor="text1"/>
          <w:szCs w:val="21"/>
          <w14:textFill>
            <w14:solidFill>
              <w14:schemeClr w14:val="tx1"/>
            </w14:solidFill>
          </w14:textFill>
        </w:rPr>
        <w:t>质保期外服务</w:t>
      </w:r>
      <w:bookmarkEnd w:id="16"/>
    </w:p>
    <w:p w14:paraId="16B8EA99">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2.1.3故障响应时间</w:t>
      </w:r>
    </w:p>
    <w:p w14:paraId="4F0CA4DB">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2.1.4应急维修措施</w:t>
      </w:r>
      <w:bookmarkStart w:id="17" w:name="_Toc373263360"/>
      <w:bookmarkStart w:id="18" w:name="_Toc390360559"/>
      <w:bookmarkStart w:id="19" w:name="_Toc390373055"/>
    </w:p>
    <w:p w14:paraId="331D4505">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2.1.5易损件、备件的供应</w:t>
      </w:r>
    </w:p>
    <w:p w14:paraId="04ED9408">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2.1.6质保期以外技术支持或技术服务</w:t>
      </w:r>
    </w:p>
    <w:p w14:paraId="2954A7C3">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2.1.7制定切实可行的操作规程和使用指南</w:t>
      </w:r>
    </w:p>
    <w:p w14:paraId="2FB4A7CD">
      <w:pPr>
        <w:spacing w:line="360" w:lineRule="auto"/>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p>
    <w:p w14:paraId="409633A5">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3.培训服务内容</w:t>
      </w:r>
    </w:p>
    <w:p w14:paraId="5D48286A">
      <w:pPr>
        <w:spacing w:line="360" w:lineRule="auto"/>
        <w:ind w:right="210" w:rightChars="100" w:firstLine="422" w:firstLineChars="200"/>
        <w:outlineLvl w:val="3"/>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3.1培训方案</w:t>
      </w:r>
    </w:p>
    <w:p w14:paraId="344364C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培训目标和要求</w:t>
      </w:r>
    </w:p>
    <w:p w14:paraId="187E8402">
      <w:pPr>
        <w:spacing w:line="360" w:lineRule="auto"/>
        <w:ind w:firstLine="422" w:firstLineChars="200"/>
        <w:jc w:val="lef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3.2培训对象</w:t>
      </w:r>
    </w:p>
    <w:p w14:paraId="489B0669">
      <w:pPr>
        <w:spacing w:line="360" w:lineRule="auto"/>
        <w:ind w:firstLine="422" w:firstLineChars="20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3.3培训方式</w:t>
      </w:r>
    </w:p>
    <w:p w14:paraId="7E51C12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3.3.1系统使用培训：</w:t>
      </w:r>
    </w:p>
    <w:p w14:paraId="216B3123">
      <w:pPr>
        <w:spacing w:line="360" w:lineRule="auto"/>
        <w:ind w:firstLine="420" w:firstLineChars="200"/>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3.3.2培训课程及培训人数：</w:t>
      </w:r>
    </w:p>
    <w:p w14:paraId="2848C1E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3.3.3培训教师安排</w:t>
      </w:r>
    </w:p>
    <w:p w14:paraId="0A4307D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3.3.4培训时间安排</w:t>
      </w:r>
    </w:p>
    <w:p w14:paraId="488FBB69">
      <w:pPr>
        <w:spacing w:line="360" w:lineRule="auto"/>
        <w:ind w:firstLine="420" w:firstLineChars="200"/>
        <w:outlineLvl w:val="1"/>
        <w:rPr>
          <w:rFonts w:hint="eastAsia" w:ascii="宋体" w:hAnsi="宋体" w:eastAsia="宋体" w:cs="宋体"/>
          <w:color w:val="000000" w:themeColor="text1"/>
          <w:szCs w:val="21"/>
          <w14:textFill>
            <w14:solidFill>
              <w14:schemeClr w14:val="tx1"/>
            </w14:solidFill>
          </w14:textFill>
        </w:rPr>
      </w:pPr>
      <w:bookmarkStart w:id="20" w:name="_Toc23713"/>
      <w:r>
        <w:rPr>
          <w:rFonts w:hint="eastAsia" w:ascii="宋体" w:hAnsi="宋体" w:eastAsia="宋体" w:cs="宋体"/>
          <w:color w:val="000000" w:themeColor="text1"/>
          <w:szCs w:val="21"/>
          <w14:textFill>
            <w14:solidFill>
              <w14:schemeClr w14:val="tx1"/>
            </w14:solidFill>
          </w14:textFill>
        </w:rPr>
        <w:t>3.3.5培训及安全保证</w:t>
      </w:r>
      <w:bookmarkEnd w:id="20"/>
    </w:p>
    <w:p w14:paraId="4D1586DB">
      <w:pPr>
        <w:pStyle w:val="4"/>
        <w:spacing w:line="360" w:lineRule="auto"/>
        <w:rPr>
          <w:rFonts w:hint="eastAsia" w:ascii="宋体" w:hAnsi="宋体" w:eastAsia="宋体" w:cs="宋体"/>
          <w:snapToGrid w:val="0"/>
          <w:color w:val="000000" w:themeColor="text1"/>
          <w:sz w:val="21"/>
          <w:szCs w:val="21"/>
          <w14:textFill>
            <w14:solidFill>
              <w14:schemeClr w14:val="tx1"/>
            </w14:solidFill>
          </w14:textFill>
        </w:rPr>
      </w:pPr>
      <w:r>
        <w:rPr>
          <w:rFonts w:hint="eastAsia" w:ascii="宋体" w:hAnsi="宋体" w:eastAsia="宋体" w:cs="宋体"/>
          <w:snapToGrid w:val="0"/>
          <w:color w:val="000000" w:themeColor="text1"/>
          <w:sz w:val="21"/>
          <w:szCs w:val="21"/>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4DE365F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 设备本体对可能造成伤害的部位均应采用防护板或防护网隔离并有醒目警示。</w:t>
      </w:r>
    </w:p>
    <w:p w14:paraId="27CC5A0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③ 所用电气元件均按照国标选配，确保稳定安全，符合三防要求。</w:t>
      </w:r>
    </w:p>
    <w:bookmarkEnd w:id="17"/>
    <w:bookmarkEnd w:id="18"/>
    <w:bookmarkEnd w:id="19"/>
    <w:p w14:paraId="65A58997">
      <w:pPr>
        <w:spacing w:line="440" w:lineRule="exact"/>
        <w:ind w:right="210" w:rightChars="100" w:firstLine="420" w:firstLineChars="200"/>
        <w:outlineLvl w:val="3"/>
        <w:rPr>
          <w:rFonts w:hint="eastAsia" w:ascii="宋体" w:hAnsi="宋体" w:eastAsia="宋体" w:cs="宋体"/>
          <w:color w:val="000000" w:themeColor="text1"/>
          <w:szCs w:val="21"/>
          <w14:textFill>
            <w14:solidFill>
              <w14:schemeClr w14:val="tx1"/>
            </w14:solidFill>
          </w14:textFill>
        </w:rPr>
      </w:pPr>
    </w:p>
    <w:p w14:paraId="1A9C4CA9">
      <w:pPr>
        <w:spacing w:line="440" w:lineRule="exact"/>
        <w:jc w:val="left"/>
        <w:outlineLvl w:val="0"/>
        <w:rPr>
          <w:rFonts w:hint="eastAsia" w:ascii="宋体" w:hAnsi="宋体" w:eastAsia="宋体" w:cs="宋体"/>
          <w:color w:val="000000" w:themeColor="text1"/>
          <w:szCs w:val="21"/>
          <w14:textFill>
            <w14:solidFill>
              <w14:schemeClr w14:val="tx1"/>
            </w14:solidFill>
          </w14:textFill>
        </w:rPr>
      </w:pPr>
    </w:p>
    <w:p w14:paraId="7935AAF6">
      <w:pPr>
        <w:spacing w:line="440" w:lineRule="exact"/>
        <w:rPr>
          <w:rFonts w:hint="eastAsia" w:ascii="宋体" w:hAnsi="宋体" w:eastAsia="宋体" w:cs="宋体"/>
          <w:b/>
          <w:color w:val="000000" w:themeColor="text1"/>
          <w:szCs w:val="21"/>
          <w14:textFill>
            <w14:solidFill>
              <w14:schemeClr w14:val="tx1"/>
            </w14:solidFill>
          </w14:textFill>
        </w:rPr>
      </w:pPr>
    </w:p>
    <w:p w14:paraId="1AEC88B8">
      <w:pPr>
        <w:spacing w:line="440" w:lineRule="exact"/>
        <w:rPr>
          <w:rFonts w:hint="eastAsia" w:ascii="宋体" w:hAnsi="宋体" w:eastAsia="宋体" w:cs="宋体"/>
          <w:b/>
          <w:color w:val="000000" w:themeColor="text1"/>
          <w:szCs w:val="21"/>
          <w14:textFill>
            <w14:solidFill>
              <w14:schemeClr w14:val="tx1"/>
            </w14:solidFill>
          </w14:textFill>
        </w:rPr>
      </w:pPr>
      <w:bookmarkStart w:id="21" w:name="_Toc345966825"/>
      <w:bookmarkStart w:id="22" w:name="_Toc345966650"/>
      <w:bookmarkStart w:id="23" w:name="_Toc346025578"/>
    </w:p>
    <w:p w14:paraId="7F45BD4D">
      <w:pPr>
        <w:pStyle w:val="9"/>
        <w:numPr>
          <w:ilvl w:val="1"/>
          <w:numId w:val="1"/>
        </w:numPr>
        <w:spacing w:line="440" w:lineRule="exact"/>
        <w:ind w:left="0" w:firstLine="643" w:firstLineChars="0"/>
        <w:rPr>
          <w:rFonts w:hint="eastAsia" w:ascii="宋体" w:hAnsi="宋体" w:cs="宋体"/>
          <w:b/>
          <w:vanish/>
          <w:color w:val="000000" w:themeColor="text1"/>
          <w:szCs w:val="21"/>
          <w14:textFill>
            <w14:solidFill>
              <w14:schemeClr w14:val="tx1"/>
            </w14:solidFill>
          </w14:textFill>
        </w:rPr>
      </w:pPr>
    </w:p>
    <w:p w14:paraId="317C3799">
      <w:pPr>
        <w:pStyle w:val="9"/>
        <w:numPr>
          <w:ilvl w:val="1"/>
          <w:numId w:val="1"/>
        </w:numPr>
        <w:spacing w:line="440" w:lineRule="exact"/>
        <w:ind w:left="0" w:firstLine="643" w:firstLineChars="0"/>
        <w:rPr>
          <w:rFonts w:hint="eastAsia" w:ascii="宋体" w:hAnsi="宋体" w:cs="宋体"/>
          <w:b/>
          <w:vanish/>
          <w:color w:val="000000" w:themeColor="text1"/>
          <w:szCs w:val="21"/>
          <w14:textFill>
            <w14:solidFill>
              <w14:schemeClr w14:val="tx1"/>
            </w14:solidFill>
          </w14:textFill>
        </w:rPr>
      </w:pPr>
    </w:p>
    <w:p w14:paraId="056DAF8B">
      <w:pPr>
        <w:pStyle w:val="9"/>
        <w:numPr>
          <w:ilvl w:val="1"/>
          <w:numId w:val="1"/>
        </w:numPr>
        <w:spacing w:line="440" w:lineRule="exact"/>
        <w:ind w:left="0" w:firstLine="643" w:firstLineChars="0"/>
        <w:rPr>
          <w:rFonts w:hint="eastAsia" w:ascii="宋体" w:hAnsi="宋体" w:cs="宋体"/>
          <w:b/>
          <w:vanish/>
          <w:color w:val="000000" w:themeColor="text1"/>
          <w:szCs w:val="21"/>
          <w14:textFill>
            <w14:solidFill>
              <w14:schemeClr w14:val="tx1"/>
            </w14:solidFill>
          </w14:textFill>
        </w:rPr>
      </w:pPr>
    </w:p>
    <w:p w14:paraId="5BF41B7F">
      <w:pPr>
        <w:pStyle w:val="9"/>
        <w:numPr>
          <w:ilvl w:val="1"/>
          <w:numId w:val="1"/>
        </w:numPr>
        <w:spacing w:line="440" w:lineRule="exact"/>
        <w:ind w:left="0" w:firstLine="643" w:firstLineChars="0"/>
        <w:rPr>
          <w:rFonts w:hint="eastAsia" w:ascii="宋体" w:hAnsi="宋体" w:cs="宋体"/>
          <w:b/>
          <w:vanish/>
          <w:color w:val="000000" w:themeColor="text1"/>
          <w:szCs w:val="21"/>
          <w14:textFill>
            <w14:solidFill>
              <w14:schemeClr w14:val="tx1"/>
            </w14:solidFill>
          </w14:textFill>
        </w:rPr>
      </w:pPr>
    </w:p>
    <w:bookmarkEnd w:id="21"/>
    <w:bookmarkEnd w:id="22"/>
    <w:bookmarkEnd w:id="23"/>
    <w:p w14:paraId="3ECFB339">
      <w:pPr>
        <w:spacing w:line="440" w:lineRule="exact"/>
        <w:rPr>
          <w:rFonts w:hint="eastAsia" w:ascii="宋体" w:hAnsi="宋体" w:eastAsia="宋体" w:cs="宋体"/>
          <w:color w:val="000000" w:themeColor="text1"/>
          <w:szCs w:val="21"/>
          <w14:textFill>
            <w14:solidFill>
              <w14:schemeClr w14:val="tx1"/>
            </w14:solidFill>
          </w14:textFill>
        </w:rPr>
      </w:pPr>
    </w:p>
    <w:p w14:paraId="411B749D">
      <w:pPr>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p>
    <w:p w14:paraId="55557BE2">
      <w:pPr>
        <w:widowControl/>
        <w:spacing w:before="100" w:beforeAutospacing="1" w:after="100" w:afterAutospacing="1" w:line="3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甲方使用单位：西安建筑科技大学XX学院</w:t>
      </w:r>
      <w:r>
        <w:rPr>
          <w:rFonts w:hint="eastAsia" w:ascii="宋体" w:hAnsi="宋体" w:eastAsia="宋体" w:cs="宋体"/>
          <w:b/>
          <w:color w:val="000000" w:themeColor="text1"/>
          <w:sz w:val="24"/>
          <w14:textFill>
            <w14:solidFill>
              <w14:schemeClr w14:val="tx1"/>
            </w14:solidFill>
          </w14:textFill>
        </w:rPr>
        <w:tab/>
      </w:r>
      <w:r>
        <w:rPr>
          <w:rFonts w:hint="eastAsia" w:ascii="宋体" w:hAnsi="宋体" w:eastAsia="宋体" w:cs="宋体"/>
          <w:b/>
          <w:color w:val="000000" w:themeColor="text1"/>
          <w:sz w:val="24"/>
          <w14:textFill>
            <w14:solidFill>
              <w14:schemeClr w14:val="tx1"/>
            </w14:solidFill>
          </w14:textFill>
        </w:rPr>
        <w:t xml:space="preserve">          乙方： </w:t>
      </w:r>
    </w:p>
    <w:p w14:paraId="4B7E6691">
      <w:pPr>
        <w:rPr>
          <w:rFonts w:hint="eastAsia" w:ascii="宋体" w:hAnsi="宋体" w:eastAsia="宋体" w:cs="宋体"/>
          <w:b/>
          <w:color w:val="000000" w:themeColor="text1"/>
          <w:sz w:val="24"/>
          <w14:textFill>
            <w14:solidFill>
              <w14:schemeClr w14:val="tx1"/>
            </w14:solidFill>
          </w14:textFill>
        </w:rPr>
      </w:pPr>
    </w:p>
    <w:p w14:paraId="4B319DDE">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负责人：                                        负责人：</w:t>
      </w:r>
    </w:p>
    <w:p w14:paraId="49823BA5">
      <w:pPr>
        <w:rPr>
          <w:rFonts w:hint="eastAsia" w:ascii="宋体" w:hAnsi="宋体" w:eastAsia="宋体" w:cs="宋体"/>
          <w:b/>
          <w:color w:val="000000" w:themeColor="text1"/>
          <w:sz w:val="24"/>
          <w14:textFill>
            <w14:solidFill>
              <w14:schemeClr w14:val="tx1"/>
            </w14:solidFill>
          </w14:textFill>
        </w:rPr>
      </w:pPr>
    </w:p>
    <w:p w14:paraId="2436F54C">
      <w:pP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br w:type="textWrapping"/>
      </w:r>
    </w:p>
    <w:p w14:paraId="6B6D1B9B">
      <w:pPr>
        <w:adjustRightInd w:val="0"/>
        <w:snapToGrid w:val="0"/>
        <w:rPr>
          <w:rFonts w:hint="eastAsia" w:ascii="宋体" w:hAnsi="宋体" w:eastAsia="宋体" w:cs="宋体"/>
          <w:color w:val="000000" w:themeColor="text1"/>
          <w:sz w:val="36"/>
          <w:szCs w:val="36"/>
          <w14:textFill>
            <w14:solidFill>
              <w14:schemeClr w14:val="tx1"/>
            </w14:solidFill>
          </w14:textFill>
        </w:rPr>
      </w:pPr>
    </w:p>
    <w:p w14:paraId="1D05AE8B"/>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F75FF">
    <w:pPr>
      <w:pStyle w:val="3"/>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EFD177">
                          <w:pPr>
                            <w:pStyle w:val="3"/>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21EFD177">
                    <w:pPr>
                      <w:pStyle w:val="3"/>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951C24"/>
    <w:rsid w:val="7A951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640" w:lineRule="exact"/>
      <w:ind w:firstLine="585"/>
    </w:pPr>
    <w:rPr>
      <w:rFonts w:ascii="楷体_GB2312" w:eastAsia="楷体_GB2312"/>
      <w:sz w:val="3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2"/>
    <w:basedOn w:val="2"/>
    <w:qFormat/>
    <w:uiPriority w:val="0"/>
    <w:pPr>
      <w:ind w:firstLine="420" w:firstLineChars="200"/>
    </w:pPr>
  </w:style>
  <w:style w:type="character" w:styleId="7">
    <w:name w:val="Strong"/>
    <w:basedOn w:val="6"/>
    <w:qFormat/>
    <w:uiPriority w:val="22"/>
    <w:rPr>
      <w:b/>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styleId="9">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2026-06-04T03:44:00Z</dcterms:created>
  <dc:creator>Aurora</dc:creator>
  <cp:lastModifiedBy>Aurora</cp:lastModifiedBy>
  <dcterms:modified xsi:type="dcterms:W3CDTF">2026-06-04T03:45:22Z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F807CE4C1F7A456DB7C6783F54A1AB8E_11</vt:lpwstr>
  </property>
  <property fmtid="{D5CDD505-2E9C-101B-9397-08002B2CF9AE}" pid="4" name="KSOTemplateDocerSaveRecord">
    <vt:lpwstr>eyJoZGlkIjoiMjFkZWJjZjdkYjI4NGFiYWJjNTI5ZmQzMDdiZTdjOTQiLCJ1c2VySWQiOiIzMjMxNzgwNTIifQ==</vt:lpwstr>
  </property>
</Properties>
</file>