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FF06B2">
      <w:pPr>
        <w:pStyle w:val="9"/>
        <w:jc w:val="center"/>
        <w:outlineLvl w:val="3"/>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采购需求</w:t>
      </w:r>
    </w:p>
    <w:p w14:paraId="15B48E53">
      <w:pPr>
        <w:pStyle w:val="9"/>
        <w:outlineLvl w:val="3"/>
        <w:rPr>
          <w:rFonts w:hint="eastAsia" w:ascii="仿宋" w:hAnsi="仿宋" w:eastAsia="仿宋" w:cs="仿宋"/>
        </w:rPr>
      </w:pPr>
      <w:r>
        <w:rPr>
          <w:rFonts w:hint="eastAsia" w:ascii="仿宋" w:hAnsi="仿宋" w:eastAsia="仿宋" w:cs="仿宋"/>
        </w:rPr>
        <w:t>采购包1：</w:t>
      </w:r>
      <w:bookmarkStart w:id="0" w:name="_GoBack"/>
      <w:bookmarkEnd w:id="0"/>
    </w:p>
    <w:p w14:paraId="4BF9D92A">
      <w:pPr>
        <w:pStyle w:val="9"/>
        <w:rPr>
          <w:rFonts w:hint="eastAsia" w:ascii="仿宋" w:hAnsi="仿宋" w:eastAsia="仿宋" w:cs="仿宋"/>
          <w:lang w:eastAsia="zh-CN"/>
        </w:rPr>
      </w:pPr>
      <w:r>
        <w:rPr>
          <w:rFonts w:hint="eastAsia" w:ascii="仿宋" w:hAnsi="仿宋" w:eastAsia="仿宋" w:cs="仿宋"/>
        </w:rPr>
        <w:t>标的名称：秦岭生态环境保护常态化监管</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
        <w:gridCol w:w="954"/>
        <w:gridCol w:w="6726"/>
      </w:tblGrid>
      <w:tr w14:paraId="715CE2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5EA8346A">
            <w:pPr>
              <w:pStyle w:val="9"/>
              <w:jc w:val="center"/>
              <w:rPr>
                <w:rFonts w:hint="eastAsia" w:ascii="仿宋" w:hAnsi="仿宋" w:eastAsia="仿宋" w:cs="仿宋"/>
                <w:sz w:val="20"/>
                <w:szCs w:val="20"/>
              </w:rPr>
            </w:pPr>
            <w:r>
              <w:rPr>
                <w:rFonts w:hint="eastAsia" w:ascii="仿宋" w:hAnsi="仿宋" w:eastAsia="仿宋" w:cs="仿宋"/>
                <w:sz w:val="20"/>
                <w:szCs w:val="20"/>
              </w:rPr>
              <w:t>序号</w:t>
            </w:r>
          </w:p>
        </w:tc>
        <w:tc>
          <w:tcPr>
            <w:tcW w:w="954" w:type="dxa"/>
            <w:vAlign w:val="center"/>
          </w:tcPr>
          <w:p w14:paraId="4A1081F7">
            <w:pPr>
              <w:pStyle w:val="9"/>
              <w:jc w:val="center"/>
              <w:rPr>
                <w:rFonts w:hint="eastAsia" w:ascii="仿宋" w:hAnsi="仿宋" w:eastAsia="仿宋" w:cs="仿宋"/>
                <w:sz w:val="20"/>
                <w:szCs w:val="20"/>
              </w:rPr>
            </w:pPr>
            <w:r>
              <w:rPr>
                <w:rFonts w:hint="eastAsia" w:ascii="仿宋" w:hAnsi="仿宋" w:eastAsia="仿宋" w:cs="仿宋"/>
                <w:sz w:val="20"/>
                <w:szCs w:val="20"/>
              </w:rPr>
              <w:t>参数</w:t>
            </w:r>
          </w:p>
          <w:p w14:paraId="28B5A4FE">
            <w:pPr>
              <w:pStyle w:val="9"/>
              <w:jc w:val="center"/>
              <w:rPr>
                <w:rFonts w:hint="eastAsia" w:ascii="仿宋" w:hAnsi="仿宋" w:eastAsia="仿宋" w:cs="仿宋"/>
                <w:sz w:val="20"/>
                <w:szCs w:val="20"/>
              </w:rPr>
            </w:pPr>
            <w:r>
              <w:rPr>
                <w:rFonts w:hint="eastAsia" w:ascii="仿宋" w:hAnsi="仿宋" w:eastAsia="仿宋" w:cs="仿宋"/>
                <w:sz w:val="20"/>
                <w:szCs w:val="20"/>
              </w:rPr>
              <w:t>性质</w:t>
            </w:r>
          </w:p>
        </w:tc>
        <w:tc>
          <w:tcPr>
            <w:tcW w:w="6726" w:type="dxa"/>
            <w:vAlign w:val="center"/>
          </w:tcPr>
          <w:p w14:paraId="537413D1">
            <w:pPr>
              <w:pStyle w:val="9"/>
              <w:jc w:val="center"/>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7D1196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4C337864">
            <w:pPr>
              <w:pStyle w:val="9"/>
              <w:jc w:val="center"/>
              <w:rPr>
                <w:rFonts w:hint="eastAsia" w:ascii="仿宋" w:hAnsi="仿宋" w:eastAsia="仿宋" w:cs="仿宋"/>
                <w:sz w:val="20"/>
                <w:szCs w:val="20"/>
              </w:rPr>
            </w:pPr>
            <w:r>
              <w:rPr>
                <w:rFonts w:hint="eastAsia" w:ascii="仿宋" w:hAnsi="仿宋" w:eastAsia="仿宋" w:cs="仿宋"/>
                <w:sz w:val="20"/>
                <w:szCs w:val="20"/>
              </w:rPr>
              <w:t>1</w:t>
            </w:r>
          </w:p>
        </w:tc>
        <w:tc>
          <w:tcPr>
            <w:tcW w:w="954" w:type="dxa"/>
            <w:vAlign w:val="center"/>
          </w:tcPr>
          <w:p w14:paraId="777242A2">
            <w:pPr>
              <w:jc w:val="center"/>
              <w:rPr>
                <w:rFonts w:hint="eastAsia" w:ascii="仿宋" w:hAnsi="仿宋" w:eastAsia="仿宋" w:cs="仿宋"/>
                <w:sz w:val="20"/>
                <w:szCs w:val="20"/>
              </w:rPr>
            </w:pPr>
          </w:p>
        </w:tc>
        <w:tc>
          <w:tcPr>
            <w:tcW w:w="6726" w:type="dxa"/>
            <w:vAlign w:val="center"/>
          </w:tcPr>
          <w:p w14:paraId="58D6997C">
            <w:pPr>
              <w:keepNext w:val="0"/>
              <w:keepLines w:val="0"/>
              <w:pageBreakBefore w:val="0"/>
              <w:widowControl w:val="0"/>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一、</w:t>
            </w:r>
            <w:r>
              <w:rPr>
                <w:rFonts w:hint="eastAsia" w:ascii="仿宋" w:hAnsi="仿宋" w:eastAsia="仿宋" w:cs="仿宋"/>
                <w:b/>
                <w:bCs/>
                <w:sz w:val="20"/>
                <w:szCs w:val="20"/>
              </w:rPr>
              <w:t>本包概况</w:t>
            </w:r>
          </w:p>
          <w:p w14:paraId="5B8D2EA5">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本采购包为2026年秦岭生态环境保护常态化监管工作，</w:t>
            </w:r>
            <w:r>
              <w:rPr>
                <w:rFonts w:hint="eastAsia" w:ascii="仿宋" w:hAnsi="仿宋" w:eastAsia="仿宋" w:cs="仿宋"/>
                <w:b w:val="0"/>
                <w:bCs w:val="0"/>
                <w:color w:val="auto"/>
                <w:sz w:val="20"/>
                <w:szCs w:val="20"/>
                <w:lang w:val="en-US" w:eastAsia="zh-CN"/>
              </w:rPr>
              <w:t>主要建设内容包括：秦岭区域</w:t>
            </w:r>
            <w:r>
              <w:rPr>
                <w:rFonts w:hint="eastAsia" w:ascii="仿宋" w:hAnsi="仿宋" w:eastAsia="仿宋" w:cs="仿宋"/>
                <w:b w:val="0"/>
                <w:bCs/>
                <w:color w:val="auto"/>
                <w:sz w:val="20"/>
                <w:szCs w:val="20"/>
                <w:lang w:val="en-US" w:eastAsia="zh-CN"/>
              </w:rPr>
              <w:t>（陕西段）卫星影像疑似问题图斑监测、网格化监管平台运维、充实生态保护数据资源、秦岭保护技术支撑、省市县平台贯通相关技术服务等。</w:t>
            </w:r>
          </w:p>
          <w:p w14:paraId="6174B030">
            <w:pPr>
              <w:keepNext w:val="0"/>
              <w:keepLines w:val="0"/>
              <w:pageBreakBefore w:val="0"/>
              <w:widowControl w:val="0"/>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二、服务内容及服务要求</w:t>
            </w:r>
          </w:p>
          <w:p w14:paraId="39F10576">
            <w:pPr>
              <w:keepNext w:val="0"/>
              <w:keepLines w:val="0"/>
              <w:pageBreakBefore w:val="0"/>
              <w:widowControl w:val="0"/>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sz w:val="20"/>
                <w:szCs w:val="20"/>
                <w:lang w:val="en-US" w:eastAsia="zh-CN"/>
              </w:rPr>
            </w:pPr>
            <w:r>
              <w:rPr>
                <w:rFonts w:hint="eastAsia" w:ascii="仿宋" w:hAnsi="仿宋" w:eastAsia="仿宋" w:cs="仿宋"/>
                <w:b/>
                <w:sz w:val="20"/>
                <w:szCs w:val="20"/>
                <w:lang w:eastAsia="zh-CN"/>
              </w:rPr>
              <w:t>（</w:t>
            </w:r>
            <w:r>
              <w:rPr>
                <w:rFonts w:hint="eastAsia" w:ascii="仿宋" w:hAnsi="仿宋" w:eastAsia="仿宋" w:cs="仿宋"/>
                <w:b/>
                <w:sz w:val="20"/>
                <w:szCs w:val="20"/>
                <w:lang w:val="en-US" w:eastAsia="zh-CN"/>
              </w:rPr>
              <w:t>一</w:t>
            </w:r>
            <w:r>
              <w:rPr>
                <w:rFonts w:hint="eastAsia" w:ascii="仿宋" w:hAnsi="仿宋" w:eastAsia="仿宋" w:cs="仿宋"/>
                <w:b/>
                <w:sz w:val="20"/>
                <w:szCs w:val="20"/>
                <w:lang w:eastAsia="zh-CN"/>
              </w:rPr>
              <w:t>）</w:t>
            </w:r>
            <w:r>
              <w:rPr>
                <w:rFonts w:hint="eastAsia" w:ascii="仿宋" w:hAnsi="仿宋" w:eastAsia="仿宋" w:cs="仿宋"/>
                <w:b/>
                <w:sz w:val="20"/>
                <w:szCs w:val="20"/>
                <w:lang w:val="en-US" w:eastAsia="zh-CN"/>
              </w:rPr>
              <w:t>服务内容</w:t>
            </w:r>
          </w:p>
          <w:p w14:paraId="2E1D406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1.卫星影像疑似问题图斑监测</w:t>
            </w:r>
          </w:p>
          <w:p w14:paraId="388F12DB">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包括重点地区影像获取，6期次的影像收集与处理、疑似问题图斑监测、图斑外业抽查，</w:t>
            </w:r>
            <w:r>
              <w:rPr>
                <w:rFonts w:hint="eastAsia" w:ascii="仿宋" w:hAnsi="仿宋" w:eastAsia="仿宋" w:cs="仿宋"/>
                <w:b w:val="0"/>
                <w:bCs/>
                <w:color w:val="auto"/>
                <w:sz w:val="20"/>
                <w:szCs w:val="20"/>
                <w:highlight w:val="none"/>
                <w:lang w:val="en-US" w:eastAsia="zh-CN"/>
              </w:rPr>
              <w:t>开展图斑审核</w:t>
            </w:r>
            <w:r>
              <w:rPr>
                <w:rFonts w:hint="eastAsia" w:ascii="仿宋" w:hAnsi="仿宋" w:eastAsia="仿宋" w:cs="仿宋"/>
                <w:b w:val="0"/>
                <w:bCs/>
                <w:color w:val="auto"/>
                <w:sz w:val="20"/>
                <w:szCs w:val="20"/>
                <w:lang w:val="en-US" w:eastAsia="zh-CN"/>
              </w:rPr>
              <w:t>。</w:t>
            </w:r>
          </w:p>
          <w:p w14:paraId="2AB5095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2.网格化监管平台运维</w:t>
            </w:r>
          </w:p>
          <w:p w14:paraId="4773FD44">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包括视频图像“算法超市”建设、视频监控模块优化、行业部门图斑审核流程优化、行业数据汇聚展示、密改服务、运维中心日常维护、2500点位视频监控资源点位外业调查。</w:t>
            </w:r>
          </w:p>
          <w:p w14:paraId="2946414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3.充实生态保护数据资源</w:t>
            </w:r>
          </w:p>
          <w:p w14:paraId="104D0B29">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包括保护分区数据整合、治理及更新，其他专题数据更新、制图及印制。</w:t>
            </w:r>
          </w:p>
          <w:p w14:paraId="3DE592E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4.秦岭保护技术支撑</w:t>
            </w:r>
          </w:p>
          <w:p w14:paraId="6504DDE7">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包括各类督导检查资料准备（点位筛选、点位资料梳理、线路规划等）、无人机技术支撑、取证、点位复核、无人机数据处理与建模、内业数据综合比对套图、记录整理、研判资料准备、佐证资料复核、综合研判、举报问题线索初步核查、样本检测等。</w:t>
            </w:r>
          </w:p>
          <w:p w14:paraId="7F3373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5.省市县平台贯通</w:t>
            </w:r>
          </w:p>
          <w:p w14:paraId="1F6D1C39">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包括数据整理优化、数据同步标准接口建设、数据标准与对接规范设计编制、平台端功能优化、移动端功能优化、省级统筹监管、功能、接口联调测试。</w:t>
            </w:r>
          </w:p>
          <w:p w14:paraId="4D506194">
            <w:pPr>
              <w:keepNext w:val="0"/>
              <w:keepLines w:val="0"/>
              <w:pageBreakBefore w:val="0"/>
              <w:widowControl w:val="0"/>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sz w:val="20"/>
                <w:szCs w:val="20"/>
                <w:lang w:val="en-US" w:eastAsia="zh-CN"/>
              </w:rPr>
            </w:pPr>
            <w:r>
              <w:rPr>
                <w:rFonts w:hint="eastAsia" w:ascii="仿宋" w:hAnsi="仿宋" w:eastAsia="仿宋" w:cs="仿宋"/>
                <w:b/>
                <w:sz w:val="20"/>
                <w:szCs w:val="20"/>
                <w:lang w:val="en-US" w:eastAsia="zh-CN"/>
              </w:rPr>
              <w:t>（二）服务要求</w:t>
            </w:r>
          </w:p>
          <w:p w14:paraId="38EF3142">
            <w:pPr>
              <w:pStyle w:val="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2" w:firstLineChars="200"/>
              <w:jc w:val="left"/>
              <w:textAlignment w:val="auto"/>
              <w:outlineLvl w:val="3"/>
              <w:rPr>
                <w:rFonts w:hint="eastAsia" w:ascii="仿宋" w:hAnsi="仿宋" w:eastAsia="仿宋" w:cs="仿宋"/>
                <w:b/>
                <w:bCs w:val="0"/>
                <w:sz w:val="20"/>
                <w:szCs w:val="20"/>
                <w:lang w:val="en-US" w:eastAsia="zh-CN"/>
              </w:rPr>
            </w:pPr>
            <w:r>
              <w:rPr>
                <w:rFonts w:hint="eastAsia" w:ascii="仿宋" w:hAnsi="仿宋" w:eastAsia="仿宋" w:cs="仿宋"/>
                <w:b/>
                <w:bCs w:val="0"/>
                <w:sz w:val="20"/>
                <w:szCs w:val="20"/>
                <w:lang w:val="en-US" w:eastAsia="zh-CN"/>
              </w:rPr>
              <w:t>2.1 技术依据</w:t>
            </w:r>
          </w:p>
          <w:p w14:paraId="40F141D9">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本采购包全部工作须遵循国家、行业及陕西省秦岭生态保护、测绘地理信息相关现行法律、法规、标准规范及政策文件，主要技术依据包括但不限于以下内容：</w:t>
            </w:r>
          </w:p>
          <w:p w14:paraId="46B59C1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w:t>
            </w:r>
            <w:r>
              <w:rPr>
                <w:rFonts w:hint="eastAsia" w:ascii="仿宋" w:hAnsi="仿宋" w:eastAsia="仿宋" w:cs="仿宋"/>
                <w:b w:val="0"/>
                <w:bCs/>
                <w:color w:val="auto"/>
                <w:sz w:val="20"/>
                <w:szCs w:val="20"/>
                <w:lang w:val="en-US" w:eastAsia="zh-CN"/>
              </w:rPr>
              <w:t>《中华人民共和国生态环境法典》；</w:t>
            </w:r>
          </w:p>
          <w:p w14:paraId="0B66876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(2)</w:t>
            </w:r>
            <w:r>
              <w:rPr>
                <w:rFonts w:hint="eastAsia" w:ascii="仿宋" w:hAnsi="仿宋" w:eastAsia="仿宋" w:cs="仿宋"/>
                <w:b w:val="0"/>
                <w:bCs/>
                <w:color w:val="auto"/>
                <w:sz w:val="20"/>
                <w:szCs w:val="20"/>
                <w:lang w:val="en-US" w:eastAsia="zh-CN"/>
              </w:rPr>
              <w:t>《中华人民共和国测绘法》；</w:t>
            </w:r>
          </w:p>
          <w:p w14:paraId="236081F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(3)</w:t>
            </w:r>
            <w:r>
              <w:rPr>
                <w:rFonts w:hint="eastAsia" w:ascii="仿宋" w:hAnsi="仿宋" w:eastAsia="仿宋" w:cs="仿宋"/>
                <w:b w:val="0"/>
                <w:bCs/>
                <w:color w:val="auto"/>
                <w:sz w:val="20"/>
                <w:szCs w:val="20"/>
                <w:lang w:val="en-US" w:eastAsia="zh-CN"/>
              </w:rPr>
              <w:t>《中华人民共和国测绘成果管理条例》；</w:t>
            </w:r>
          </w:p>
          <w:p w14:paraId="2309BCC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(4)</w:t>
            </w:r>
            <w:r>
              <w:rPr>
                <w:rFonts w:hint="eastAsia" w:ascii="仿宋" w:hAnsi="仿宋" w:eastAsia="仿宋" w:cs="仿宋"/>
                <w:b w:val="0"/>
                <w:bCs/>
                <w:color w:val="auto"/>
                <w:sz w:val="20"/>
                <w:szCs w:val="20"/>
                <w:lang w:val="en-US" w:eastAsia="zh-CN"/>
              </w:rPr>
              <w:t>《陕西省秦岭生态环境保护条例》（2019修订）；</w:t>
            </w:r>
          </w:p>
          <w:p w14:paraId="19CEC70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(5)</w:t>
            </w:r>
            <w:r>
              <w:rPr>
                <w:rFonts w:hint="eastAsia" w:ascii="仿宋" w:hAnsi="仿宋" w:eastAsia="仿宋" w:cs="仿宋"/>
                <w:b w:val="0"/>
                <w:bCs/>
                <w:color w:val="auto"/>
                <w:sz w:val="20"/>
                <w:szCs w:val="20"/>
                <w:lang w:val="en-US" w:eastAsia="zh-CN"/>
              </w:rPr>
              <w:t>GB/T 24356-2023《测绘成果质量检查与验收》；</w:t>
            </w:r>
          </w:p>
          <w:p w14:paraId="161DF15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(6)</w:t>
            </w:r>
            <w:r>
              <w:rPr>
                <w:rFonts w:hint="eastAsia" w:ascii="仿宋" w:hAnsi="仿宋" w:eastAsia="仿宋" w:cs="仿宋"/>
                <w:b w:val="0"/>
                <w:bCs/>
                <w:color w:val="auto"/>
                <w:sz w:val="20"/>
                <w:szCs w:val="20"/>
                <w:lang w:val="en-US" w:eastAsia="zh-CN"/>
              </w:rPr>
              <w:t>GB/T 15967-2024《1∶500 1∶1000 1∶2000地形图数字航空摄影测量测图规范》；</w:t>
            </w:r>
          </w:p>
          <w:p w14:paraId="24553A3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(7)</w:t>
            </w:r>
            <w:r>
              <w:rPr>
                <w:rFonts w:hint="eastAsia" w:ascii="仿宋" w:hAnsi="仿宋" w:eastAsia="仿宋" w:cs="仿宋"/>
                <w:b w:val="0"/>
                <w:bCs/>
                <w:color w:val="auto"/>
                <w:sz w:val="20"/>
                <w:szCs w:val="20"/>
                <w:lang w:val="en-US" w:eastAsia="zh-CN"/>
              </w:rPr>
              <w:t>GB/T 15968-2008《遥感影像平面图制作规范》；</w:t>
            </w:r>
          </w:p>
          <w:p w14:paraId="3574E6D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(8)</w:t>
            </w:r>
            <w:r>
              <w:rPr>
                <w:rFonts w:hint="eastAsia" w:ascii="仿宋" w:hAnsi="仿宋" w:eastAsia="仿宋" w:cs="仿宋"/>
                <w:b w:val="0"/>
                <w:bCs/>
                <w:color w:val="auto"/>
                <w:sz w:val="20"/>
                <w:szCs w:val="20"/>
                <w:lang w:val="en-US" w:eastAsia="zh-CN"/>
              </w:rPr>
              <w:t>GB/T 39616-2020《卫星导航定位基准站网络实时动态测量（RTK） 规范》；</w:t>
            </w:r>
          </w:p>
          <w:p w14:paraId="68C8892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(9)</w:t>
            </w:r>
            <w:r>
              <w:rPr>
                <w:rFonts w:hint="eastAsia" w:ascii="仿宋" w:hAnsi="仿宋" w:eastAsia="仿宋" w:cs="仿宋"/>
                <w:b w:val="0"/>
                <w:bCs/>
                <w:color w:val="auto"/>
                <w:sz w:val="20"/>
                <w:szCs w:val="20"/>
                <w:lang w:val="en-US" w:eastAsia="zh-CN"/>
              </w:rPr>
              <w:t>GB/T 39740-2020《自然保护地勘界立标规范》；</w:t>
            </w:r>
          </w:p>
          <w:p w14:paraId="236F6FB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(10)</w:t>
            </w:r>
            <w:r>
              <w:rPr>
                <w:rFonts w:hint="eastAsia" w:ascii="仿宋" w:hAnsi="仿宋" w:eastAsia="仿宋" w:cs="仿宋"/>
                <w:b w:val="0"/>
                <w:bCs/>
                <w:color w:val="auto"/>
                <w:sz w:val="20"/>
                <w:szCs w:val="20"/>
                <w:lang w:val="en-US" w:eastAsia="zh-CN"/>
              </w:rPr>
              <w:t>GB/T 39786-2021《信息安全技术 信息系统密码应用基本要求》；</w:t>
            </w:r>
          </w:p>
          <w:p w14:paraId="1D88848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(11)</w:t>
            </w:r>
            <w:r>
              <w:rPr>
                <w:rFonts w:hint="eastAsia" w:ascii="仿宋" w:hAnsi="仿宋" w:eastAsia="仿宋" w:cs="仿宋"/>
                <w:b w:val="0"/>
                <w:bCs/>
                <w:color w:val="auto"/>
                <w:sz w:val="20"/>
                <w:szCs w:val="20"/>
                <w:lang w:val="en-US" w:eastAsia="zh-CN"/>
              </w:rPr>
              <w:t>CH/T 1015.3-2007《基础地理信息数字产品 1:10000 1:50000生产技术规程 第3部分：数字正射影像图（DOM）》;</w:t>
            </w:r>
          </w:p>
          <w:p w14:paraId="5B78EE9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(12)</w:t>
            </w:r>
            <w:r>
              <w:rPr>
                <w:rFonts w:hint="eastAsia" w:ascii="仿宋" w:hAnsi="仿宋" w:eastAsia="仿宋" w:cs="仿宋"/>
                <w:b w:val="0"/>
                <w:bCs/>
                <w:color w:val="auto"/>
                <w:sz w:val="20"/>
                <w:szCs w:val="20"/>
                <w:lang w:val="en-US" w:eastAsia="zh-CN"/>
              </w:rPr>
              <w:t>TD/T 1010-2015《土地利用动态遥感监测规程》；</w:t>
            </w:r>
          </w:p>
          <w:p w14:paraId="6509F2A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(13)</w:t>
            </w:r>
            <w:r>
              <w:rPr>
                <w:rFonts w:hint="eastAsia" w:ascii="仿宋" w:hAnsi="仿宋" w:eastAsia="仿宋" w:cs="仿宋"/>
                <w:b w:val="0"/>
                <w:bCs/>
                <w:color w:val="auto"/>
                <w:sz w:val="20"/>
                <w:szCs w:val="20"/>
                <w:lang w:val="en-US" w:eastAsia="zh-CN"/>
              </w:rPr>
              <w:t>TD/T 1055-2019《第三次全国国土调查技术规程》;</w:t>
            </w:r>
          </w:p>
          <w:p w14:paraId="75CAB1D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(14)</w:t>
            </w:r>
            <w:r>
              <w:rPr>
                <w:rFonts w:hint="eastAsia" w:ascii="仿宋" w:hAnsi="仿宋" w:eastAsia="仿宋" w:cs="仿宋"/>
                <w:b w:val="0"/>
                <w:bCs/>
                <w:color w:val="auto"/>
                <w:sz w:val="20"/>
                <w:szCs w:val="20"/>
                <w:lang w:val="en-US" w:eastAsia="zh-CN"/>
              </w:rPr>
              <w:t>HJ 1337-2023《生态保护红线监管技术规范 疑似生态破坏问题图斑遥感识别（试行）》；</w:t>
            </w:r>
          </w:p>
          <w:p w14:paraId="7637CAA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(15)</w:t>
            </w:r>
            <w:r>
              <w:rPr>
                <w:rFonts w:hint="eastAsia" w:ascii="仿宋" w:hAnsi="仿宋" w:eastAsia="仿宋" w:cs="仿宋"/>
                <w:b w:val="0"/>
                <w:bCs/>
                <w:color w:val="auto"/>
                <w:sz w:val="20"/>
                <w:szCs w:val="20"/>
                <w:lang w:val="en-US" w:eastAsia="zh-CN"/>
              </w:rPr>
              <w:t>HJ 1156-2021《自然保护地人类活动遥感监测技术规范》；</w:t>
            </w:r>
          </w:p>
          <w:p w14:paraId="2E8B7C5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(16)</w:t>
            </w:r>
            <w:r>
              <w:rPr>
                <w:rFonts w:hint="eastAsia" w:ascii="仿宋" w:hAnsi="仿宋" w:eastAsia="仿宋" w:cs="仿宋"/>
                <w:b w:val="0"/>
                <w:bCs/>
                <w:color w:val="auto"/>
                <w:sz w:val="20"/>
                <w:szCs w:val="20"/>
                <w:lang w:val="en-US" w:eastAsia="zh-CN"/>
              </w:rPr>
              <w:t>HJ 338-2018 饮用水水源保护区划分技术规范；</w:t>
            </w:r>
          </w:p>
          <w:p w14:paraId="46126F8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(17)</w:t>
            </w:r>
            <w:r>
              <w:rPr>
                <w:rFonts w:hint="eastAsia" w:ascii="仿宋" w:hAnsi="仿宋" w:eastAsia="仿宋" w:cs="仿宋"/>
                <w:b w:val="0"/>
                <w:bCs/>
                <w:color w:val="auto"/>
                <w:sz w:val="20"/>
                <w:szCs w:val="20"/>
                <w:lang w:val="en-US" w:eastAsia="zh-CN"/>
              </w:rPr>
              <w:t>DB61/T 1882-2024《秦岭生态环境保护区标识规范》；</w:t>
            </w:r>
          </w:p>
          <w:p w14:paraId="15D60CB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(18)</w:t>
            </w:r>
            <w:r>
              <w:rPr>
                <w:rFonts w:hint="eastAsia" w:ascii="仿宋" w:hAnsi="仿宋" w:eastAsia="仿宋" w:cs="仿宋"/>
                <w:b w:val="0"/>
                <w:bCs/>
                <w:color w:val="auto"/>
                <w:sz w:val="20"/>
                <w:szCs w:val="20"/>
                <w:lang w:val="en-US" w:eastAsia="zh-CN"/>
              </w:rPr>
              <w:t>DB61/T 1883-2024《秦岭生态环境保护区勘界立标规范》；</w:t>
            </w:r>
          </w:p>
          <w:p w14:paraId="03942CD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0000FF"/>
                <w:sz w:val="20"/>
                <w:szCs w:val="20"/>
                <w:lang w:val="en-US" w:eastAsia="zh-CN"/>
              </w:rPr>
            </w:pPr>
            <w:r>
              <w:rPr>
                <w:rFonts w:hint="default" w:ascii="仿宋" w:hAnsi="仿宋" w:eastAsia="仿宋" w:cs="仿宋"/>
                <w:b w:val="0"/>
                <w:bCs/>
                <w:color w:val="auto"/>
                <w:kern w:val="2"/>
                <w:sz w:val="20"/>
                <w:szCs w:val="20"/>
                <w:lang w:val="en-US" w:eastAsia="zh-CN" w:bidi="ar-SA"/>
              </w:rPr>
              <w:t>(19)</w:t>
            </w:r>
            <w:r>
              <w:rPr>
                <w:rFonts w:hint="eastAsia" w:ascii="仿宋" w:hAnsi="仿宋" w:eastAsia="仿宋" w:cs="仿宋"/>
                <w:b w:val="0"/>
                <w:bCs/>
                <w:color w:val="auto"/>
                <w:sz w:val="20"/>
                <w:szCs w:val="20"/>
                <w:lang w:val="en-US" w:eastAsia="zh-CN"/>
              </w:rPr>
              <w:t>DB61/T 1418-2021 河湖和水利工程管理范围及保护范围划界技术规范；</w:t>
            </w:r>
          </w:p>
          <w:p w14:paraId="307A58B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(20)</w:t>
            </w:r>
            <w:r>
              <w:rPr>
                <w:rFonts w:hint="eastAsia" w:ascii="仿宋" w:hAnsi="仿宋" w:eastAsia="仿宋" w:cs="仿宋"/>
                <w:b w:val="0"/>
                <w:bCs/>
                <w:color w:val="auto"/>
                <w:sz w:val="20"/>
                <w:szCs w:val="20"/>
                <w:lang w:val="en-US" w:eastAsia="zh-CN"/>
              </w:rPr>
              <w:t>T/GXAS 953.2—2025《自然资源综合监测监管技术规范 第2部分：外业》;</w:t>
            </w:r>
          </w:p>
          <w:p w14:paraId="7D74A81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(21)</w:t>
            </w:r>
            <w:r>
              <w:rPr>
                <w:rFonts w:hint="eastAsia" w:ascii="仿宋" w:hAnsi="仿宋" w:eastAsia="仿宋" w:cs="仿宋"/>
                <w:b w:val="0"/>
                <w:bCs/>
                <w:color w:val="auto"/>
                <w:sz w:val="20"/>
                <w:szCs w:val="20"/>
                <w:lang w:val="en-US" w:eastAsia="zh-CN"/>
              </w:rPr>
              <w:t>《国家民用卫星遥感数据管理暂行办法》;</w:t>
            </w:r>
          </w:p>
          <w:p w14:paraId="49F5A66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(22)</w:t>
            </w:r>
            <w:r>
              <w:rPr>
                <w:rFonts w:hint="eastAsia" w:ascii="仿宋" w:hAnsi="仿宋" w:eastAsia="仿宋" w:cs="仿宋"/>
                <w:b w:val="0"/>
                <w:bCs/>
                <w:color w:val="auto"/>
                <w:sz w:val="20"/>
                <w:szCs w:val="20"/>
                <w:lang w:val="en-US" w:eastAsia="zh-CN"/>
              </w:rPr>
              <w:t>《陕西省秦岭生态环境保护勘界立标办法(试行)》；</w:t>
            </w:r>
          </w:p>
          <w:p w14:paraId="65FCC45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(23)</w:t>
            </w:r>
            <w:r>
              <w:rPr>
                <w:rFonts w:hint="eastAsia" w:ascii="仿宋" w:hAnsi="仿宋" w:eastAsia="仿宋" w:cs="仿宋"/>
                <w:b w:val="0"/>
                <w:bCs/>
                <w:color w:val="auto"/>
                <w:sz w:val="20"/>
                <w:szCs w:val="20"/>
                <w:lang w:val="en-US" w:eastAsia="zh-CN"/>
              </w:rPr>
              <w:t>各行业部门（自然资源、生态环境、水利、林业、农业农村、交通运输、住房城乡建设、应急管理等）现行数据标准；</w:t>
            </w:r>
          </w:p>
          <w:p w14:paraId="500A71F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default" w:ascii="仿宋" w:hAnsi="仿宋" w:eastAsia="仿宋" w:cs="仿宋"/>
                <w:b w:val="0"/>
                <w:bCs/>
                <w:color w:val="auto"/>
                <w:kern w:val="2"/>
                <w:sz w:val="20"/>
                <w:szCs w:val="20"/>
                <w:lang w:val="en-US" w:eastAsia="zh-CN" w:bidi="ar-SA"/>
              </w:rPr>
              <w:t>(24)</w:t>
            </w:r>
            <w:r>
              <w:rPr>
                <w:rFonts w:hint="eastAsia" w:ascii="仿宋" w:hAnsi="仿宋" w:eastAsia="仿宋" w:cs="仿宋"/>
                <w:b w:val="0"/>
                <w:bCs/>
                <w:color w:val="auto"/>
                <w:sz w:val="20"/>
                <w:szCs w:val="20"/>
                <w:lang w:val="en-US" w:eastAsia="zh-CN"/>
              </w:rPr>
              <w:t>其他现行有效的测绘地理信息国家标准、行业标准及陕西省地方规定。</w:t>
            </w:r>
          </w:p>
          <w:p w14:paraId="0BA988F4">
            <w:pPr>
              <w:pStyle w:val="5"/>
              <w:keepNext w:val="0"/>
              <w:keepLines w:val="0"/>
              <w:pageBreakBefore w:val="0"/>
              <w:widowControl w:val="0"/>
              <w:kinsoku/>
              <w:wordWrap/>
              <w:overflowPunct/>
              <w:topLinePunct w:val="0"/>
              <w:autoSpaceDE/>
              <w:autoSpaceDN/>
              <w:bidi w:val="0"/>
              <w:adjustRightInd/>
              <w:snapToGrid/>
              <w:spacing w:after="0" w:line="240" w:lineRule="auto"/>
              <w:ind w:left="0" w:leftChars="0" w:firstLine="400" w:firstLineChars="200"/>
              <w:jc w:val="left"/>
              <w:textAlignment w:val="auto"/>
              <w:rPr>
                <w:rFonts w:hint="eastAsia" w:ascii="仿宋" w:hAnsi="仿宋" w:eastAsia="仿宋" w:cs="仿宋"/>
                <w:color w:val="auto"/>
                <w:sz w:val="20"/>
                <w:szCs w:val="20"/>
                <w:lang w:val="en-US" w:eastAsia="zh-CN"/>
              </w:rPr>
            </w:pPr>
            <w:r>
              <w:rPr>
                <w:rFonts w:hint="eastAsia" w:ascii="仿宋" w:hAnsi="仿宋" w:eastAsia="仿宋" w:cs="仿宋"/>
                <w:b w:val="0"/>
                <w:i w:val="0"/>
                <w:iCs w:val="0"/>
                <w:caps w:val="0"/>
                <w:strike w:val="0"/>
                <w:color w:val="auto"/>
                <w:spacing w:val="0"/>
                <w:kern w:val="2"/>
                <w:sz w:val="20"/>
                <w:szCs w:val="20"/>
                <w:u w:val="none"/>
                <w:lang w:val="en-US" w:eastAsia="zh-CN" w:bidi="ar-SA"/>
              </w:rPr>
              <w:t>上述依据如在合同履行期间发生更新或替代，应以最新有效版本为准。若不同标准之间存在不一致，应按</w:t>
            </w:r>
            <w:r>
              <w:rPr>
                <w:rFonts w:hint="eastAsia" w:ascii="仿宋" w:hAnsi="仿宋" w:eastAsia="仿宋" w:cs="仿宋"/>
                <w:b w:val="0"/>
                <w:i w:val="0"/>
                <w:iCs w:val="0"/>
                <w:caps w:val="0"/>
                <w:strike w:val="0"/>
                <w:color w:val="auto"/>
                <w:spacing w:val="0"/>
                <w:kern w:val="2"/>
                <w:sz w:val="20"/>
                <w:szCs w:val="20"/>
                <w:highlight w:val="none"/>
                <w:u w:val="none"/>
                <w:lang w:val="en-US" w:eastAsia="zh-CN" w:bidi="ar-SA"/>
              </w:rPr>
              <w:t>照采购人确</w:t>
            </w:r>
            <w:r>
              <w:rPr>
                <w:rFonts w:hint="eastAsia" w:ascii="仿宋" w:hAnsi="仿宋" w:eastAsia="仿宋" w:cs="仿宋"/>
                <w:b w:val="0"/>
                <w:i w:val="0"/>
                <w:iCs w:val="0"/>
                <w:caps w:val="0"/>
                <w:strike w:val="0"/>
                <w:color w:val="auto"/>
                <w:spacing w:val="0"/>
                <w:kern w:val="2"/>
                <w:sz w:val="20"/>
                <w:szCs w:val="20"/>
                <w:u w:val="none"/>
                <w:lang w:val="en-US" w:eastAsia="zh-CN" w:bidi="ar-SA"/>
              </w:rPr>
              <w:t>认的技术要求执行，并在相关技术文件中予以明确。</w:t>
            </w:r>
          </w:p>
          <w:p w14:paraId="472F17A9">
            <w:pPr>
              <w:pStyle w:val="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2" w:firstLineChars="200"/>
              <w:jc w:val="left"/>
              <w:textAlignment w:val="auto"/>
              <w:outlineLvl w:val="3"/>
              <w:rPr>
                <w:rFonts w:hint="eastAsia" w:ascii="仿宋" w:hAnsi="仿宋" w:eastAsia="仿宋" w:cs="仿宋"/>
                <w:b/>
                <w:bCs w:val="0"/>
                <w:sz w:val="20"/>
                <w:szCs w:val="20"/>
                <w:lang w:val="en-US" w:eastAsia="zh-CN"/>
              </w:rPr>
            </w:pPr>
            <w:r>
              <w:rPr>
                <w:rFonts w:hint="eastAsia" w:ascii="仿宋" w:hAnsi="仿宋" w:eastAsia="仿宋" w:cs="仿宋"/>
                <w:b/>
                <w:bCs w:val="0"/>
                <w:sz w:val="20"/>
                <w:szCs w:val="20"/>
                <w:lang w:val="en-US" w:eastAsia="zh-CN"/>
              </w:rPr>
              <w:t>2.2 技术要求</w:t>
            </w:r>
          </w:p>
          <w:p w14:paraId="7D90B2CD">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本采购包所有数据产品如无特殊说明，均需满足：</w:t>
            </w:r>
          </w:p>
          <w:p w14:paraId="046C3D28">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平面坐标系统：采用2000国家大地坐标系（CGCS2000）；</w:t>
            </w:r>
          </w:p>
          <w:p w14:paraId="6406BC46">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高程系统：采用1985国家高程基准；</w:t>
            </w:r>
          </w:p>
          <w:p w14:paraId="0DBB2C7B">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投影：高斯-克吕格投影，采用3°分带；</w:t>
            </w:r>
          </w:p>
          <w:p w14:paraId="2B07D856">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i w:val="0"/>
                <w:iCs w:val="0"/>
                <w:caps w:val="0"/>
                <w:strike w:val="0"/>
                <w:color w:val="auto"/>
                <w:spacing w:val="0"/>
                <w:kern w:val="2"/>
                <w:sz w:val="20"/>
                <w:szCs w:val="20"/>
                <w:u w:val="none"/>
                <w:lang w:val="en-US" w:eastAsia="zh-CN" w:bidi="ar-SA"/>
              </w:rPr>
            </w:pPr>
            <w:r>
              <w:rPr>
                <w:rFonts w:hint="eastAsia" w:ascii="仿宋" w:hAnsi="仿宋" w:eastAsia="仿宋" w:cs="仿宋"/>
                <w:b w:val="0"/>
                <w:i w:val="0"/>
                <w:iCs w:val="0"/>
                <w:caps w:val="0"/>
                <w:strike w:val="0"/>
                <w:color w:val="auto"/>
                <w:spacing w:val="0"/>
                <w:kern w:val="2"/>
                <w:sz w:val="20"/>
                <w:szCs w:val="20"/>
                <w:u w:val="none"/>
                <w:lang w:val="en-US" w:eastAsia="zh-CN" w:bidi="ar-SA"/>
              </w:rPr>
              <w:t>各分项其他具体技术要求如下。</w:t>
            </w:r>
          </w:p>
          <w:p w14:paraId="63AF4BA0">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2.2.1卫星影像疑似问题图斑监测</w:t>
            </w:r>
          </w:p>
          <w:p w14:paraId="7756AF06">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1.影像收集与重点地区影像获取</w:t>
            </w:r>
          </w:p>
          <w:p w14:paraId="7E31549A">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Cs/>
                <w:color w:val="auto"/>
                <w:sz w:val="20"/>
                <w:szCs w:val="20"/>
                <w:highlight w:val="none"/>
              </w:rPr>
              <w:t>收集覆盖任务区全域的相关卫星影像数据，共计6期，卫星影像分辨率优于2米，重点区域优先获取亚米级卫星影像。</w:t>
            </w:r>
          </w:p>
          <w:p w14:paraId="37B33415">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2.影像处理</w:t>
            </w:r>
          </w:p>
          <w:p w14:paraId="49686D9F">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Cs/>
                <w:color w:val="auto"/>
                <w:sz w:val="20"/>
                <w:szCs w:val="20"/>
                <w:lang w:val="en-US" w:eastAsia="zh-CN"/>
              </w:rPr>
            </w:pPr>
            <w:r>
              <w:rPr>
                <w:rFonts w:hint="eastAsia" w:ascii="仿宋" w:hAnsi="仿宋" w:eastAsia="仿宋" w:cs="仿宋"/>
                <w:bCs/>
                <w:color w:val="auto"/>
                <w:sz w:val="20"/>
                <w:szCs w:val="20"/>
                <w:highlight w:val="none"/>
                <w:lang w:val="en-US" w:eastAsia="zh-CN"/>
              </w:rPr>
              <w:t>对影像进行正射纠正，满足精度要求，形成</w:t>
            </w:r>
            <w:r>
              <w:rPr>
                <w:rFonts w:hint="eastAsia" w:ascii="仿宋" w:hAnsi="仿宋" w:eastAsia="仿宋" w:cs="仿宋"/>
                <w:bCs/>
                <w:color w:val="auto"/>
                <w:sz w:val="20"/>
                <w:szCs w:val="20"/>
                <w:lang w:val="en-US" w:eastAsia="zh-CN"/>
              </w:rPr>
              <w:t>6</w:t>
            </w:r>
            <w:r>
              <w:rPr>
                <w:rFonts w:hint="eastAsia" w:ascii="仿宋" w:hAnsi="仿宋" w:eastAsia="仿宋" w:cs="仿宋"/>
                <w:bCs/>
                <w:color w:val="auto"/>
                <w:sz w:val="20"/>
                <w:szCs w:val="20"/>
                <w:highlight w:val="none"/>
                <w:lang w:val="en-US" w:eastAsia="zh-CN"/>
              </w:rPr>
              <w:t>期全域数字正射影像成果。</w:t>
            </w:r>
            <w:r>
              <w:rPr>
                <w:rFonts w:hint="eastAsia" w:ascii="仿宋" w:hAnsi="仿宋" w:eastAsia="仿宋" w:cs="仿宋"/>
                <w:bCs/>
                <w:color w:val="auto"/>
                <w:sz w:val="20"/>
                <w:szCs w:val="20"/>
                <w:lang w:val="en-US" w:eastAsia="zh-CN"/>
              </w:rPr>
              <w:t>采用高斯克吕格投影，采用6</w:t>
            </w:r>
            <w:r>
              <w:rPr>
                <w:rFonts w:hint="eastAsia" w:ascii="仿宋" w:hAnsi="仿宋" w:eastAsia="仿宋" w:cs="仿宋"/>
                <w:b w:val="0"/>
                <w:bCs/>
                <w:color w:val="auto"/>
                <w:sz w:val="20"/>
                <w:szCs w:val="20"/>
                <w:lang w:val="en-US" w:eastAsia="zh-CN"/>
              </w:rPr>
              <w:t>°</w:t>
            </w:r>
            <w:r>
              <w:rPr>
                <w:rFonts w:hint="eastAsia" w:ascii="仿宋" w:hAnsi="仿宋" w:eastAsia="仿宋" w:cs="仿宋"/>
                <w:bCs/>
                <w:color w:val="auto"/>
                <w:sz w:val="20"/>
                <w:szCs w:val="20"/>
                <w:lang w:val="en-US" w:eastAsia="zh-CN"/>
              </w:rPr>
              <w:t>分带，坐标单位为“米”，影像水平方向坐标前不加带号。</w:t>
            </w:r>
          </w:p>
          <w:p w14:paraId="7C85F547">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3.疑似问题图斑监测</w:t>
            </w:r>
          </w:p>
          <w:p w14:paraId="51BE7AB1">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对疑似乱搭乱建活动、乱采乱挖活动、乱排乱放活动、乱砍乱伐活动、尾矿库等，开展6期疑似问题图斑监测工作。</w:t>
            </w:r>
          </w:p>
          <w:p w14:paraId="29FEE0A2">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4.图斑外业抽查</w:t>
            </w:r>
          </w:p>
          <w:p w14:paraId="048F3869">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针对内业采集或图斑审核发现的存疑疑似问题图斑，进行现场核查，明确该疑似图斑内构建筑物、现状地类，用途及施工类的施工目的等。</w:t>
            </w:r>
          </w:p>
          <w:p w14:paraId="2BE483D8">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5.图斑审核</w:t>
            </w:r>
          </w:p>
          <w:p w14:paraId="20DF523D">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对发现的图斑开展图斑审核，判定图斑资料的符合性、完整性、合规性。</w:t>
            </w:r>
          </w:p>
          <w:p w14:paraId="54D59475">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2.2.2网格化监管平台运维</w:t>
            </w:r>
          </w:p>
          <w:p w14:paraId="69EB6F82">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outlineLvl w:val="9"/>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1.视频图像“算法超市”系统建设：完成一套秦岭“五乱”问题视频图像智能化分析系统，包含模型训练、算法配置、算法调度、模型管理等核心功能模块。</w:t>
            </w:r>
          </w:p>
          <w:p w14:paraId="40CDAFB9">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outlineLvl w:val="9"/>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2.视频监控模块优化：对现有视频监控模块进行重构与升级，增加综合统计、分类管理、搜索等功能。</w:t>
            </w:r>
          </w:p>
          <w:p w14:paraId="58DCF7F6">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outlineLvl w:val="9"/>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3.行业部门图斑审核流程改造：增加省级行业部门审核机制，包括自动分配任务、审核、追溯等功能。</w:t>
            </w:r>
          </w:p>
          <w:p w14:paraId="115AC08C">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outlineLvl w:val="9"/>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4.行业数据汇聚、治理与展示：增加行业部门生态环境保护相关数据的汇聚、数据治理、三维可视化展示统计等能力。</w:t>
            </w:r>
          </w:p>
          <w:p w14:paraId="0CD280FE">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outlineLvl w:val="9"/>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5.密改：基于国产密码标准体系和密码管理体系，改造建设以保护网格化监管平台的身份认证及数据资产为中心的、自主可控的密码服务体系。</w:t>
            </w:r>
          </w:p>
          <w:p w14:paraId="78D37240">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outlineLvl w:val="9"/>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6.运维中心日常维护：完成支撑网格化监管平台运行的相关软硬件基础设施的安全、稳定、存储备份、版本更新等日常技术支撑工作；完成日常举报受理；完成不同来源视频接入、视频资源日常治理、视频日常巡检与统计、对外视频共享服务；完成视频智能解析线索初筛与初审；提供网格员日常咨询服务、用户培训；提供秦岭运维大厅日常的调研汇报和讲解服务。</w:t>
            </w:r>
          </w:p>
          <w:p w14:paraId="5CF34548">
            <w:pPr>
              <w:keepNext w:val="0"/>
              <w:keepLines w:val="0"/>
              <w:pageBreakBefore w:val="0"/>
              <w:widowControl w:val="0"/>
              <w:kinsoku/>
              <w:wordWrap/>
              <w:overflowPunct/>
              <w:topLinePunct w:val="0"/>
              <w:autoSpaceDE/>
              <w:autoSpaceDN/>
              <w:bidi w:val="0"/>
              <w:adjustRightInd/>
              <w:snapToGrid/>
              <w:spacing w:line="240" w:lineRule="auto"/>
              <w:ind w:left="0" w:leftChars="0" w:firstLine="400" w:firstLineChars="200"/>
              <w:jc w:val="left"/>
              <w:textAlignment w:val="auto"/>
              <w:outlineLvl w:val="9"/>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7.视频监控资源点位外业调查（一期）：对2500路视频监控点位进行外业现场核查，确定精确点位坐标，形成点位台账。</w:t>
            </w:r>
          </w:p>
          <w:p w14:paraId="1407DBD6">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2.2.3充实生态保护数据资源</w:t>
            </w:r>
          </w:p>
          <w:p w14:paraId="5DAE56E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i w:val="0"/>
                <w:iCs w:val="0"/>
                <w:caps w:val="0"/>
                <w:strike w:val="0"/>
                <w:color w:val="auto"/>
                <w:spacing w:val="0"/>
                <w:kern w:val="2"/>
                <w:sz w:val="20"/>
                <w:szCs w:val="20"/>
                <w:u w:val="none"/>
                <w:lang w:val="en-US" w:eastAsia="zh-CN" w:bidi="ar-SA"/>
              </w:rPr>
            </w:pPr>
            <w:r>
              <w:rPr>
                <w:rFonts w:hint="eastAsia" w:ascii="仿宋" w:hAnsi="仿宋" w:eastAsia="仿宋" w:cs="仿宋"/>
                <w:b w:val="0"/>
                <w:i w:val="0"/>
                <w:iCs w:val="0"/>
                <w:caps w:val="0"/>
                <w:strike w:val="0"/>
                <w:color w:val="auto"/>
                <w:spacing w:val="0"/>
                <w:kern w:val="2"/>
                <w:sz w:val="20"/>
                <w:szCs w:val="20"/>
                <w:u w:val="none"/>
                <w:lang w:val="en-US" w:eastAsia="zh-CN" w:bidi="ar-SA"/>
              </w:rPr>
              <w:t>配合采购人对各市提出的秦岭规划分区数据调整申请中所涉及内容进行复核；对全省秦岭生态环境保护规划分区数据进行全面更新；收集各省级部门最新农家乐、矿权、尾矿库等秦岭生态保护相关专题数据，更新专题数据库；完成《陕西省秦岭生态环境保护基本情况》中发生变化的保护单元、专题图件编制及印刷。</w:t>
            </w:r>
          </w:p>
          <w:p w14:paraId="7F73220E">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2.2.4秦岭保护技术支撑</w:t>
            </w:r>
          </w:p>
          <w:p w14:paraId="2F0D9CC4">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color w:val="auto"/>
                <w:kern w:val="2"/>
                <w:sz w:val="20"/>
                <w:szCs w:val="20"/>
                <w:u w:val="none"/>
              </w:rPr>
            </w:pPr>
            <w:r>
              <w:rPr>
                <w:rFonts w:hint="eastAsia" w:ascii="仿宋" w:hAnsi="仿宋" w:eastAsia="仿宋" w:cs="仿宋"/>
                <w:color w:val="auto"/>
                <w:kern w:val="2"/>
                <w:sz w:val="20"/>
                <w:szCs w:val="20"/>
                <w:u w:val="none"/>
              </w:rPr>
              <w:t>开展总台账、暗访反馈问题核查，举报信访舆情线索核查，河道采砂、农家乐、民宿、景区等等重点领域专项走访与新问题发现，省级暗访及各类监督检查技术保障，举报线索初步核查等工作。具体工作包括外业核查、内业数据比对分析、资料汇总及水质土壤检测等。</w:t>
            </w:r>
          </w:p>
          <w:p w14:paraId="433FFE2B">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color w:val="auto"/>
                <w:kern w:val="2"/>
                <w:sz w:val="20"/>
                <w:szCs w:val="20"/>
                <w:u w:val="none"/>
              </w:rPr>
            </w:pPr>
            <w:r>
              <w:rPr>
                <w:rFonts w:hint="eastAsia" w:ascii="仿宋" w:hAnsi="仿宋" w:eastAsia="仿宋" w:cs="仿宋"/>
                <w:color w:val="auto"/>
                <w:kern w:val="2"/>
                <w:sz w:val="20"/>
                <w:szCs w:val="20"/>
                <w:u w:val="none"/>
              </w:rPr>
              <w:t>外业核查：无人机航飞、现场拍照摄像、，形成完整证据链；</w:t>
            </w:r>
          </w:p>
          <w:p w14:paraId="36E8FCF0">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color w:val="auto"/>
                <w:kern w:val="2"/>
                <w:sz w:val="20"/>
                <w:szCs w:val="20"/>
                <w:u w:val="none"/>
              </w:rPr>
            </w:pPr>
            <w:r>
              <w:rPr>
                <w:rFonts w:hint="eastAsia" w:ascii="仿宋" w:hAnsi="仿宋" w:eastAsia="仿宋" w:cs="仿宋"/>
                <w:color w:val="auto"/>
                <w:kern w:val="2"/>
                <w:sz w:val="20"/>
                <w:szCs w:val="20"/>
                <w:u w:val="none"/>
              </w:rPr>
              <w:t>内业数据比对分析：数据处理、三维建模、正射影像生产、用地及保护单元套图、多时序影像分析、空间叠加分析、综合研判等；</w:t>
            </w:r>
          </w:p>
          <w:p w14:paraId="3847347D">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color w:val="auto"/>
                <w:kern w:val="2"/>
                <w:sz w:val="20"/>
                <w:szCs w:val="20"/>
                <w:u w:val="none"/>
              </w:rPr>
            </w:pPr>
            <w:r>
              <w:rPr>
                <w:rFonts w:hint="eastAsia" w:ascii="仿宋" w:hAnsi="仿宋" w:eastAsia="仿宋" w:cs="仿宋"/>
                <w:color w:val="auto"/>
                <w:kern w:val="2"/>
                <w:sz w:val="20"/>
                <w:szCs w:val="20"/>
                <w:u w:val="none"/>
              </w:rPr>
              <w:t>资料汇总：成果登记、统计、归档</w:t>
            </w:r>
            <w:r>
              <w:rPr>
                <w:rFonts w:hint="eastAsia" w:ascii="仿宋" w:hAnsi="仿宋" w:eastAsia="仿宋" w:cs="仿宋"/>
                <w:color w:val="auto"/>
                <w:kern w:val="2"/>
                <w:sz w:val="20"/>
                <w:szCs w:val="20"/>
                <w:u w:val="none"/>
                <w:lang w:eastAsia="zh-CN"/>
              </w:rPr>
              <w:t>；</w:t>
            </w:r>
          </w:p>
          <w:p w14:paraId="73461203">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b w:val="0"/>
                <w:i w:val="0"/>
                <w:iCs w:val="0"/>
                <w:caps w:val="0"/>
                <w:strike w:val="0"/>
                <w:color w:val="auto"/>
                <w:spacing w:val="0"/>
                <w:kern w:val="2"/>
                <w:sz w:val="20"/>
                <w:szCs w:val="20"/>
                <w:u w:val="none"/>
                <w:lang w:val="en-US" w:eastAsia="zh-CN" w:bidi="ar-SA"/>
              </w:rPr>
            </w:pPr>
            <w:r>
              <w:rPr>
                <w:rFonts w:hint="eastAsia" w:ascii="仿宋" w:hAnsi="仿宋" w:eastAsia="仿宋" w:cs="仿宋"/>
                <w:color w:val="auto"/>
                <w:kern w:val="2"/>
                <w:sz w:val="20"/>
                <w:szCs w:val="20"/>
                <w:u w:val="none"/>
              </w:rPr>
              <w:t>水质土壤监测：必要时针对问题点位开展水质或土壤采样检测。</w:t>
            </w:r>
          </w:p>
          <w:p w14:paraId="66B79B05">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2.2.5省市县平台贯通</w:t>
            </w:r>
          </w:p>
          <w:p w14:paraId="48F8C674">
            <w:pPr>
              <w:pStyle w:val="10"/>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b w:val="0"/>
                <w:i w:val="0"/>
                <w:iCs w:val="0"/>
                <w:caps w:val="0"/>
                <w:strike w:val="0"/>
                <w:color w:val="auto"/>
                <w:spacing w:val="0"/>
                <w:kern w:val="2"/>
                <w:sz w:val="20"/>
                <w:szCs w:val="20"/>
                <w:u w:val="none"/>
                <w:lang w:val="en-US" w:eastAsia="zh-CN" w:bidi="ar-SA"/>
              </w:rPr>
            </w:pPr>
            <w:r>
              <w:rPr>
                <w:rFonts w:hint="eastAsia" w:ascii="仿宋" w:hAnsi="仿宋" w:eastAsia="仿宋" w:cs="仿宋"/>
                <w:b w:val="0"/>
                <w:i w:val="0"/>
                <w:iCs w:val="0"/>
                <w:caps w:val="0"/>
                <w:strike w:val="0"/>
                <w:color w:val="auto"/>
                <w:spacing w:val="0"/>
                <w:kern w:val="2"/>
                <w:sz w:val="20"/>
                <w:szCs w:val="20"/>
                <w:u w:val="none"/>
                <w:lang w:val="en-US" w:eastAsia="zh-CN" w:bidi="ar-SA"/>
              </w:rPr>
              <w:t>省市县贯通主要工作内容包括省级平台中已有台账、问题图斑数据的整理优化、数据同步标准上下行接口建设、数据标准与对接规范设计编制、平台端功能优化（新增市级台账模块、县级台账模块、智能查询与分析模块）、移动端功能优化、省级统筹监管（全域进度监管、统计分析），以及功能接口联调测试。</w:t>
            </w:r>
          </w:p>
          <w:p w14:paraId="56C36F4C">
            <w:pPr>
              <w:pStyle w:val="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2" w:firstLineChars="200"/>
              <w:jc w:val="left"/>
              <w:textAlignment w:val="auto"/>
              <w:outlineLvl w:val="3"/>
              <w:rPr>
                <w:rFonts w:hint="eastAsia" w:ascii="仿宋" w:hAnsi="仿宋" w:eastAsia="仿宋" w:cs="仿宋"/>
                <w:b/>
                <w:bCs w:val="0"/>
                <w:sz w:val="20"/>
                <w:szCs w:val="20"/>
                <w:lang w:val="en-US" w:eastAsia="zh-CN"/>
              </w:rPr>
            </w:pPr>
            <w:r>
              <w:rPr>
                <w:rFonts w:hint="eastAsia" w:ascii="仿宋" w:hAnsi="仿宋" w:eastAsia="仿宋" w:cs="仿宋"/>
                <w:b/>
                <w:bCs w:val="0"/>
                <w:sz w:val="20"/>
                <w:szCs w:val="20"/>
                <w:lang w:val="en-US" w:eastAsia="zh-CN"/>
              </w:rPr>
              <w:t>2.3 成果要求</w:t>
            </w:r>
          </w:p>
          <w:p w14:paraId="16F25F42">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i w:val="0"/>
                <w:iCs w:val="0"/>
                <w:caps w:val="0"/>
                <w:strike w:val="0"/>
                <w:color w:val="auto"/>
                <w:spacing w:val="0"/>
                <w:kern w:val="2"/>
                <w:sz w:val="20"/>
                <w:szCs w:val="20"/>
                <w:u w:val="none"/>
                <w:lang w:val="en-US" w:eastAsia="zh-CN" w:bidi="ar-SA"/>
              </w:rPr>
            </w:pPr>
            <w:r>
              <w:rPr>
                <w:rFonts w:hint="eastAsia" w:ascii="仿宋" w:hAnsi="仿宋" w:eastAsia="仿宋" w:cs="仿宋"/>
                <w:b w:val="0"/>
                <w:i w:val="0"/>
                <w:iCs w:val="0"/>
                <w:caps w:val="0"/>
                <w:strike w:val="0"/>
                <w:color w:val="auto"/>
                <w:spacing w:val="0"/>
                <w:kern w:val="2"/>
                <w:sz w:val="20"/>
                <w:szCs w:val="20"/>
                <w:u w:val="none"/>
                <w:lang w:val="en-US" w:eastAsia="zh-CN" w:bidi="ar-SA"/>
              </w:rPr>
              <w:t>本采购包所有涉密数据的管理应遵守国家保密法规及采购人数据安全相关规定。数据存储、传输、使用等环节应采取安全保密措施，防止数据泄露、丢失或篡改。项目完成后，应按照采购人要求进行数据归档和移交。</w:t>
            </w:r>
          </w:p>
          <w:p w14:paraId="135F8548">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本采购包提交成果包括影像、图斑监测、核查、技术支撑等数据成果，项目实施方案、项目工作总结、相关检查检验记录或报告、其他资料等文档成果，优化后的陕西省秦岭生态环境保护信息化网格化监管平台等系统成果，具体内容如下：</w:t>
            </w:r>
          </w:p>
          <w:p w14:paraId="2E4CD87B">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2.3.1卫星影像疑似问题图斑监测</w:t>
            </w:r>
          </w:p>
          <w:p w14:paraId="2FA68D5C">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1.影像收集与重点地区影像获取：包括全域原始影像数据集、重点区域数据集</w:t>
            </w:r>
            <w:r>
              <w:rPr>
                <w:rFonts w:hint="eastAsia" w:ascii="仿宋" w:hAnsi="仿宋" w:eastAsia="仿宋" w:cs="仿宋"/>
                <w:bCs/>
                <w:color w:val="auto"/>
                <w:sz w:val="20"/>
                <w:szCs w:val="20"/>
                <w:lang w:val="en-US" w:eastAsia="zh-CN"/>
              </w:rPr>
              <w:t>。</w:t>
            </w:r>
          </w:p>
          <w:p w14:paraId="6C813768">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2.影像处理：6期处理后影像数据集及对应镶嵌线。</w:t>
            </w:r>
          </w:p>
          <w:p w14:paraId="66B92870">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3.疑似问题图斑监测：6期疑似问题图斑监测矢量数据、前后期图片成果。</w:t>
            </w:r>
          </w:p>
          <w:p w14:paraId="08EDA2E5">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4.图斑外业抽查：外业</w:t>
            </w:r>
            <w:r>
              <w:rPr>
                <w:rFonts w:hint="eastAsia" w:ascii="仿宋" w:hAnsi="仿宋" w:eastAsia="仿宋" w:cs="仿宋"/>
                <w:bCs/>
                <w:color w:val="auto"/>
                <w:sz w:val="20"/>
                <w:szCs w:val="20"/>
                <w:lang w:val="en-US" w:eastAsia="zh-CN"/>
              </w:rPr>
              <w:t>照片及视频、无人机正射影像或三维模型成果、外核矢量数据成果。</w:t>
            </w:r>
          </w:p>
          <w:p w14:paraId="1173A9C0">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5.图斑审核：平台各图斑审核意见登记表。</w:t>
            </w:r>
          </w:p>
          <w:p w14:paraId="281354CC">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2.3.2网格化监管平台运维</w:t>
            </w:r>
          </w:p>
          <w:p w14:paraId="6178B9D9">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1.视频图像“算法超市”系统建设：一套“算法超市”管理系统以及操作手册。</w:t>
            </w:r>
          </w:p>
          <w:p w14:paraId="5D4E5A03">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2.视频监控模块优化：完成已有视频资源数据的清洗、分类打标及空间坐标匹配，完整的视频资源统计、展示、搜索等功能。</w:t>
            </w:r>
          </w:p>
          <w:p w14:paraId="431D1AC1">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3.行业部门图斑审核流程改造：平台完成图斑审核工作流改造，适配行业部门审核业务流场景，配合行业部门审核角色权限。同时交付行业部门图斑审核业务操作手册。审核流程日志数据表结构设计文档。</w:t>
            </w:r>
          </w:p>
          <w:p w14:paraId="18AA2E65">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4.行业数据汇聚、治理与展示：行业监管主题数据库，三维综合监管可视化展示内容，相关数据字典及数据接口规范相关文档。</w:t>
            </w:r>
          </w:p>
          <w:p w14:paraId="6CC517BC">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sz w:val="20"/>
                <w:szCs w:val="20"/>
                <w:lang w:val="en-US" w:eastAsia="zh-CN"/>
              </w:rPr>
            </w:pPr>
            <w:r>
              <w:rPr>
                <w:rFonts w:hint="eastAsia" w:ascii="仿宋" w:hAnsi="仿宋" w:eastAsia="仿宋" w:cs="仿宋"/>
                <w:b w:val="0"/>
                <w:bCs/>
                <w:color w:val="auto"/>
                <w:sz w:val="20"/>
                <w:szCs w:val="20"/>
                <w:lang w:val="en-US" w:eastAsia="zh-CN"/>
              </w:rPr>
              <w:t>5.密改：</w:t>
            </w:r>
            <w:r>
              <w:rPr>
                <w:rFonts w:hint="eastAsia" w:ascii="仿宋" w:hAnsi="仿宋" w:eastAsia="仿宋" w:cs="仿宋"/>
                <w:b w:val="0"/>
                <w:bCs/>
                <w:sz w:val="20"/>
                <w:szCs w:val="20"/>
                <w:lang w:val="en-US" w:eastAsia="zh-CN"/>
              </w:rPr>
              <w:t>系统实现业务传输加密、存储数据加密；完善身份鉴别和访问控制；对日志记录等关键数据做完整性保护，防止非法篡改；完成密码算法替换，系统满足等保及密评标准，支持测评闭环验证。</w:t>
            </w:r>
          </w:p>
          <w:p w14:paraId="78B6F165">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6.运维中心日常维护：完成网格化监管平台相关的日常运维内容，形成相关工作报告、运维日志、统计报告、技术报告、台账记录等运维文档。</w:t>
            </w:r>
          </w:p>
          <w:p w14:paraId="1984868F">
            <w:pPr>
              <w:keepNext w:val="0"/>
              <w:keepLines w:val="0"/>
              <w:pageBreakBefore w:val="0"/>
              <w:widowControl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7.视频监控资源点位外业调查（一期）：包括2500个核查点位台账成果、图片成果、点位矢量数据成果。</w:t>
            </w:r>
          </w:p>
          <w:p w14:paraId="17D56DB4">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2.3.3充实生态保护数据资源</w:t>
            </w:r>
          </w:p>
          <w:p w14:paraId="630A948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u w:val="none"/>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1.</w:t>
            </w:r>
            <w:r>
              <w:rPr>
                <w:rFonts w:hint="eastAsia" w:ascii="仿宋" w:hAnsi="仿宋" w:eastAsia="仿宋" w:cs="仿宋"/>
                <w:b w:val="0"/>
                <w:bCs/>
                <w:i w:val="0"/>
                <w:iCs w:val="0"/>
                <w:caps w:val="0"/>
                <w:strike w:val="0"/>
                <w:color w:val="auto"/>
                <w:spacing w:val="0"/>
                <w:kern w:val="2"/>
                <w:sz w:val="20"/>
                <w:szCs w:val="20"/>
                <w:u w:val="none"/>
                <w:lang w:val="en-US" w:eastAsia="zh-CN" w:bidi="ar-SA"/>
              </w:rPr>
              <w:t>数据成果</w:t>
            </w:r>
          </w:p>
          <w:p w14:paraId="3F7C351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i w:val="0"/>
                <w:iCs w:val="0"/>
                <w:caps w:val="0"/>
                <w:strike w:val="0"/>
                <w:color w:val="auto"/>
                <w:spacing w:val="0"/>
                <w:kern w:val="2"/>
                <w:sz w:val="20"/>
                <w:szCs w:val="20"/>
                <w:u w:val="none"/>
                <w:lang w:val="en-US" w:eastAsia="zh-CN" w:bidi="ar-SA"/>
              </w:rPr>
            </w:pPr>
            <w:r>
              <w:rPr>
                <w:rFonts w:hint="eastAsia" w:ascii="仿宋" w:hAnsi="仿宋" w:eastAsia="仿宋" w:cs="仿宋"/>
                <w:b w:val="0"/>
                <w:i w:val="0"/>
                <w:iCs w:val="0"/>
                <w:caps w:val="0"/>
                <w:strike w:val="0"/>
                <w:color w:val="auto"/>
                <w:spacing w:val="0"/>
                <w:kern w:val="2"/>
                <w:sz w:val="20"/>
                <w:szCs w:val="20"/>
                <w:u w:val="none"/>
                <w:lang w:val="en-US" w:eastAsia="zh-CN" w:bidi="ar-SA"/>
              </w:rPr>
              <w:t>更新后的三区矢量数据集，整合转换后的各行业专题矢量数据集（含元数据）；数据字典及图层说明文档。</w:t>
            </w:r>
          </w:p>
          <w:p w14:paraId="7F6D79C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u w:val="none"/>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2.</w:t>
            </w:r>
            <w:r>
              <w:rPr>
                <w:rFonts w:hint="eastAsia" w:ascii="仿宋" w:hAnsi="仿宋" w:eastAsia="仿宋" w:cs="仿宋"/>
                <w:b w:val="0"/>
                <w:bCs/>
                <w:i w:val="0"/>
                <w:iCs w:val="0"/>
                <w:caps w:val="0"/>
                <w:strike w:val="0"/>
                <w:color w:val="auto"/>
                <w:spacing w:val="0"/>
                <w:kern w:val="2"/>
                <w:sz w:val="20"/>
                <w:szCs w:val="20"/>
                <w:u w:val="none"/>
                <w:lang w:val="en-US" w:eastAsia="zh-CN" w:bidi="ar-SA"/>
              </w:rPr>
              <w:t>图件成果</w:t>
            </w:r>
          </w:p>
          <w:p w14:paraId="57837AE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i w:val="0"/>
                <w:iCs w:val="0"/>
                <w:caps w:val="0"/>
                <w:strike w:val="0"/>
                <w:color w:val="auto"/>
                <w:spacing w:val="0"/>
                <w:kern w:val="2"/>
                <w:sz w:val="20"/>
                <w:szCs w:val="20"/>
                <w:u w:val="none"/>
                <w:lang w:val="en-US" w:eastAsia="zh-CN" w:bidi="ar-SA"/>
              </w:rPr>
            </w:pPr>
            <w:r>
              <w:rPr>
                <w:rFonts w:hint="eastAsia" w:ascii="仿宋" w:hAnsi="仿宋" w:eastAsia="仿宋" w:cs="仿宋"/>
                <w:b w:val="0"/>
                <w:i w:val="0"/>
                <w:iCs w:val="0"/>
                <w:caps w:val="0"/>
                <w:strike w:val="0"/>
                <w:color w:val="auto"/>
                <w:spacing w:val="0"/>
                <w:kern w:val="2"/>
                <w:sz w:val="20"/>
                <w:szCs w:val="20"/>
                <w:u w:val="none"/>
                <w:lang w:val="en-US" w:eastAsia="zh-CN" w:bidi="ar-SA"/>
              </w:rPr>
              <w:t>各类专题图（含电子版及印刷版）。电子版图件格式为PDF或JPG，分辨率不低于300dpi；印刷版图件应为彩色印刷，图面清晰，色彩饱和，文字注记可读。图件应附图例、指北针、比例尺、图廓整饰等要素。</w:t>
            </w:r>
          </w:p>
          <w:p w14:paraId="5928CA0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u w:val="none"/>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3.</w:t>
            </w:r>
            <w:r>
              <w:rPr>
                <w:rFonts w:hint="eastAsia" w:ascii="仿宋" w:hAnsi="仿宋" w:eastAsia="仿宋" w:cs="仿宋"/>
                <w:b w:val="0"/>
                <w:bCs/>
                <w:i w:val="0"/>
                <w:iCs w:val="0"/>
                <w:caps w:val="0"/>
                <w:strike w:val="0"/>
                <w:color w:val="auto"/>
                <w:spacing w:val="0"/>
                <w:kern w:val="2"/>
                <w:sz w:val="20"/>
                <w:szCs w:val="20"/>
                <w:u w:val="none"/>
                <w:lang w:val="en-US" w:eastAsia="zh-CN" w:bidi="ar-SA"/>
              </w:rPr>
              <w:t>文档成果</w:t>
            </w:r>
          </w:p>
          <w:p w14:paraId="562928B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i w:val="0"/>
                <w:iCs w:val="0"/>
                <w:caps w:val="0"/>
                <w:strike w:val="0"/>
                <w:color w:val="auto"/>
                <w:spacing w:val="0"/>
                <w:kern w:val="2"/>
                <w:sz w:val="20"/>
                <w:szCs w:val="20"/>
                <w:u w:val="none"/>
                <w:lang w:val="en-US" w:eastAsia="zh-CN" w:bidi="ar-SA"/>
              </w:rPr>
              <w:t>数据复核工作报告；数据调整现地核实记录（含坐标定位信息、现场影像或照片、核实人员签字等佐证材料）；数据整合转换技术方案；专题图编制说明。</w:t>
            </w:r>
          </w:p>
          <w:p w14:paraId="2528A760">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2.3.4秦岭保护技术支撑</w:t>
            </w:r>
          </w:p>
          <w:p w14:paraId="5522F4F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u w:val="none"/>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1.</w:t>
            </w:r>
            <w:r>
              <w:rPr>
                <w:rFonts w:hint="eastAsia" w:ascii="仿宋" w:hAnsi="仿宋" w:eastAsia="仿宋" w:cs="仿宋"/>
                <w:b w:val="0"/>
                <w:bCs/>
                <w:i w:val="0"/>
                <w:iCs w:val="0"/>
                <w:caps w:val="0"/>
                <w:strike w:val="0"/>
                <w:color w:val="auto"/>
                <w:spacing w:val="0"/>
                <w:kern w:val="2"/>
                <w:sz w:val="20"/>
                <w:szCs w:val="20"/>
                <w:u w:val="none"/>
                <w:lang w:val="en-US" w:eastAsia="zh-CN" w:bidi="ar-SA"/>
              </w:rPr>
              <w:t>文档成果：各类核查台账、核查清单、调查报告、复核报告、月度/季度/年度报告、销号确认材料、整改建议汇编、检测报告。</w:t>
            </w:r>
          </w:p>
          <w:p w14:paraId="736AF72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2.表格成果：图斑核查表、线索核查表、巡查记录、监测数据汇总表。</w:t>
            </w:r>
          </w:p>
          <w:p w14:paraId="1A1594D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3.影像成果：现场照片、视频、正射影像、多时序遥感影像数据集。</w:t>
            </w:r>
          </w:p>
          <w:p w14:paraId="257EAC9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4.数据成果：图斑专题数据库、问题总台账数据库。</w:t>
            </w:r>
          </w:p>
          <w:p w14:paraId="4EB74B4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5.三维成果：点位无人机航飞倾斜摄影三维模型。</w:t>
            </w:r>
          </w:p>
          <w:p w14:paraId="2C9CE8D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6.环境监测成果：水质、土壤检测报告等。</w:t>
            </w:r>
          </w:p>
          <w:p w14:paraId="60F93132">
            <w:pPr>
              <w:pStyle w:val="3"/>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0" w:firstLineChars="200"/>
              <w:jc w:val="left"/>
              <w:textAlignment w:val="auto"/>
              <w:outlineLvl w:val="4"/>
              <w:rPr>
                <w:rFonts w:hint="eastAsia" w:ascii="仿宋" w:hAnsi="仿宋" w:eastAsia="仿宋" w:cs="仿宋"/>
                <w:b w:val="0"/>
                <w:bCs/>
                <w:sz w:val="20"/>
                <w:szCs w:val="20"/>
                <w:lang w:val="en-US" w:eastAsia="zh-CN"/>
              </w:rPr>
            </w:pPr>
            <w:r>
              <w:rPr>
                <w:rFonts w:hint="eastAsia" w:ascii="仿宋" w:hAnsi="仿宋" w:eastAsia="仿宋" w:cs="仿宋"/>
                <w:b w:val="0"/>
                <w:bCs/>
                <w:sz w:val="20"/>
                <w:szCs w:val="20"/>
                <w:lang w:val="en-US" w:eastAsia="zh-CN"/>
              </w:rPr>
              <w:t>2.3.5省市县平台贯通</w:t>
            </w:r>
          </w:p>
          <w:p w14:paraId="3745E75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1.数据整理优化：形成《省市联动数据字典标准》、《台账图斑数据治理规则说明文档》、治理后的标准化台账数据库及图斑数据库、知识图谱数据库以及数据整理优化报告。</w:t>
            </w:r>
          </w:p>
          <w:p w14:paraId="35EB961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2.数据同步标准接口建设：省级数据交换中间件和网关服务、《省市县平台数据交换接口规范》详细设计文档、接口自动化测试脚本或Postman测试集合。</w:t>
            </w:r>
          </w:p>
          <w:p w14:paraId="6401FA5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3.数据标准与对接规范设计编制：《省市联动数据字典标准》文档，《省市平台数据交换接口规范》文档，编码字典源文件。</w:t>
            </w:r>
          </w:p>
          <w:p w14:paraId="1B8C68C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4.平台端功能优化：省级平台新增“市级/县级台账”前端页面及后端服务；AI智能问答模块；权限配置策略文档（确保市级只能看市级数据，县级只能看县级数据）；用户操作手册（分市级版、县级版）。</w:t>
            </w:r>
          </w:p>
          <w:p w14:paraId="71EDBAF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5.移动端功能优化：秦岭生态卫士中新增市级/县级移动端应用功能，移动端后端同步服务接口，移动端用户操作指南。</w:t>
            </w:r>
          </w:p>
          <w:p w14:paraId="31B6182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6.省级统筹监管：省级统筹监管驾驶舱前端功能界面、运维监控仪表盘，省级统筹监管功能操作手册。</w:t>
            </w:r>
          </w:p>
          <w:p w14:paraId="45E83CC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240" w:lineRule="auto"/>
              <w:ind w:left="0" w:leftChars="0" w:right="0" w:rightChars="0" w:firstLine="400" w:firstLineChars="200"/>
              <w:jc w:val="left"/>
              <w:textAlignment w:val="auto"/>
              <w:rPr>
                <w:rFonts w:hint="eastAsia" w:ascii="仿宋" w:hAnsi="仿宋" w:eastAsia="仿宋" w:cs="仿宋"/>
                <w:b w:val="0"/>
                <w:bCs/>
                <w:i w:val="0"/>
                <w:iCs w:val="0"/>
                <w:caps w:val="0"/>
                <w:strike w:val="0"/>
                <w:color w:val="auto"/>
                <w:spacing w:val="0"/>
                <w:kern w:val="2"/>
                <w:sz w:val="20"/>
                <w:szCs w:val="20"/>
                <w:lang w:val="en-US" w:eastAsia="zh-CN" w:bidi="ar-SA"/>
              </w:rPr>
            </w:pPr>
            <w:r>
              <w:rPr>
                <w:rFonts w:hint="eastAsia" w:ascii="仿宋" w:hAnsi="仿宋" w:eastAsia="仿宋" w:cs="仿宋"/>
                <w:b w:val="0"/>
                <w:bCs/>
                <w:i w:val="0"/>
                <w:iCs w:val="0"/>
                <w:caps w:val="0"/>
                <w:strike w:val="0"/>
                <w:color w:val="auto"/>
                <w:spacing w:val="0"/>
                <w:kern w:val="2"/>
                <w:sz w:val="20"/>
                <w:szCs w:val="20"/>
                <w:lang w:val="en-US" w:eastAsia="zh-CN" w:bidi="ar-SA"/>
              </w:rPr>
              <w:t>7.功能、接口联调测试：《系统测试报告》（含功能、性能、安全测试结果）、《接口联调测试日志》、《数据对账差异分析报告》、问题整改清单及修复验证报告。</w:t>
            </w:r>
          </w:p>
          <w:p w14:paraId="4F56CDC7">
            <w:pPr>
              <w:pStyle w:val="2"/>
              <w:keepNext w:val="0"/>
              <w:keepLines w:val="0"/>
              <w:pageBreakBefore w:val="0"/>
              <w:widowControl w:val="0"/>
              <w:kinsoku/>
              <w:wordWrap/>
              <w:overflowPunct/>
              <w:topLinePunct w:val="0"/>
              <w:autoSpaceDE/>
              <w:autoSpaceDN/>
              <w:bidi w:val="0"/>
              <w:adjustRightInd/>
              <w:snapToGrid/>
              <w:spacing w:before="0" w:beforeLines="0" w:after="0" w:afterLines="0" w:line="240" w:lineRule="auto"/>
              <w:ind w:firstLine="402" w:firstLineChars="200"/>
              <w:jc w:val="left"/>
              <w:textAlignment w:val="auto"/>
              <w:outlineLvl w:val="3"/>
              <w:rPr>
                <w:rFonts w:hint="eastAsia" w:ascii="仿宋" w:hAnsi="仿宋" w:eastAsia="仿宋" w:cs="仿宋"/>
                <w:b/>
                <w:bCs w:val="0"/>
                <w:sz w:val="20"/>
                <w:szCs w:val="20"/>
                <w:lang w:val="en-US" w:eastAsia="zh-CN"/>
              </w:rPr>
            </w:pPr>
            <w:r>
              <w:rPr>
                <w:rFonts w:hint="eastAsia" w:ascii="仿宋" w:hAnsi="仿宋" w:eastAsia="仿宋" w:cs="仿宋"/>
                <w:b/>
                <w:bCs w:val="0"/>
                <w:sz w:val="20"/>
                <w:szCs w:val="20"/>
                <w:lang w:val="en-US" w:eastAsia="zh-CN"/>
              </w:rPr>
              <w:t>2.4 质量要求</w:t>
            </w:r>
          </w:p>
          <w:p w14:paraId="62EDB1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jc w:val="left"/>
              <w:textAlignment w:val="auto"/>
              <w:rPr>
                <w:rFonts w:hint="eastAsia" w:ascii="仿宋" w:hAnsi="仿宋" w:eastAsia="仿宋" w:cs="仿宋"/>
                <w:sz w:val="20"/>
                <w:szCs w:val="20"/>
              </w:rPr>
            </w:pPr>
            <w:r>
              <w:rPr>
                <w:rFonts w:hint="eastAsia" w:ascii="仿宋" w:hAnsi="仿宋" w:eastAsia="仿宋" w:cs="仿宋"/>
                <w:bCs/>
                <w:color w:val="auto"/>
                <w:sz w:val="20"/>
                <w:szCs w:val="20"/>
              </w:rPr>
              <w:t>本采购包所有成果需满足国家、行业、地方相关标准、规范及要求。</w:t>
            </w:r>
          </w:p>
        </w:tc>
      </w:tr>
    </w:tbl>
    <w:p w14:paraId="24D2BAA3">
      <w:pPr>
        <w:pStyle w:val="9"/>
        <w:outlineLvl w:val="3"/>
        <w:rPr>
          <w:rFonts w:hint="eastAsia" w:ascii="仿宋" w:hAnsi="仿宋" w:eastAsia="仿宋" w:cs="仿宋"/>
        </w:rPr>
      </w:pPr>
      <w:r>
        <w:rPr>
          <w:rFonts w:hint="eastAsia" w:ascii="仿宋" w:hAnsi="仿宋" w:eastAsia="仿宋" w:cs="仿宋"/>
        </w:rPr>
        <w:t>采购包</w:t>
      </w:r>
      <w:r>
        <w:rPr>
          <w:rFonts w:hint="eastAsia" w:ascii="仿宋" w:hAnsi="仿宋" w:eastAsia="仿宋" w:cs="仿宋"/>
          <w:lang w:val="en-US" w:eastAsia="zh-CN"/>
        </w:rPr>
        <w:t>2</w:t>
      </w:r>
      <w:r>
        <w:rPr>
          <w:rFonts w:hint="eastAsia" w:ascii="仿宋" w:hAnsi="仿宋" w:eastAsia="仿宋" w:cs="仿宋"/>
        </w:rPr>
        <w:t>：</w:t>
      </w:r>
    </w:p>
    <w:p w14:paraId="18688E51">
      <w:pPr>
        <w:pStyle w:val="9"/>
        <w:rPr>
          <w:rFonts w:hint="eastAsia" w:ascii="仿宋" w:hAnsi="仿宋" w:eastAsia="仿宋" w:cs="仿宋"/>
          <w:lang w:eastAsia="zh-CN"/>
        </w:rPr>
      </w:pPr>
      <w:r>
        <w:rPr>
          <w:rFonts w:hint="eastAsia" w:ascii="仿宋" w:hAnsi="仿宋" w:eastAsia="仿宋" w:cs="仿宋"/>
        </w:rPr>
        <w:t>标的名称：秦岭公众号、视频号内容运营</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
        <w:gridCol w:w="954"/>
        <w:gridCol w:w="6726"/>
      </w:tblGrid>
      <w:tr w14:paraId="3AA668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622D0240">
            <w:pPr>
              <w:pStyle w:val="9"/>
              <w:jc w:val="center"/>
              <w:rPr>
                <w:rFonts w:hint="eastAsia" w:ascii="仿宋" w:hAnsi="仿宋" w:eastAsia="仿宋" w:cs="仿宋"/>
                <w:sz w:val="20"/>
                <w:szCs w:val="20"/>
              </w:rPr>
            </w:pPr>
            <w:r>
              <w:rPr>
                <w:rFonts w:hint="eastAsia" w:ascii="仿宋" w:hAnsi="仿宋" w:eastAsia="仿宋" w:cs="仿宋"/>
                <w:sz w:val="20"/>
                <w:szCs w:val="20"/>
              </w:rPr>
              <w:t>序号</w:t>
            </w:r>
          </w:p>
        </w:tc>
        <w:tc>
          <w:tcPr>
            <w:tcW w:w="954" w:type="dxa"/>
            <w:vAlign w:val="center"/>
          </w:tcPr>
          <w:p w14:paraId="3F9BF60C">
            <w:pPr>
              <w:pStyle w:val="9"/>
              <w:jc w:val="center"/>
              <w:rPr>
                <w:rFonts w:hint="eastAsia" w:ascii="仿宋" w:hAnsi="仿宋" w:eastAsia="仿宋" w:cs="仿宋"/>
                <w:sz w:val="20"/>
                <w:szCs w:val="20"/>
              </w:rPr>
            </w:pPr>
            <w:r>
              <w:rPr>
                <w:rFonts w:hint="eastAsia" w:ascii="仿宋" w:hAnsi="仿宋" w:eastAsia="仿宋" w:cs="仿宋"/>
                <w:sz w:val="20"/>
                <w:szCs w:val="20"/>
              </w:rPr>
              <w:t>参数</w:t>
            </w:r>
          </w:p>
          <w:p w14:paraId="57EED520">
            <w:pPr>
              <w:pStyle w:val="9"/>
              <w:jc w:val="center"/>
              <w:rPr>
                <w:rFonts w:hint="eastAsia" w:ascii="仿宋" w:hAnsi="仿宋" w:eastAsia="仿宋" w:cs="仿宋"/>
                <w:sz w:val="20"/>
                <w:szCs w:val="20"/>
              </w:rPr>
            </w:pPr>
            <w:r>
              <w:rPr>
                <w:rFonts w:hint="eastAsia" w:ascii="仿宋" w:hAnsi="仿宋" w:eastAsia="仿宋" w:cs="仿宋"/>
                <w:sz w:val="20"/>
                <w:szCs w:val="20"/>
              </w:rPr>
              <w:t>性质</w:t>
            </w:r>
          </w:p>
        </w:tc>
        <w:tc>
          <w:tcPr>
            <w:tcW w:w="6726" w:type="dxa"/>
            <w:vAlign w:val="center"/>
          </w:tcPr>
          <w:p w14:paraId="54FDDACE">
            <w:pPr>
              <w:pStyle w:val="9"/>
              <w:jc w:val="center"/>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1E2F8B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73A7FE38">
            <w:pPr>
              <w:pStyle w:val="9"/>
              <w:jc w:val="center"/>
              <w:rPr>
                <w:rFonts w:hint="eastAsia" w:ascii="仿宋" w:hAnsi="仿宋" w:eastAsia="仿宋" w:cs="仿宋"/>
                <w:sz w:val="20"/>
                <w:szCs w:val="20"/>
              </w:rPr>
            </w:pPr>
            <w:r>
              <w:rPr>
                <w:rFonts w:hint="eastAsia" w:ascii="仿宋" w:hAnsi="仿宋" w:eastAsia="仿宋" w:cs="仿宋"/>
                <w:sz w:val="20"/>
                <w:szCs w:val="20"/>
              </w:rPr>
              <w:t>1</w:t>
            </w:r>
          </w:p>
        </w:tc>
        <w:tc>
          <w:tcPr>
            <w:tcW w:w="954" w:type="dxa"/>
            <w:vAlign w:val="center"/>
          </w:tcPr>
          <w:p w14:paraId="5397273D">
            <w:pPr>
              <w:jc w:val="center"/>
              <w:rPr>
                <w:rFonts w:hint="eastAsia" w:ascii="仿宋" w:hAnsi="仿宋" w:eastAsia="仿宋" w:cs="仿宋"/>
                <w:sz w:val="20"/>
                <w:szCs w:val="20"/>
              </w:rPr>
            </w:pPr>
          </w:p>
        </w:tc>
        <w:tc>
          <w:tcPr>
            <w:tcW w:w="6726" w:type="dxa"/>
            <w:vAlign w:val="center"/>
          </w:tcPr>
          <w:p w14:paraId="6799EBF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一、</w:t>
            </w:r>
            <w:r>
              <w:rPr>
                <w:rFonts w:hint="eastAsia" w:ascii="仿宋" w:hAnsi="仿宋" w:eastAsia="仿宋" w:cs="仿宋"/>
                <w:b/>
                <w:bCs/>
                <w:sz w:val="20"/>
                <w:szCs w:val="20"/>
              </w:rPr>
              <w:t>本包概况</w:t>
            </w:r>
          </w:p>
          <w:p w14:paraId="77E022F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根据工作安排定期需要对秦岭生态环境保护微信公众号进行运营，并根据时政信息补充更新相关栏目版块内容；视频号根据工作需要制作原创视频、处理视频号互动信息等，从重要会议、重大活动、工作动态等方面全方位宣传；做好公众号、视频号技术支持工作，及时监测服务器及相关软硬件设备运行状态，确保安全、稳定运行。</w:t>
            </w:r>
          </w:p>
          <w:p w14:paraId="1F9E36A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二、服务内容及服务要求</w:t>
            </w:r>
          </w:p>
          <w:p w14:paraId="6E1E0C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（一）服务内容</w:t>
            </w:r>
          </w:p>
          <w:p w14:paraId="7782374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1.微信公众号运营工作内容</w:t>
            </w:r>
          </w:p>
          <w:p w14:paraId="496DE62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负责推送秦岭区域生态环境保护相关的时政热点、新规政策、行业要闻、工作动态、专项行动、大型活动等内容。根据工作需求，撰写原创文章，内容涵盖生态环境保护工作动态、人物事迹、资源介绍、线上活动等方面，在微信公众号推送。做好账号日常维护、功能优化，收集处理用户反馈，并基于数据监测分析调整运营策略。</w:t>
            </w:r>
          </w:p>
          <w:p w14:paraId="768C816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2.微信视频号运营工作内容</w:t>
            </w:r>
          </w:p>
          <w:p w14:paraId="5443F86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推送秦岭生态环境保护的相关内容，从重要会议、重大活动、工作动态等方面全方位宣传秦岭生态环境保护。针对采购人活动进行视频拍摄、剪辑发布工作。</w:t>
            </w:r>
          </w:p>
          <w:p w14:paraId="18C530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3.技术支持相关工作</w:t>
            </w:r>
          </w:p>
          <w:p w14:paraId="348B3F9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公众号、视频号技术支持工作，及时监测服务器及相关软硬件设备运行状态，对可能出现的问题进行预防，同时定期全面检查公众号和视频号的各项功能模块，确保账号设置符合平台最新安全规范。建立内容巡检机制，每日对公众号、视频号发布的内容进行巡查，确保内容不存在违法违规信息、敏感信息，避免因内容问题导致账号被封或受到其他处罚。定期对账号的安全状况进行自我评估，不断优化安全管理措施，保障公众号和视频号安全稳定运行。</w:t>
            </w:r>
          </w:p>
          <w:p w14:paraId="13227ED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（二）服务要求</w:t>
            </w:r>
          </w:p>
          <w:p w14:paraId="2929227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1.微信公众号推送要求：频次为每个工作日</w:t>
            </w:r>
            <w:r>
              <w:rPr>
                <w:rFonts w:hint="eastAsia" w:ascii="仿宋" w:hAnsi="仿宋" w:eastAsia="仿宋" w:cs="仿宋"/>
                <w:sz w:val="20"/>
                <w:szCs w:val="20"/>
              </w:rPr>
              <w:t>不少于1条</w:t>
            </w:r>
            <w:r>
              <w:rPr>
                <w:rFonts w:hint="eastAsia" w:ascii="仿宋" w:hAnsi="仿宋" w:eastAsia="仿宋" w:cs="仿宋"/>
                <w:kern w:val="2"/>
                <w:sz w:val="20"/>
                <w:szCs w:val="20"/>
                <w:lang w:val="en-US" w:eastAsia="zh-CN" w:bidi="ar-SA"/>
              </w:rPr>
              <w:t>图文信息，要求无政治性、文字性、功能使用性、排版性错误，及时处理公众号留言互动信息。</w:t>
            </w:r>
          </w:p>
          <w:p w14:paraId="71DBB46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2.微信视频号制作要求：制作不少于120条精美视频。每个视频保证内容正确、画质清晰，视频时长不低于30秒。根据工作需要制作原创视频内容、处理视频号互动信息等。</w:t>
            </w:r>
          </w:p>
          <w:p w14:paraId="1C62EF2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color w:val="auto"/>
                <w:sz w:val="20"/>
                <w:szCs w:val="20"/>
                <w:highlight w:val="none"/>
              </w:rPr>
            </w:pPr>
            <w:r>
              <w:rPr>
                <w:rFonts w:hint="eastAsia" w:ascii="仿宋" w:hAnsi="仿宋" w:eastAsia="仿宋" w:cs="仿宋"/>
                <w:kern w:val="2"/>
                <w:sz w:val="20"/>
                <w:szCs w:val="20"/>
                <w:lang w:val="en-US" w:eastAsia="zh-CN" w:bidi="ar-SA"/>
              </w:rPr>
              <w:t>3.</w:t>
            </w:r>
            <w:r>
              <w:rPr>
                <w:rFonts w:hint="eastAsia" w:ascii="仿宋" w:hAnsi="仿宋" w:eastAsia="仿宋" w:cs="仿宋"/>
                <w:color w:val="auto"/>
                <w:sz w:val="20"/>
                <w:szCs w:val="20"/>
                <w:highlight w:val="none"/>
              </w:rPr>
              <w:t>投标人内部审核：实行采编初审、内容负责人复审、审核岗终审三级审核，核查事实、文字、版权、导向、素材合规，审核完成报送采购人。</w:t>
            </w:r>
          </w:p>
          <w:p w14:paraId="650B9F4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textAlignment w:val="auto"/>
              <w:outlineLvl w:val="9"/>
              <w:rPr>
                <w:rFonts w:hint="eastAsia" w:ascii="仿宋" w:hAnsi="仿宋" w:eastAsia="仿宋" w:cs="仿宋"/>
                <w:color w:val="auto"/>
                <w:kern w:val="2"/>
                <w:sz w:val="20"/>
                <w:szCs w:val="20"/>
                <w:highlight w:val="none"/>
                <w:lang w:val="en-US" w:eastAsia="zh-CN" w:bidi="ar-SA"/>
              </w:rPr>
            </w:pPr>
            <w:r>
              <w:rPr>
                <w:rFonts w:hint="eastAsia" w:ascii="仿宋" w:hAnsi="仿宋" w:eastAsia="仿宋" w:cs="仿宋"/>
                <w:color w:val="auto"/>
                <w:kern w:val="2"/>
                <w:sz w:val="20"/>
                <w:szCs w:val="20"/>
                <w:highlight w:val="none"/>
                <w:lang w:val="en-US" w:eastAsia="zh-CN" w:bidi="ar-SA"/>
              </w:rPr>
              <w:t>采购人审核：采购人对报送的公众号图文、视频号视频进行审核，审核结果分为同意发布、修改后重报、不予发布；未经采购人审核确认，投标人不得发布。</w:t>
            </w:r>
          </w:p>
          <w:p w14:paraId="4AD6600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sz w:val="20"/>
                <w:szCs w:val="20"/>
              </w:rPr>
            </w:pPr>
            <w:r>
              <w:rPr>
                <w:rFonts w:hint="eastAsia" w:ascii="仿宋" w:hAnsi="仿宋" w:eastAsia="仿宋" w:cs="仿宋"/>
                <w:color w:val="auto"/>
                <w:kern w:val="2"/>
                <w:sz w:val="20"/>
                <w:szCs w:val="20"/>
                <w:highlight w:val="none"/>
                <w:lang w:val="en-US" w:eastAsia="zh-CN" w:bidi="ar-SA"/>
              </w:rPr>
              <w:t>4.</w:t>
            </w:r>
            <w:r>
              <w:rPr>
                <w:rFonts w:hint="eastAsia" w:ascii="仿宋" w:hAnsi="仿宋" w:eastAsia="仿宋" w:cs="仿宋"/>
                <w:color w:val="auto"/>
                <w:sz w:val="20"/>
                <w:szCs w:val="20"/>
                <w:highlight w:val="none"/>
              </w:rPr>
              <w:t>提交成果为</w:t>
            </w:r>
            <w:r>
              <w:rPr>
                <w:rFonts w:hint="eastAsia" w:ascii="仿宋" w:hAnsi="仿宋" w:eastAsia="仿宋" w:cs="仿宋"/>
                <w:sz w:val="20"/>
                <w:szCs w:val="20"/>
              </w:rPr>
              <w:t>每日图文信息汇总电子及纸质文本；视频通用格式电子成果及项目运维总结报告于项目履约全部完成后统一报送。</w:t>
            </w:r>
          </w:p>
        </w:tc>
      </w:tr>
    </w:tbl>
    <w:p w14:paraId="2EFBB90B">
      <w:pPr>
        <w:pStyle w:val="9"/>
        <w:outlineLvl w:val="3"/>
        <w:rPr>
          <w:rFonts w:hint="eastAsia" w:ascii="仿宋" w:hAnsi="仿宋" w:eastAsia="仿宋" w:cs="仿宋"/>
        </w:rPr>
      </w:pPr>
      <w:r>
        <w:rPr>
          <w:rFonts w:hint="eastAsia" w:ascii="仿宋" w:hAnsi="仿宋" w:eastAsia="仿宋" w:cs="仿宋"/>
        </w:rPr>
        <w:t>采购包</w:t>
      </w:r>
      <w:r>
        <w:rPr>
          <w:rFonts w:hint="eastAsia" w:ascii="仿宋" w:hAnsi="仿宋" w:eastAsia="仿宋" w:cs="仿宋"/>
          <w:lang w:val="en-US" w:eastAsia="zh-CN"/>
        </w:rPr>
        <w:t>3</w:t>
      </w:r>
      <w:r>
        <w:rPr>
          <w:rFonts w:hint="eastAsia" w:ascii="仿宋" w:hAnsi="仿宋" w:eastAsia="仿宋" w:cs="仿宋"/>
        </w:rPr>
        <w:t>：</w:t>
      </w:r>
    </w:p>
    <w:p w14:paraId="0C19D6EE">
      <w:pPr>
        <w:pStyle w:val="9"/>
        <w:rPr>
          <w:rFonts w:hint="eastAsia" w:ascii="仿宋" w:hAnsi="仿宋" w:eastAsia="仿宋" w:cs="仿宋"/>
          <w:lang w:eastAsia="zh-CN"/>
        </w:rPr>
      </w:pPr>
      <w:r>
        <w:rPr>
          <w:rFonts w:hint="eastAsia" w:ascii="仿宋" w:hAnsi="仿宋" w:eastAsia="仿宋" w:cs="仿宋"/>
        </w:rPr>
        <w:t>标的名称：</w:t>
      </w:r>
      <w:r>
        <w:rPr>
          <w:rFonts w:hint="eastAsia" w:ascii="仿宋" w:hAnsi="仿宋" w:eastAsia="仿宋" w:cs="仿宋"/>
          <w:sz w:val="21"/>
          <w:szCs w:val="21"/>
          <w:vertAlign w:val="baseline"/>
          <w:lang w:val="en-US" w:eastAsia="zh-CN"/>
        </w:rPr>
        <w:t>秦岭勘界立标智能物联设备维护</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
        <w:gridCol w:w="954"/>
        <w:gridCol w:w="6726"/>
      </w:tblGrid>
      <w:tr w14:paraId="7AF999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5267DFBA">
            <w:pPr>
              <w:pStyle w:val="9"/>
              <w:jc w:val="center"/>
              <w:rPr>
                <w:rFonts w:hint="eastAsia" w:ascii="仿宋" w:hAnsi="仿宋" w:eastAsia="仿宋" w:cs="仿宋"/>
                <w:sz w:val="20"/>
                <w:szCs w:val="20"/>
              </w:rPr>
            </w:pPr>
            <w:r>
              <w:rPr>
                <w:rFonts w:hint="eastAsia" w:ascii="仿宋" w:hAnsi="仿宋" w:eastAsia="仿宋" w:cs="仿宋"/>
                <w:sz w:val="20"/>
                <w:szCs w:val="20"/>
              </w:rPr>
              <w:t>序号</w:t>
            </w:r>
          </w:p>
        </w:tc>
        <w:tc>
          <w:tcPr>
            <w:tcW w:w="954" w:type="dxa"/>
            <w:vAlign w:val="center"/>
          </w:tcPr>
          <w:p w14:paraId="3BAADAA2">
            <w:pPr>
              <w:pStyle w:val="9"/>
              <w:jc w:val="center"/>
              <w:rPr>
                <w:rFonts w:hint="eastAsia" w:ascii="仿宋" w:hAnsi="仿宋" w:eastAsia="仿宋" w:cs="仿宋"/>
                <w:sz w:val="20"/>
                <w:szCs w:val="20"/>
              </w:rPr>
            </w:pPr>
            <w:r>
              <w:rPr>
                <w:rFonts w:hint="eastAsia" w:ascii="仿宋" w:hAnsi="仿宋" w:eastAsia="仿宋" w:cs="仿宋"/>
                <w:sz w:val="20"/>
                <w:szCs w:val="20"/>
              </w:rPr>
              <w:t>参数</w:t>
            </w:r>
          </w:p>
          <w:p w14:paraId="698666A4">
            <w:pPr>
              <w:pStyle w:val="9"/>
              <w:jc w:val="center"/>
              <w:rPr>
                <w:rFonts w:hint="eastAsia" w:ascii="仿宋" w:hAnsi="仿宋" w:eastAsia="仿宋" w:cs="仿宋"/>
                <w:sz w:val="20"/>
                <w:szCs w:val="20"/>
              </w:rPr>
            </w:pPr>
            <w:r>
              <w:rPr>
                <w:rFonts w:hint="eastAsia" w:ascii="仿宋" w:hAnsi="仿宋" w:eastAsia="仿宋" w:cs="仿宋"/>
                <w:sz w:val="20"/>
                <w:szCs w:val="20"/>
              </w:rPr>
              <w:t>性质</w:t>
            </w:r>
          </w:p>
        </w:tc>
        <w:tc>
          <w:tcPr>
            <w:tcW w:w="6726" w:type="dxa"/>
            <w:vAlign w:val="center"/>
          </w:tcPr>
          <w:p w14:paraId="6BA79B32">
            <w:pPr>
              <w:pStyle w:val="9"/>
              <w:jc w:val="center"/>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775BF1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563605F7">
            <w:pPr>
              <w:pStyle w:val="9"/>
              <w:jc w:val="center"/>
              <w:rPr>
                <w:rFonts w:hint="eastAsia" w:ascii="仿宋" w:hAnsi="仿宋" w:eastAsia="仿宋" w:cs="仿宋"/>
                <w:sz w:val="20"/>
                <w:szCs w:val="20"/>
              </w:rPr>
            </w:pPr>
            <w:r>
              <w:rPr>
                <w:rFonts w:hint="eastAsia" w:ascii="仿宋" w:hAnsi="仿宋" w:eastAsia="仿宋" w:cs="仿宋"/>
                <w:sz w:val="20"/>
                <w:szCs w:val="20"/>
              </w:rPr>
              <w:t>1</w:t>
            </w:r>
          </w:p>
        </w:tc>
        <w:tc>
          <w:tcPr>
            <w:tcW w:w="954" w:type="dxa"/>
            <w:vAlign w:val="center"/>
          </w:tcPr>
          <w:p w14:paraId="7E1A7217">
            <w:pPr>
              <w:jc w:val="center"/>
              <w:rPr>
                <w:rFonts w:hint="eastAsia" w:ascii="仿宋" w:hAnsi="仿宋" w:eastAsia="仿宋" w:cs="仿宋"/>
                <w:sz w:val="20"/>
                <w:szCs w:val="20"/>
              </w:rPr>
            </w:pPr>
          </w:p>
        </w:tc>
        <w:tc>
          <w:tcPr>
            <w:tcW w:w="6726" w:type="dxa"/>
            <w:vAlign w:val="center"/>
          </w:tcPr>
          <w:p w14:paraId="2365D0A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一、</w:t>
            </w:r>
            <w:r>
              <w:rPr>
                <w:rFonts w:hint="eastAsia" w:ascii="仿宋" w:hAnsi="仿宋" w:eastAsia="仿宋" w:cs="仿宋"/>
                <w:b/>
                <w:bCs/>
                <w:sz w:val="20"/>
                <w:szCs w:val="20"/>
              </w:rPr>
              <w:t>本包概况</w:t>
            </w:r>
          </w:p>
          <w:p w14:paraId="05EFB9E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为确保秦岭勘界立标智能物联设备实时在线、运行正常，需开展4轮智能物联设备维护，配备流量套餐，保证设备正常运行，视频监控数据正常回传，最大化发挥监控资源价值。</w:t>
            </w:r>
          </w:p>
          <w:p w14:paraId="3170518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二、服务内容及服务要求</w:t>
            </w:r>
          </w:p>
          <w:p w14:paraId="2D4C7DA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（一）服务内容</w:t>
            </w:r>
          </w:p>
          <w:tbl>
            <w:tblPr>
              <w:tblStyle w:val="6"/>
              <w:tblW w:w="475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98"/>
              <w:gridCol w:w="2912"/>
              <w:gridCol w:w="804"/>
              <w:gridCol w:w="771"/>
            </w:tblGrid>
            <w:tr w14:paraId="4677C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59" w:hRule="atLeast"/>
                <w:jc w:val="center"/>
              </w:trPr>
              <w:tc>
                <w:tcPr>
                  <w:tcW w:w="226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AFB428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pacing w:val="-3"/>
                      <w:kern w:val="2"/>
                      <w:sz w:val="20"/>
                      <w:szCs w:val="20"/>
                      <w:highlight w:val="none"/>
                      <w:lang w:val="en-US" w:eastAsia="zh-CN" w:bidi="ar-SA"/>
                    </w:rPr>
                  </w:pPr>
                  <w:r>
                    <w:rPr>
                      <w:rFonts w:hint="eastAsia" w:ascii="仿宋" w:hAnsi="仿宋" w:eastAsia="仿宋" w:cs="仿宋"/>
                      <w:b/>
                      <w:bCs/>
                      <w:spacing w:val="-3"/>
                      <w:sz w:val="20"/>
                      <w:szCs w:val="20"/>
                      <w:highlight w:val="none"/>
                    </w:rPr>
                    <w:t>服务项</w:t>
                  </w:r>
                </w:p>
              </w:tc>
              <w:tc>
                <w:tcPr>
                  <w:tcW w:w="3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8C0E5C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pacing w:val="-3"/>
                      <w:kern w:val="2"/>
                      <w:sz w:val="20"/>
                      <w:szCs w:val="20"/>
                      <w:highlight w:val="none"/>
                      <w:lang w:val="en-US" w:eastAsia="zh-CN" w:bidi="ar-SA"/>
                    </w:rPr>
                  </w:pPr>
                  <w:r>
                    <w:rPr>
                      <w:rFonts w:hint="eastAsia" w:ascii="仿宋" w:hAnsi="仿宋" w:eastAsia="仿宋" w:cs="仿宋"/>
                      <w:b/>
                      <w:bCs/>
                      <w:spacing w:val="-3"/>
                      <w:kern w:val="2"/>
                      <w:sz w:val="20"/>
                      <w:szCs w:val="20"/>
                      <w:highlight w:val="none"/>
                      <w:lang w:val="en-US" w:eastAsia="zh-CN" w:bidi="ar-SA"/>
                    </w:rPr>
                    <w:t>具体内容</w:t>
                  </w:r>
                </w:p>
              </w:tc>
              <w:tc>
                <w:tcPr>
                  <w:tcW w:w="9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5BE0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pacing w:val="-3"/>
                      <w:kern w:val="2"/>
                      <w:sz w:val="20"/>
                      <w:szCs w:val="20"/>
                      <w:highlight w:val="none"/>
                      <w:lang w:val="en-US" w:eastAsia="zh-CN" w:bidi="ar-SA"/>
                    </w:rPr>
                  </w:pPr>
                  <w:r>
                    <w:rPr>
                      <w:rFonts w:hint="eastAsia" w:ascii="仿宋" w:hAnsi="仿宋" w:eastAsia="仿宋" w:cs="仿宋"/>
                      <w:b/>
                      <w:bCs/>
                      <w:spacing w:val="-3"/>
                      <w:kern w:val="2"/>
                      <w:sz w:val="20"/>
                      <w:szCs w:val="20"/>
                      <w:highlight w:val="none"/>
                      <w:lang w:val="en-US" w:eastAsia="zh-CN" w:bidi="ar-SA"/>
                    </w:rPr>
                    <w:t>数量</w:t>
                  </w:r>
                </w:p>
              </w:tc>
              <w:tc>
                <w:tcPr>
                  <w:tcW w:w="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7256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pacing w:val="-3"/>
                      <w:kern w:val="2"/>
                      <w:sz w:val="20"/>
                      <w:szCs w:val="20"/>
                      <w:highlight w:val="none"/>
                      <w:lang w:val="en-US" w:eastAsia="zh-CN" w:bidi="ar-SA"/>
                    </w:rPr>
                  </w:pPr>
                  <w:r>
                    <w:rPr>
                      <w:rFonts w:hint="eastAsia" w:ascii="仿宋" w:hAnsi="仿宋" w:eastAsia="仿宋" w:cs="仿宋"/>
                      <w:b/>
                      <w:bCs/>
                      <w:spacing w:val="-3"/>
                      <w:kern w:val="2"/>
                      <w:sz w:val="20"/>
                      <w:szCs w:val="20"/>
                      <w:highlight w:val="none"/>
                      <w:lang w:val="en-US" w:eastAsia="zh-CN" w:bidi="ar-SA"/>
                    </w:rPr>
                    <w:t>单位</w:t>
                  </w:r>
                </w:p>
              </w:tc>
            </w:tr>
            <w:tr w14:paraId="4CB99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8" w:hRule="atLeast"/>
                <w:jc w:val="center"/>
              </w:trPr>
              <w:tc>
                <w:tcPr>
                  <w:tcW w:w="2265" w:type="dxa"/>
                  <w:vMerge w:val="restart"/>
                  <w:tcBorders>
                    <w:top w:val="single" w:color="auto" w:sz="4" w:space="0"/>
                    <w:left w:val="single" w:color="auto" w:sz="4" w:space="0"/>
                    <w:right w:val="single" w:color="auto" w:sz="4" w:space="0"/>
                  </w:tcBorders>
                  <w:shd w:val="clear" w:color="auto" w:fill="auto"/>
                  <w:noWrap w:val="0"/>
                  <w:vAlign w:val="center"/>
                </w:tcPr>
                <w:p w14:paraId="4B07A63F">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智能物联设备日常维护及流量补充</w:t>
                  </w:r>
                </w:p>
              </w:tc>
              <w:tc>
                <w:tcPr>
                  <w:tcW w:w="3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6138799">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default"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太阳能板维护</w:t>
                  </w:r>
                </w:p>
              </w:tc>
              <w:tc>
                <w:tcPr>
                  <w:tcW w:w="9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28CF6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30</w:t>
                  </w:r>
                </w:p>
              </w:tc>
              <w:tc>
                <w:tcPr>
                  <w:tcW w:w="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E7886A">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块</w:t>
                  </w:r>
                </w:p>
              </w:tc>
            </w:tr>
            <w:tr w14:paraId="47E87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9" w:hRule="atLeast"/>
                <w:jc w:val="center"/>
              </w:trPr>
              <w:tc>
                <w:tcPr>
                  <w:tcW w:w="2265" w:type="dxa"/>
                  <w:vMerge w:val="continue"/>
                  <w:tcBorders>
                    <w:left w:val="single" w:color="auto" w:sz="4" w:space="0"/>
                    <w:right w:val="single" w:color="auto" w:sz="4" w:space="0"/>
                  </w:tcBorders>
                  <w:shd w:val="clear" w:color="auto" w:fill="auto"/>
                  <w:noWrap w:val="0"/>
                  <w:vAlign w:val="center"/>
                </w:tcPr>
                <w:p w14:paraId="65008A7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p>
              </w:tc>
              <w:tc>
                <w:tcPr>
                  <w:tcW w:w="3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D03A913">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支架维护</w:t>
                  </w:r>
                </w:p>
              </w:tc>
              <w:tc>
                <w:tcPr>
                  <w:tcW w:w="9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6CAAD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20</w:t>
                  </w:r>
                </w:p>
              </w:tc>
              <w:tc>
                <w:tcPr>
                  <w:tcW w:w="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D0DF3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个</w:t>
                  </w:r>
                </w:p>
              </w:tc>
            </w:tr>
            <w:tr w14:paraId="314A4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2265" w:type="dxa"/>
                  <w:vMerge w:val="continue"/>
                  <w:tcBorders>
                    <w:left w:val="single" w:color="auto" w:sz="4" w:space="0"/>
                    <w:right w:val="single" w:color="auto" w:sz="4" w:space="0"/>
                  </w:tcBorders>
                  <w:shd w:val="clear" w:color="auto" w:fill="auto"/>
                  <w:noWrap w:val="0"/>
                  <w:vAlign w:val="center"/>
                </w:tcPr>
                <w:p w14:paraId="3ABC2E3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p>
              </w:tc>
              <w:tc>
                <w:tcPr>
                  <w:tcW w:w="3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D2E3332">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电池维护</w:t>
                  </w:r>
                </w:p>
              </w:tc>
              <w:tc>
                <w:tcPr>
                  <w:tcW w:w="9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0F74A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50</w:t>
                  </w:r>
                </w:p>
              </w:tc>
              <w:tc>
                <w:tcPr>
                  <w:tcW w:w="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B11328">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块</w:t>
                  </w:r>
                </w:p>
              </w:tc>
            </w:tr>
            <w:tr w14:paraId="4E5CE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3" w:hRule="atLeast"/>
                <w:jc w:val="center"/>
              </w:trPr>
              <w:tc>
                <w:tcPr>
                  <w:tcW w:w="2265" w:type="dxa"/>
                  <w:vMerge w:val="continue"/>
                  <w:tcBorders>
                    <w:left w:val="single" w:color="auto" w:sz="4" w:space="0"/>
                    <w:bottom w:val="single" w:color="auto" w:sz="4" w:space="0"/>
                    <w:right w:val="single" w:color="auto" w:sz="4" w:space="0"/>
                  </w:tcBorders>
                  <w:shd w:val="clear" w:color="auto" w:fill="auto"/>
                  <w:noWrap w:val="0"/>
                  <w:vAlign w:val="center"/>
                </w:tcPr>
                <w:p w14:paraId="7DEFA82F">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p>
              </w:tc>
              <w:tc>
                <w:tcPr>
                  <w:tcW w:w="3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19AB01">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对443套设备进行4轮维护测试，并补充相关流量，保障设备在一年内能够随时调取相关视频资料，并提供技术指导。</w:t>
                  </w:r>
                </w:p>
              </w:tc>
              <w:tc>
                <w:tcPr>
                  <w:tcW w:w="9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68ECE2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w:t>
                  </w:r>
                </w:p>
              </w:tc>
              <w:tc>
                <w:tcPr>
                  <w:tcW w:w="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4A68B28">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项</w:t>
                  </w:r>
                </w:p>
              </w:tc>
            </w:tr>
            <w:tr w14:paraId="084A4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jc w:val="center"/>
              </w:trPr>
              <w:tc>
                <w:tcPr>
                  <w:tcW w:w="2265" w:type="dxa"/>
                  <w:tcBorders>
                    <w:top w:val="single" w:color="auto" w:sz="4" w:space="0"/>
                    <w:left w:val="single" w:color="auto" w:sz="4" w:space="0"/>
                    <w:bottom w:val="single" w:color="auto" w:sz="4" w:space="0"/>
                    <w:right w:val="single" w:color="auto" w:sz="4" w:space="0"/>
                    <w:tl2br w:val="nil"/>
                  </w:tcBorders>
                  <w:shd w:val="clear" w:color="auto" w:fill="auto"/>
                  <w:noWrap w:val="0"/>
                  <w:vAlign w:val="center"/>
                </w:tcPr>
                <w:p w14:paraId="6BE414F1">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智能物联设备附属设施修补维护</w:t>
                  </w:r>
                </w:p>
              </w:tc>
              <w:tc>
                <w:tcPr>
                  <w:tcW w:w="3928" w:type="dxa"/>
                  <w:tcBorders>
                    <w:top w:val="single" w:color="auto" w:sz="4" w:space="0"/>
                    <w:left w:val="single" w:color="auto" w:sz="4" w:space="0"/>
                    <w:bottom w:val="single" w:color="auto" w:sz="4" w:space="0"/>
                    <w:right w:val="single" w:color="auto" w:sz="4" w:space="0"/>
                    <w:tl2br w:val="nil"/>
                  </w:tcBorders>
                  <w:shd w:val="clear" w:color="auto" w:fill="auto"/>
                  <w:noWrap w:val="0"/>
                  <w:vAlign w:val="center"/>
                </w:tcPr>
                <w:p w14:paraId="3040B24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1.对褪色破损的标牌版面进行更换。</w:t>
                  </w:r>
                </w:p>
                <w:p w14:paraId="092EFF0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2.对标牌主体框架漆面破损区域进行刷漆维护。</w:t>
                  </w:r>
                </w:p>
                <w:p w14:paraId="735FC1A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3.对标牌框架变形区域进行修补。</w:t>
                  </w:r>
                </w:p>
                <w:p w14:paraId="73B8329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4.对标牌基础不牢固区域进行位置迁移。</w:t>
                  </w:r>
                </w:p>
              </w:tc>
              <w:tc>
                <w:tcPr>
                  <w:tcW w:w="97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39CD3CF">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w:t>
                  </w:r>
                </w:p>
              </w:tc>
              <w:tc>
                <w:tcPr>
                  <w:tcW w:w="92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25A24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仿宋" w:hAnsi="仿宋" w:eastAsia="仿宋" w:cs="仿宋"/>
                      <w:b w:val="0"/>
                      <w:bCs w:val="0"/>
                      <w:spacing w:val="-3"/>
                      <w:kern w:val="2"/>
                      <w:sz w:val="20"/>
                      <w:szCs w:val="20"/>
                      <w:highlight w:val="none"/>
                      <w:lang w:val="en-US" w:eastAsia="zh-CN" w:bidi="ar-SA"/>
                    </w:rPr>
                  </w:pPr>
                  <w:r>
                    <w:rPr>
                      <w:rFonts w:hint="eastAsia" w:ascii="仿宋" w:hAnsi="仿宋" w:eastAsia="仿宋" w:cs="仿宋"/>
                      <w:b w:val="0"/>
                      <w:bCs w:val="0"/>
                      <w:spacing w:val="-3"/>
                      <w:kern w:val="2"/>
                      <w:sz w:val="20"/>
                      <w:szCs w:val="20"/>
                      <w:highlight w:val="none"/>
                      <w:lang w:val="en-US" w:eastAsia="zh-CN" w:bidi="ar-SA"/>
                    </w:rPr>
                    <w:t>项</w:t>
                  </w:r>
                </w:p>
              </w:tc>
            </w:tr>
          </w:tbl>
          <w:p w14:paraId="4342E26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（二）服务要求</w:t>
            </w:r>
          </w:p>
          <w:p w14:paraId="7D57664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highlight w:val="none"/>
                <w:lang w:val="en-US" w:eastAsia="zh-CN" w:bidi="ar-SA"/>
              </w:rPr>
            </w:pPr>
            <w:r>
              <w:rPr>
                <w:rFonts w:hint="eastAsia" w:ascii="仿宋" w:hAnsi="仿宋" w:eastAsia="仿宋" w:cs="仿宋"/>
                <w:b/>
                <w:bCs/>
                <w:kern w:val="2"/>
                <w:sz w:val="20"/>
                <w:szCs w:val="20"/>
                <w:highlight w:val="none"/>
                <w:lang w:val="en-US" w:eastAsia="zh-CN" w:bidi="ar-SA"/>
              </w:rPr>
              <w:t>1.智能物联设备日常维护及流量补充服务内容如下：</w:t>
            </w:r>
          </w:p>
          <w:p w14:paraId="21398C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（1）投标人对设备死机或存在故障问题，现场调试，保障其正常运行。</w:t>
            </w:r>
          </w:p>
          <w:p w14:paraId="05A2CB4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（2）投标人对设备易损部件（含太阳能板、支架、电池等部件）进行维修更换，并保障其充足的流量套餐。</w:t>
            </w:r>
          </w:p>
          <w:p w14:paraId="0956B97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（3）投标人在规定时间内对指定区域内智能物联设备完成4轮维护保养工作，形成“一备、一表、一册”，每轮完成维护保养后交由甲方审核。</w:t>
            </w:r>
          </w:p>
          <w:p w14:paraId="35F0DA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（4）投标人为采购方提供技术指导，并配合相关部门进行视频图像调取服务。</w:t>
            </w:r>
          </w:p>
          <w:p w14:paraId="0456548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highlight w:val="none"/>
                <w:lang w:val="en-US" w:eastAsia="zh-CN" w:bidi="ar-SA"/>
              </w:rPr>
            </w:pPr>
            <w:r>
              <w:rPr>
                <w:rFonts w:hint="eastAsia" w:ascii="仿宋" w:hAnsi="仿宋" w:eastAsia="仿宋" w:cs="仿宋"/>
                <w:b/>
                <w:bCs/>
                <w:kern w:val="2"/>
                <w:sz w:val="20"/>
                <w:szCs w:val="20"/>
                <w:highlight w:val="none"/>
                <w:lang w:val="en-US" w:eastAsia="zh-CN" w:bidi="ar-SA"/>
              </w:rPr>
              <w:t>2.智能物联设备附属设施修补维护内容如下：</w:t>
            </w:r>
          </w:p>
          <w:p w14:paraId="08BD5D0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highlight w:val="none"/>
                <w:lang w:val="en-US" w:eastAsia="zh-CN" w:bidi="ar-SA"/>
              </w:rPr>
            </w:pPr>
            <w:r>
              <w:rPr>
                <w:rFonts w:hint="eastAsia" w:ascii="仿宋" w:hAnsi="仿宋" w:eastAsia="仿宋" w:cs="仿宋"/>
                <w:b/>
                <w:bCs/>
                <w:kern w:val="2"/>
                <w:sz w:val="20"/>
                <w:szCs w:val="20"/>
                <w:highlight w:val="none"/>
                <w:lang w:val="en-US" w:eastAsia="zh-CN" w:bidi="ar-SA"/>
              </w:rPr>
              <w:t>（1）版面印制</w:t>
            </w:r>
          </w:p>
          <w:p w14:paraId="5B6DB18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秦岭生态环境保护标牌内嵌版面采用PVC材质印制，版面规格2000*1200*15mm，采用UV技术印刷，版面喷绘清晰明朗，无色差。</w:t>
            </w:r>
          </w:p>
          <w:p w14:paraId="43F566E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标牌版面内容以秦岭运维中心组织下辖各区县保护机构具体要求为准。</w:t>
            </w:r>
          </w:p>
          <w:p w14:paraId="1EBCD8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default" w:ascii="仿宋" w:hAnsi="仿宋" w:eastAsia="仿宋" w:cs="仿宋"/>
                <w:b/>
                <w:bCs/>
                <w:kern w:val="2"/>
                <w:sz w:val="20"/>
                <w:szCs w:val="20"/>
                <w:highlight w:val="none"/>
                <w:lang w:val="en-US" w:eastAsia="zh-CN" w:bidi="ar-SA"/>
              </w:rPr>
            </w:pPr>
            <w:r>
              <w:rPr>
                <w:rFonts w:hint="eastAsia" w:ascii="仿宋" w:hAnsi="仿宋" w:eastAsia="仿宋" w:cs="仿宋"/>
                <w:b/>
                <w:bCs/>
                <w:kern w:val="2"/>
                <w:sz w:val="20"/>
                <w:szCs w:val="20"/>
                <w:highlight w:val="none"/>
                <w:lang w:val="en-US" w:eastAsia="zh-CN" w:bidi="ar-SA"/>
              </w:rPr>
              <w:t>（2）标牌</w:t>
            </w:r>
            <w:r>
              <w:rPr>
                <w:rFonts w:hint="eastAsia" w:ascii="仿宋" w:hAnsi="仿宋" w:eastAsia="仿宋" w:cs="仿宋"/>
                <w:b/>
                <w:bCs/>
                <w:sz w:val="20"/>
                <w:szCs w:val="20"/>
                <w:highlight w:val="none"/>
              </w:rPr>
              <w:t>主体框架</w:t>
            </w:r>
            <w:r>
              <w:rPr>
                <w:rFonts w:hint="eastAsia" w:ascii="仿宋" w:hAnsi="仿宋" w:eastAsia="仿宋" w:cs="仿宋"/>
                <w:b/>
                <w:bCs/>
                <w:kern w:val="2"/>
                <w:sz w:val="20"/>
                <w:szCs w:val="20"/>
                <w:highlight w:val="none"/>
                <w:lang w:val="en-US" w:eastAsia="zh-CN" w:bidi="ar-SA"/>
              </w:rPr>
              <w:t>维护</w:t>
            </w:r>
          </w:p>
          <w:p w14:paraId="5256C75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 xml:space="preserve">对标牌主体框架漆面破损区域进行刷漆维护，油漆颜色要求一次底漆，两次面漆，要求防锈漆，标牌颜色采用大红色。 </w:t>
            </w:r>
          </w:p>
          <w:p w14:paraId="60835BF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highlight w:val="none"/>
                <w:lang w:val="en-US" w:eastAsia="zh-CN" w:bidi="ar-SA"/>
              </w:rPr>
            </w:pPr>
            <w:r>
              <w:rPr>
                <w:rFonts w:hint="eastAsia" w:ascii="仿宋" w:hAnsi="仿宋" w:eastAsia="仿宋" w:cs="仿宋"/>
                <w:b/>
                <w:bCs/>
                <w:kern w:val="2"/>
                <w:sz w:val="20"/>
                <w:szCs w:val="20"/>
                <w:highlight w:val="none"/>
                <w:lang w:val="en-US" w:eastAsia="zh-CN" w:bidi="ar-SA"/>
              </w:rPr>
              <w:t>（3）标牌埋设</w:t>
            </w:r>
          </w:p>
          <w:p w14:paraId="1AC51BC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1）基础预埋</w:t>
            </w:r>
          </w:p>
          <w:p w14:paraId="7A7E76C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一般在安装标牌前两至三天做好混凝土基础预埋，混凝土基础严格按照设计图规定高质量预埋，预埋时需注意以下事项：</w:t>
            </w:r>
          </w:p>
          <w:p w14:paraId="41FFD98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①基础挖坑：预埋坑挖深须满足要求，即（600mm×600mm×600mm），四壁须平整，与坑底地面垂直，坑底与坑口等宽。如埋设地土质松软，地质状况不理想，预埋挖深可适当加深、加宽。</w:t>
            </w:r>
          </w:p>
          <w:p w14:paraId="41D1F80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②预埋固件：预埋固件规格符合规范要求。钢筋达标，直径不低于10mm，无生锈，无弯曲情况，钢筋和螺帽螺纹必须配套一致，上面钢板厚度不低于5mm。</w:t>
            </w:r>
          </w:p>
          <w:p w14:paraId="5B64659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③混凝土浇灌：混凝土石灰、沙子、石子按比例配比，强度须满足C30标准。预制坑禁止填充砖头、大石块等其他杂物，保证预制混凝土坚固性。混凝土预制块与预埋固件必须紧密连接、无缝隙，预制后钢筋与混凝土预制面垂直，且各个钢筋预制等深，预埋固件完全固定于混凝土预制块之中；</w:t>
            </w:r>
          </w:p>
          <w:p w14:paraId="031C7F7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④预制整平：两侧混凝土预制块必须严格整平，预制完成后利用整平仪器进行核查，保证水平。混凝土预制块凝固后与四周土壤不能有明显缝隙，两个预埋固件对应的螺栓距离与标准尺寸严格一致，且两个预埋件与附近路沿、路灯等参照物保持等距，保证标牌树立后不偏不斜，横竖成“一”字。</w:t>
            </w:r>
          </w:p>
          <w:p w14:paraId="626B546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2）标牌安装</w:t>
            </w:r>
          </w:p>
          <w:p w14:paraId="640E09A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highlight w:val="none"/>
                <w:lang w:val="en-US" w:eastAsia="zh-CN" w:bidi="ar-SA"/>
              </w:rPr>
            </w:pPr>
            <w:r>
              <w:rPr>
                <w:rFonts w:hint="eastAsia" w:ascii="仿宋" w:hAnsi="仿宋" w:eastAsia="仿宋" w:cs="仿宋"/>
                <w:kern w:val="2"/>
                <w:sz w:val="20"/>
                <w:szCs w:val="20"/>
                <w:highlight w:val="none"/>
                <w:lang w:val="en-US" w:eastAsia="zh-CN" w:bidi="ar-SA"/>
              </w:rPr>
              <w:t>标牌安装时应严格嵌入螺栓中，利用水平尺等整平仪器检查安装是否平整，保证标牌横平竖直；标牌底部螺丝须与钢筋螺纹固定紧密，无滑丝、断丝情况，螺丝与标牌不能焊接固定；安装后应对漆面轻微剐蹭处利用自喷漆补喷，待油漆干透后，检查是否与标牌整体漆色存在明显色差；标牌安装后检查标牌是否稳固，如不稳固，须分析原因，及时处理；版面安装平整无翘起，版面和钢架连接处胶水结实、无缝隙；密封处理标牌后方版面龙骨。</w:t>
            </w:r>
          </w:p>
          <w:p w14:paraId="0F6C9A9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9"/>
              <w:rPr>
                <w:rFonts w:hint="eastAsia" w:ascii="仿宋" w:hAnsi="仿宋" w:eastAsia="仿宋" w:cs="仿宋"/>
                <w:b/>
                <w:bCs/>
                <w:kern w:val="2"/>
                <w:sz w:val="20"/>
                <w:szCs w:val="20"/>
                <w:highlight w:val="none"/>
                <w:lang w:val="en-US" w:eastAsia="zh-CN" w:bidi="ar-SA"/>
              </w:rPr>
            </w:pPr>
            <w:r>
              <w:rPr>
                <w:rFonts w:hint="eastAsia" w:ascii="仿宋" w:hAnsi="仿宋" w:eastAsia="仿宋" w:cs="仿宋"/>
                <w:b/>
                <w:bCs/>
                <w:kern w:val="2"/>
                <w:sz w:val="20"/>
                <w:szCs w:val="20"/>
                <w:highlight w:val="none"/>
                <w:lang w:val="en-US" w:eastAsia="zh-CN" w:bidi="ar-SA"/>
              </w:rPr>
              <w:t>3.成果要求</w:t>
            </w:r>
          </w:p>
          <w:p w14:paraId="1AE1413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投标人根据采购人服务工作要求，在采购人要求时限内出具以下相关交付成果：</w:t>
            </w:r>
          </w:p>
          <w:p w14:paraId="7A80302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（1）项目实施方案；</w:t>
            </w:r>
          </w:p>
          <w:p w14:paraId="5E133C3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（2）4轮维保手册；</w:t>
            </w:r>
          </w:p>
          <w:p w14:paraId="715FA61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0" w:firstLineChars="200"/>
              <w:jc w:val="left"/>
              <w:textAlignment w:val="auto"/>
              <w:outlineLvl w:val="9"/>
              <w:rPr>
                <w:rFonts w:hint="eastAsia" w:ascii="仿宋" w:hAnsi="仿宋" w:eastAsia="仿宋" w:cs="仿宋"/>
                <w:sz w:val="20"/>
                <w:szCs w:val="20"/>
              </w:rPr>
            </w:pPr>
            <w:r>
              <w:rPr>
                <w:rFonts w:hint="eastAsia" w:ascii="仿宋" w:hAnsi="仿宋" w:eastAsia="仿宋" w:cs="仿宋"/>
                <w:kern w:val="2"/>
                <w:sz w:val="20"/>
                <w:szCs w:val="20"/>
                <w:lang w:val="en-US" w:eastAsia="zh-CN" w:bidi="ar-SA"/>
              </w:rPr>
              <w:t>（3）项目实施总结。</w:t>
            </w:r>
          </w:p>
        </w:tc>
      </w:tr>
    </w:tbl>
    <w:p w14:paraId="19275C20">
      <w:pPr>
        <w:pStyle w:val="9"/>
        <w:outlineLvl w:val="3"/>
        <w:rPr>
          <w:rFonts w:hint="eastAsia" w:ascii="仿宋" w:hAnsi="仿宋" w:eastAsia="仿宋" w:cs="仿宋"/>
        </w:rPr>
      </w:pPr>
      <w:r>
        <w:rPr>
          <w:rFonts w:hint="eastAsia" w:ascii="仿宋" w:hAnsi="仿宋" w:eastAsia="仿宋" w:cs="仿宋"/>
        </w:rPr>
        <w:t>采购包</w:t>
      </w:r>
      <w:r>
        <w:rPr>
          <w:rFonts w:hint="eastAsia" w:ascii="仿宋" w:hAnsi="仿宋" w:eastAsia="仿宋" w:cs="仿宋"/>
          <w:lang w:val="en-US" w:eastAsia="zh-CN"/>
        </w:rPr>
        <w:t>4</w:t>
      </w:r>
      <w:r>
        <w:rPr>
          <w:rFonts w:hint="eastAsia" w:ascii="仿宋" w:hAnsi="仿宋" w:eastAsia="仿宋" w:cs="仿宋"/>
        </w:rPr>
        <w:t>：</w:t>
      </w:r>
    </w:p>
    <w:p w14:paraId="2E7B336F">
      <w:pPr>
        <w:pStyle w:val="9"/>
        <w:rPr>
          <w:rFonts w:hint="eastAsia" w:ascii="仿宋" w:hAnsi="仿宋" w:eastAsia="仿宋" w:cs="仿宋"/>
          <w:lang w:eastAsia="zh-CN"/>
        </w:rPr>
      </w:pPr>
      <w:r>
        <w:rPr>
          <w:rFonts w:hint="eastAsia" w:ascii="仿宋" w:hAnsi="仿宋" w:eastAsia="仿宋" w:cs="仿宋"/>
        </w:rPr>
        <w:t>标的名称：</w:t>
      </w:r>
      <w:r>
        <w:rPr>
          <w:rFonts w:hint="eastAsia" w:ascii="仿宋" w:hAnsi="仿宋" w:eastAsia="仿宋" w:cs="仿宋"/>
          <w:sz w:val="21"/>
          <w:szCs w:val="21"/>
          <w:vertAlign w:val="baseline"/>
          <w:lang w:val="en-US" w:eastAsia="zh-CN"/>
        </w:rPr>
        <w:t>秦岭生态环境保护信息化网格化监管平台及视频综合监管系统等保三级测评服务</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
        <w:gridCol w:w="954"/>
        <w:gridCol w:w="6726"/>
      </w:tblGrid>
      <w:tr w14:paraId="604D5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6017D9BC">
            <w:pPr>
              <w:pStyle w:val="9"/>
              <w:jc w:val="center"/>
              <w:rPr>
                <w:rFonts w:hint="eastAsia" w:ascii="仿宋" w:hAnsi="仿宋" w:eastAsia="仿宋" w:cs="仿宋"/>
                <w:sz w:val="20"/>
                <w:szCs w:val="20"/>
              </w:rPr>
            </w:pPr>
            <w:r>
              <w:rPr>
                <w:rFonts w:hint="eastAsia" w:ascii="仿宋" w:hAnsi="仿宋" w:eastAsia="仿宋" w:cs="仿宋"/>
                <w:sz w:val="20"/>
                <w:szCs w:val="20"/>
              </w:rPr>
              <w:t>序号</w:t>
            </w:r>
          </w:p>
        </w:tc>
        <w:tc>
          <w:tcPr>
            <w:tcW w:w="954" w:type="dxa"/>
            <w:vAlign w:val="center"/>
          </w:tcPr>
          <w:p w14:paraId="3A6D7294">
            <w:pPr>
              <w:pStyle w:val="9"/>
              <w:jc w:val="center"/>
              <w:rPr>
                <w:rFonts w:hint="eastAsia" w:ascii="仿宋" w:hAnsi="仿宋" w:eastAsia="仿宋" w:cs="仿宋"/>
                <w:sz w:val="20"/>
                <w:szCs w:val="20"/>
              </w:rPr>
            </w:pPr>
            <w:r>
              <w:rPr>
                <w:rFonts w:hint="eastAsia" w:ascii="仿宋" w:hAnsi="仿宋" w:eastAsia="仿宋" w:cs="仿宋"/>
                <w:sz w:val="20"/>
                <w:szCs w:val="20"/>
              </w:rPr>
              <w:t>参数</w:t>
            </w:r>
          </w:p>
          <w:p w14:paraId="174A00E0">
            <w:pPr>
              <w:pStyle w:val="9"/>
              <w:jc w:val="center"/>
              <w:rPr>
                <w:rFonts w:hint="eastAsia" w:ascii="仿宋" w:hAnsi="仿宋" w:eastAsia="仿宋" w:cs="仿宋"/>
                <w:sz w:val="20"/>
                <w:szCs w:val="20"/>
              </w:rPr>
            </w:pPr>
            <w:r>
              <w:rPr>
                <w:rFonts w:hint="eastAsia" w:ascii="仿宋" w:hAnsi="仿宋" w:eastAsia="仿宋" w:cs="仿宋"/>
                <w:sz w:val="20"/>
                <w:szCs w:val="20"/>
              </w:rPr>
              <w:t>性质</w:t>
            </w:r>
          </w:p>
        </w:tc>
        <w:tc>
          <w:tcPr>
            <w:tcW w:w="6726" w:type="dxa"/>
            <w:vAlign w:val="center"/>
          </w:tcPr>
          <w:p w14:paraId="19E09631">
            <w:pPr>
              <w:pStyle w:val="9"/>
              <w:jc w:val="center"/>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4F13D4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1993CA2A">
            <w:pPr>
              <w:pStyle w:val="9"/>
              <w:jc w:val="center"/>
              <w:rPr>
                <w:rFonts w:hint="eastAsia" w:ascii="仿宋" w:hAnsi="仿宋" w:eastAsia="仿宋" w:cs="仿宋"/>
                <w:sz w:val="20"/>
                <w:szCs w:val="20"/>
              </w:rPr>
            </w:pPr>
            <w:r>
              <w:rPr>
                <w:rFonts w:hint="eastAsia" w:ascii="仿宋" w:hAnsi="仿宋" w:eastAsia="仿宋" w:cs="仿宋"/>
                <w:sz w:val="20"/>
                <w:szCs w:val="20"/>
              </w:rPr>
              <w:t>1</w:t>
            </w:r>
          </w:p>
        </w:tc>
        <w:tc>
          <w:tcPr>
            <w:tcW w:w="954" w:type="dxa"/>
            <w:vAlign w:val="center"/>
          </w:tcPr>
          <w:p w14:paraId="794DB69D">
            <w:pPr>
              <w:jc w:val="center"/>
              <w:rPr>
                <w:rFonts w:hint="eastAsia" w:ascii="仿宋" w:hAnsi="仿宋" w:eastAsia="仿宋" w:cs="仿宋"/>
                <w:sz w:val="20"/>
                <w:szCs w:val="20"/>
              </w:rPr>
            </w:pPr>
          </w:p>
        </w:tc>
        <w:tc>
          <w:tcPr>
            <w:tcW w:w="6726" w:type="dxa"/>
            <w:vAlign w:val="center"/>
          </w:tcPr>
          <w:p w14:paraId="7C6E4524">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1"/>
              <w:rPr>
                <w:rFonts w:hint="eastAsia"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一、</w:t>
            </w:r>
            <w:r>
              <w:rPr>
                <w:rFonts w:hint="eastAsia" w:ascii="仿宋" w:hAnsi="仿宋" w:eastAsia="仿宋" w:cs="仿宋"/>
                <w:b/>
                <w:bCs/>
                <w:sz w:val="20"/>
                <w:szCs w:val="20"/>
              </w:rPr>
              <w:t>本包概况</w:t>
            </w:r>
          </w:p>
          <w:p w14:paraId="1A96873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完成秦岭生态环境保护信息化网格化监管平台及视频综合监管系统等保三级测评服务工作。</w:t>
            </w:r>
          </w:p>
          <w:p w14:paraId="6FE7F5EE">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1"/>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二、服务内容及服务要求</w:t>
            </w:r>
          </w:p>
          <w:p w14:paraId="35548AE1">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（一）服务内容</w:t>
            </w:r>
          </w:p>
          <w:p w14:paraId="6DC75D2A">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查找秦岭生态环境保护信息化网格化监管平台及视频综合监管系统现有安全保护水平与国家标准存在的差距，排查安全隐患、开展安全加固，提升信息系统安全防护能力至等保相关规范要求，并出具符合主管部门要求的等级保护测评报告</w:t>
            </w:r>
            <w:r>
              <w:rPr>
                <w:rFonts w:hint="eastAsia" w:ascii="仿宋" w:hAnsi="仿宋" w:eastAsia="仿宋" w:cs="仿宋"/>
                <w:sz w:val="20"/>
                <w:szCs w:val="20"/>
              </w:rPr>
              <w:t>、安全保护工作方案。</w:t>
            </w:r>
          </w:p>
          <w:p w14:paraId="1EFA2736">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（二）服务要求</w:t>
            </w:r>
          </w:p>
          <w:p w14:paraId="26DF4A5C">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1.测评依据</w:t>
            </w:r>
          </w:p>
          <w:p w14:paraId="6EDF5156">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此次依据的标准包含但不限于以下依据：</w:t>
            </w:r>
          </w:p>
          <w:p w14:paraId="7853B0C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（1）《中华人民共和国网络安全法》；</w:t>
            </w:r>
          </w:p>
          <w:p w14:paraId="03816501">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（2）GB/T 22239-2019《信息安全技术 网络安全等级保护基本要求》；</w:t>
            </w:r>
          </w:p>
          <w:p w14:paraId="350BD243">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（3）GB/T 22240-2020《信息安全技术 网络安全等级保护定级指南》；</w:t>
            </w:r>
          </w:p>
          <w:p w14:paraId="054B304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（4）GB/T 25058-2019《信息安全技术 网络安全等级保护实施指南》；</w:t>
            </w:r>
          </w:p>
          <w:p w14:paraId="284A051A">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（5）GB/T 20984-2022《信息安全技术 信息安全风险评估方法》；</w:t>
            </w:r>
          </w:p>
          <w:p w14:paraId="1DB93F76">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（6）GB/T 28448-2019《信息安全技术 网络安全等级保护测评要求》；</w:t>
            </w:r>
          </w:p>
          <w:p w14:paraId="46E3647D">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（7）GB/T 28449-2018《信息安全技术 网络安全等级保护测评过程指南》；</w:t>
            </w:r>
          </w:p>
          <w:p w14:paraId="61C7571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（8）GA/T 2380-2026《信息安全技术 网络安全等级保护数据安全基本要求》；</w:t>
            </w:r>
          </w:p>
          <w:p w14:paraId="011986D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b w:val="0"/>
                <w:bCs w:val="0"/>
                <w:kern w:val="2"/>
                <w:sz w:val="20"/>
                <w:szCs w:val="20"/>
                <w:lang w:val="en-US" w:eastAsia="zh-CN" w:bidi="ar-SA"/>
              </w:rPr>
            </w:pPr>
            <w:r>
              <w:rPr>
                <w:rFonts w:hint="eastAsia" w:ascii="仿宋" w:hAnsi="仿宋" w:eastAsia="仿宋" w:cs="仿宋"/>
                <w:b w:val="0"/>
                <w:bCs w:val="0"/>
                <w:kern w:val="2"/>
                <w:sz w:val="20"/>
                <w:szCs w:val="20"/>
                <w:lang w:val="en-US" w:eastAsia="zh-CN" w:bidi="ar-SA"/>
              </w:rPr>
              <w:t>（9）《信息安全等级保护管理办法》（公通字〔2007〕43号）。</w:t>
            </w:r>
          </w:p>
          <w:p w14:paraId="0D74DB74">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2.测评要求</w:t>
            </w:r>
          </w:p>
          <w:p w14:paraId="5632126C">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依据《信息安全技术 网络安全等级保护基本要求》（GB/T 22239-2019）、《信息安全技术 网络安全等级保护测评要求》（GB/T 28448-2019）、《信息安全技术 网络安全等级保护测评过程指南》（GB/T 28449-2018）等国家关于网络安全等级保护2.0的相关标准和规范要求，为招标人提供相应级别等级保护测评实施工作，包括安全物理环境、安全通信网络、安全区域边界、安全计算环境、安全管理中心测评，以及安全管理制度、安全管理机构、安全管理人员、安全建设管理、安全运维管理的等级保护测试评价服务。完成等级保护测评的定级、备案、制定保护工作方案（等保三级系统）、提出整改建议、等级测评等工作，最终出具《网络安全等级保护测评报告》并协助完成备案。</w:t>
            </w:r>
          </w:p>
          <w:p w14:paraId="4B0CD98E">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（1）定级</w:t>
            </w:r>
          </w:p>
          <w:p w14:paraId="7EAC9946">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协助信息系统管理单位依据《网络安全等级保护定级指南》（GB/T 22240-2020）开展未完成（或需变更）网络安全等级保护定级的信息系统定级工作。</w:t>
            </w:r>
          </w:p>
          <w:p w14:paraId="772C787B">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（2）备案</w:t>
            </w:r>
          </w:p>
          <w:p w14:paraId="3437EACE">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信息系统的安全保护等级确定后，协助信息系统的管理单位在规定时限内到属地公安机关办理备案手续，获得公安机关颁发的《信息系统安全等级保护备案证明》。</w:t>
            </w:r>
          </w:p>
          <w:p w14:paraId="2F7B1EA6">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（3）制定保护工作方案</w:t>
            </w:r>
          </w:p>
          <w:p w14:paraId="10AE705D">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信息系统定级为等保三级系统，需协助信息系统管理单位结合实际制定《安全保护工作方案》。</w:t>
            </w:r>
          </w:p>
          <w:p w14:paraId="46BDAF9B">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（4）提出整改建议</w:t>
            </w:r>
          </w:p>
          <w:p w14:paraId="6A973581">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对信息系统安全情况与等级保护基本要求的差距进行风险分析，并出具科学合理的整改建议。</w:t>
            </w:r>
          </w:p>
          <w:p w14:paraId="3880A0F1">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（5）等级测评</w:t>
            </w:r>
          </w:p>
          <w:p w14:paraId="0CC5D8BB">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b w:val="0"/>
                <w:bCs/>
                <w:color w:val="auto"/>
                <w:sz w:val="20"/>
                <w:szCs w:val="20"/>
                <w:lang w:val="en-US" w:eastAsia="zh-CN"/>
              </w:rPr>
            </w:pPr>
            <w:r>
              <w:rPr>
                <w:rFonts w:hint="eastAsia" w:ascii="仿宋" w:hAnsi="仿宋" w:eastAsia="仿宋" w:cs="仿宋"/>
                <w:b w:val="0"/>
                <w:bCs/>
                <w:color w:val="auto"/>
                <w:sz w:val="20"/>
                <w:szCs w:val="20"/>
                <w:lang w:val="en-US" w:eastAsia="zh-CN"/>
              </w:rPr>
              <w:t>通过测评准备、系统调研、测评方案编制、现场测评、分析与报告编制等工作流程给出等级测评结论，最终形成加盖公司公章的《网络安全等级保护测评报告》文本。</w:t>
            </w:r>
          </w:p>
          <w:p w14:paraId="6EBB3821">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3.成果要求</w:t>
            </w:r>
          </w:p>
          <w:p w14:paraId="1E7AB3E4">
            <w:pPr>
              <w:keepNext w:val="0"/>
              <w:keepLines w:val="0"/>
              <w:pageBreakBefore w:val="0"/>
              <w:widowControl w:val="0"/>
              <w:kinsoku/>
              <w:wordWrap/>
              <w:overflowPunct/>
              <w:topLinePunct w:val="0"/>
              <w:autoSpaceDE/>
              <w:autoSpaceDN/>
              <w:bidi w:val="0"/>
              <w:adjustRightInd/>
              <w:snapToGrid/>
              <w:ind w:firstLine="400" w:firstLineChars="200"/>
              <w:jc w:val="left"/>
              <w:textAlignment w:val="auto"/>
              <w:rPr>
                <w:rFonts w:hint="eastAsia" w:ascii="仿宋" w:hAnsi="仿宋" w:eastAsia="仿宋" w:cs="仿宋"/>
                <w:sz w:val="20"/>
                <w:szCs w:val="20"/>
              </w:rPr>
            </w:pPr>
            <w:r>
              <w:rPr>
                <w:rFonts w:hint="eastAsia" w:ascii="仿宋" w:hAnsi="仿宋" w:eastAsia="仿宋" w:cs="仿宋"/>
                <w:b w:val="0"/>
                <w:bCs/>
                <w:color w:val="auto"/>
                <w:sz w:val="20"/>
                <w:szCs w:val="20"/>
                <w:lang w:val="en-US" w:eastAsia="zh-CN"/>
              </w:rPr>
              <w:t>投标人根据采购人服务工作要求，在采购人要求时限内出具</w:t>
            </w:r>
            <w:r>
              <w:rPr>
                <w:rFonts w:hint="eastAsia" w:ascii="仿宋" w:hAnsi="仿宋" w:eastAsia="仿宋" w:cs="仿宋"/>
                <w:bCs/>
                <w:color w:val="auto"/>
                <w:sz w:val="20"/>
                <w:szCs w:val="20"/>
              </w:rPr>
              <w:t>秦岭生态环境保护信息化网格化监管平台及视频综合监管系统</w:t>
            </w:r>
            <w:r>
              <w:rPr>
                <w:rFonts w:hint="eastAsia" w:ascii="仿宋" w:hAnsi="仿宋" w:eastAsia="仿宋" w:cs="仿宋"/>
                <w:b w:val="0"/>
                <w:bCs/>
                <w:color w:val="auto"/>
                <w:sz w:val="20"/>
                <w:szCs w:val="20"/>
                <w:lang w:val="en-US" w:eastAsia="zh-CN"/>
              </w:rPr>
              <w:t>《网络安全等级保护测评报告》和《安全保护工作方案》。</w:t>
            </w:r>
          </w:p>
        </w:tc>
      </w:tr>
    </w:tbl>
    <w:p w14:paraId="55ADF28A">
      <w:pPr>
        <w:pStyle w:val="9"/>
        <w:outlineLvl w:val="3"/>
        <w:rPr>
          <w:rFonts w:hint="eastAsia" w:ascii="仿宋" w:hAnsi="仿宋" w:eastAsia="仿宋" w:cs="仿宋"/>
        </w:rPr>
      </w:pPr>
      <w:r>
        <w:rPr>
          <w:rFonts w:hint="eastAsia" w:ascii="仿宋" w:hAnsi="仿宋" w:eastAsia="仿宋" w:cs="仿宋"/>
        </w:rPr>
        <w:t>采购包</w:t>
      </w:r>
      <w:r>
        <w:rPr>
          <w:rFonts w:hint="eastAsia" w:ascii="仿宋" w:hAnsi="仿宋" w:eastAsia="仿宋" w:cs="仿宋"/>
          <w:lang w:val="en-US" w:eastAsia="zh-CN"/>
        </w:rPr>
        <w:t>5</w:t>
      </w:r>
      <w:r>
        <w:rPr>
          <w:rFonts w:hint="eastAsia" w:ascii="仿宋" w:hAnsi="仿宋" w:eastAsia="仿宋" w:cs="仿宋"/>
        </w:rPr>
        <w:t>：</w:t>
      </w:r>
    </w:p>
    <w:p w14:paraId="3ABD3667">
      <w:pPr>
        <w:pStyle w:val="9"/>
        <w:rPr>
          <w:rFonts w:hint="eastAsia" w:ascii="仿宋" w:hAnsi="仿宋" w:eastAsia="仿宋" w:cs="仿宋"/>
          <w:lang w:eastAsia="zh-CN"/>
        </w:rPr>
      </w:pPr>
      <w:r>
        <w:rPr>
          <w:rFonts w:hint="eastAsia" w:ascii="仿宋" w:hAnsi="仿宋" w:eastAsia="仿宋" w:cs="仿宋"/>
        </w:rPr>
        <w:t>标的名称：</w:t>
      </w:r>
      <w:r>
        <w:rPr>
          <w:rFonts w:hint="eastAsia" w:ascii="仿宋" w:hAnsi="仿宋" w:eastAsia="仿宋" w:cs="仿宋"/>
          <w:sz w:val="21"/>
          <w:szCs w:val="21"/>
          <w:vertAlign w:val="baseline"/>
          <w:lang w:val="en-US" w:eastAsia="zh-CN"/>
        </w:rPr>
        <w:t>秦岭生态环境保护信息化网格化监管平台及视频综合监管系统密评服务</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
        <w:gridCol w:w="954"/>
        <w:gridCol w:w="6726"/>
      </w:tblGrid>
      <w:tr w14:paraId="5B3898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3B20699C">
            <w:pPr>
              <w:pStyle w:val="9"/>
              <w:jc w:val="center"/>
              <w:rPr>
                <w:rFonts w:hint="eastAsia" w:ascii="仿宋" w:hAnsi="仿宋" w:eastAsia="仿宋" w:cs="仿宋"/>
                <w:sz w:val="20"/>
                <w:szCs w:val="20"/>
              </w:rPr>
            </w:pPr>
            <w:r>
              <w:rPr>
                <w:rFonts w:hint="eastAsia" w:ascii="仿宋" w:hAnsi="仿宋" w:eastAsia="仿宋" w:cs="仿宋"/>
                <w:sz w:val="20"/>
                <w:szCs w:val="20"/>
              </w:rPr>
              <w:t>序号</w:t>
            </w:r>
          </w:p>
        </w:tc>
        <w:tc>
          <w:tcPr>
            <w:tcW w:w="954" w:type="dxa"/>
            <w:vAlign w:val="center"/>
          </w:tcPr>
          <w:p w14:paraId="39B97230">
            <w:pPr>
              <w:pStyle w:val="9"/>
              <w:jc w:val="center"/>
              <w:rPr>
                <w:rFonts w:hint="eastAsia" w:ascii="仿宋" w:hAnsi="仿宋" w:eastAsia="仿宋" w:cs="仿宋"/>
                <w:sz w:val="20"/>
                <w:szCs w:val="20"/>
              </w:rPr>
            </w:pPr>
            <w:r>
              <w:rPr>
                <w:rFonts w:hint="eastAsia" w:ascii="仿宋" w:hAnsi="仿宋" w:eastAsia="仿宋" w:cs="仿宋"/>
                <w:sz w:val="20"/>
                <w:szCs w:val="20"/>
              </w:rPr>
              <w:t>参数</w:t>
            </w:r>
          </w:p>
          <w:p w14:paraId="2E3E0838">
            <w:pPr>
              <w:pStyle w:val="9"/>
              <w:jc w:val="center"/>
              <w:rPr>
                <w:rFonts w:hint="eastAsia" w:ascii="仿宋" w:hAnsi="仿宋" w:eastAsia="仿宋" w:cs="仿宋"/>
                <w:sz w:val="20"/>
                <w:szCs w:val="20"/>
              </w:rPr>
            </w:pPr>
            <w:r>
              <w:rPr>
                <w:rFonts w:hint="eastAsia" w:ascii="仿宋" w:hAnsi="仿宋" w:eastAsia="仿宋" w:cs="仿宋"/>
                <w:sz w:val="20"/>
                <w:szCs w:val="20"/>
              </w:rPr>
              <w:t>性质</w:t>
            </w:r>
          </w:p>
        </w:tc>
        <w:tc>
          <w:tcPr>
            <w:tcW w:w="6726" w:type="dxa"/>
            <w:vAlign w:val="center"/>
          </w:tcPr>
          <w:p w14:paraId="4CCB92B2">
            <w:pPr>
              <w:pStyle w:val="9"/>
              <w:jc w:val="center"/>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62154B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0A135CFC">
            <w:pPr>
              <w:pStyle w:val="9"/>
              <w:jc w:val="center"/>
              <w:rPr>
                <w:rFonts w:hint="eastAsia" w:ascii="仿宋" w:hAnsi="仿宋" w:eastAsia="仿宋" w:cs="仿宋"/>
                <w:sz w:val="20"/>
                <w:szCs w:val="20"/>
              </w:rPr>
            </w:pPr>
            <w:r>
              <w:rPr>
                <w:rFonts w:hint="eastAsia" w:ascii="仿宋" w:hAnsi="仿宋" w:eastAsia="仿宋" w:cs="仿宋"/>
                <w:sz w:val="20"/>
                <w:szCs w:val="20"/>
              </w:rPr>
              <w:t>1</w:t>
            </w:r>
          </w:p>
        </w:tc>
        <w:tc>
          <w:tcPr>
            <w:tcW w:w="954" w:type="dxa"/>
            <w:vAlign w:val="center"/>
          </w:tcPr>
          <w:p w14:paraId="1FF37CD1">
            <w:pPr>
              <w:jc w:val="center"/>
              <w:rPr>
                <w:rFonts w:hint="eastAsia" w:ascii="仿宋" w:hAnsi="仿宋" w:eastAsia="仿宋" w:cs="仿宋"/>
                <w:sz w:val="20"/>
                <w:szCs w:val="20"/>
              </w:rPr>
            </w:pPr>
          </w:p>
        </w:tc>
        <w:tc>
          <w:tcPr>
            <w:tcW w:w="6726" w:type="dxa"/>
            <w:vAlign w:val="center"/>
          </w:tcPr>
          <w:p w14:paraId="2B6A3240">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1"/>
              <w:rPr>
                <w:rFonts w:hint="eastAsia"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一、</w:t>
            </w:r>
            <w:r>
              <w:rPr>
                <w:rFonts w:hint="eastAsia" w:ascii="仿宋" w:hAnsi="仿宋" w:eastAsia="仿宋" w:cs="仿宋"/>
                <w:b/>
                <w:bCs/>
                <w:sz w:val="20"/>
                <w:szCs w:val="20"/>
              </w:rPr>
              <w:t>本包概况</w:t>
            </w:r>
          </w:p>
          <w:p w14:paraId="3F21F6E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完成秦岭生态环境保护信息化网格化监管平台及视频综合监管系统密评服务工作。</w:t>
            </w:r>
          </w:p>
          <w:p w14:paraId="14C9F2F0">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1"/>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二、服务内容及服务要求</w:t>
            </w:r>
          </w:p>
          <w:p w14:paraId="2BA867AF">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（一）服务内容</w:t>
            </w:r>
          </w:p>
          <w:p w14:paraId="64D601B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对秦岭生态环境保护信息化网格化监管平台及视频综合监管系统密码应用的合规性、正确性和有效性等进行评估，密评级别为三级，并出具符合主管部门要求的《商用密码应用安全性评估报告》。</w:t>
            </w:r>
          </w:p>
          <w:p w14:paraId="56D10A1B">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（二）服务要求</w:t>
            </w:r>
          </w:p>
          <w:p w14:paraId="1103B8F7">
            <w:pPr>
              <w:pStyle w:val="9"/>
              <w:keepNext w:val="0"/>
              <w:keepLines w:val="0"/>
              <w:pageBreakBefore w:val="0"/>
              <w:widowControl/>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sz w:val="20"/>
                <w:szCs w:val="20"/>
              </w:rPr>
            </w:pPr>
            <w:r>
              <w:rPr>
                <w:rFonts w:hint="eastAsia" w:ascii="仿宋" w:hAnsi="仿宋" w:eastAsia="仿宋" w:cs="仿宋"/>
                <w:b/>
                <w:color w:val="000000"/>
                <w:sz w:val="20"/>
                <w:szCs w:val="20"/>
                <w:lang w:val="en-US" w:eastAsia="zh-CN"/>
              </w:rPr>
              <w:t>1.</w:t>
            </w:r>
            <w:r>
              <w:rPr>
                <w:rFonts w:hint="eastAsia" w:ascii="仿宋" w:hAnsi="仿宋" w:eastAsia="仿宋" w:cs="仿宋"/>
                <w:b/>
                <w:color w:val="000000"/>
                <w:sz w:val="20"/>
                <w:szCs w:val="20"/>
              </w:rPr>
              <w:t>测评依据</w:t>
            </w:r>
          </w:p>
          <w:p w14:paraId="59AFBD3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《中华人民共和国网络安全法》</w:t>
            </w:r>
          </w:p>
          <w:p w14:paraId="2CADDFA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《中华人民共和国密码法》</w:t>
            </w:r>
          </w:p>
          <w:p w14:paraId="1A95B0B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《国家政务信息化项目建设管理办法》</w:t>
            </w:r>
          </w:p>
          <w:p w14:paraId="761AF8D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《商用密码管理条例》</w:t>
            </w:r>
          </w:p>
          <w:p w14:paraId="097640CB">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GB/T 39786-2021《信息安全技术 信息系统密码应用基本要求》</w:t>
            </w:r>
          </w:p>
          <w:p w14:paraId="42F1506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GB/T 43206-2023《信息安全技术 信息系统密码应用测评要求》</w:t>
            </w:r>
          </w:p>
          <w:p w14:paraId="54FAB23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GM/T 0116-2021《信息系统密码应用测评过程指南》</w:t>
            </w:r>
          </w:p>
          <w:p w14:paraId="502559C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《信息系统密码应用高风险判定指引》</w:t>
            </w:r>
          </w:p>
          <w:p w14:paraId="1874088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《商用密码应用安全性评估量化评估规则》</w:t>
            </w:r>
          </w:p>
          <w:p w14:paraId="3269205A">
            <w:pPr>
              <w:pStyle w:val="9"/>
              <w:keepNext w:val="0"/>
              <w:keepLines w:val="0"/>
              <w:pageBreakBefore w:val="0"/>
              <w:widowControl/>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color w:val="000000"/>
                <w:sz w:val="20"/>
                <w:szCs w:val="20"/>
                <w:lang w:val="en-US" w:eastAsia="zh-CN"/>
              </w:rPr>
            </w:pPr>
            <w:r>
              <w:rPr>
                <w:rFonts w:hint="eastAsia" w:ascii="仿宋" w:hAnsi="仿宋" w:eastAsia="仿宋" w:cs="仿宋"/>
                <w:b/>
                <w:color w:val="000000"/>
                <w:sz w:val="20"/>
                <w:szCs w:val="20"/>
                <w:lang w:val="en-US" w:eastAsia="zh-CN"/>
              </w:rPr>
              <w:t>2.测评要求</w:t>
            </w:r>
          </w:p>
          <w:p w14:paraId="31AAF885">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（1）通用测评</w:t>
            </w:r>
          </w:p>
          <w:p w14:paraId="137804AC">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①核查信息系统中使用的密码算法是否符合法律法规的规定和密码相关国家标准、行业标准的有关要求。</w:t>
            </w:r>
          </w:p>
          <w:p w14:paraId="1453BA5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②核查信息系统中使用的密码技术是否遵循密码相关国家标准和行业标准。</w:t>
            </w:r>
          </w:p>
          <w:p w14:paraId="196AA05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③核查信息系统中使用的密码产品、密码服务是否符合法律法规的相关要求。</w:t>
            </w:r>
          </w:p>
          <w:p w14:paraId="4808531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（2）密码应用技术测评</w:t>
            </w:r>
          </w:p>
          <w:p w14:paraId="774174A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包括物理和环境安全测评、网络和通信安全测评、设备和计算安全测评、应用和数据安全测评，验证不同安全等级信息系统的密码应用是否达到相应安全等级的安全保护能力、是否满足相应安全等级的保护要求。</w:t>
            </w:r>
          </w:p>
          <w:p w14:paraId="2E91D02B">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①物理和环境安全测评</w:t>
            </w:r>
          </w:p>
          <w:p w14:paraId="34F5DF8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针对“身份鉴别”、“电子门禁记录数据存储完整性”、“视频监控记录数据存储完整性”等物理和环境安全方面采取的密码保障措施进行各项测评，完成单项及单元测评结果判定。</w:t>
            </w:r>
          </w:p>
          <w:p w14:paraId="0961179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②网络和通信安全测评</w:t>
            </w:r>
          </w:p>
          <w:p w14:paraId="701ED52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针对“身份鉴别”、“通信数据完整性”、“通信过程中重要数据的机密性”、“网络边界访问控制信息的完整性”、“安全接入认证”等网络和通信安全方面采取的密码保障措施进行各项测评，完成单项及单元测评结果判定。</w:t>
            </w:r>
          </w:p>
          <w:p w14:paraId="09938BE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③设备和计算安全测评</w:t>
            </w:r>
          </w:p>
          <w:p w14:paraId="5EB07AF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针对“身份鉴别”、“远程管理通道安全”、“系统资源访问控制信息完整性”、“重要信息资源安全标记完整性”、“日志记录完整性”、“重要可执行程序完整性、重要可执行程序来源真实性”等设备和计算安全方面采取的密码保障措施进行各项测评，完成单项及单元测评结果判定。</w:t>
            </w:r>
          </w:p>
          <w:p w14:paraId="77B7D44D">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④应用和数据安全测评</w:t>
            </w:r>
          </w:p>
          <w:p w14:paraId="2BA33CCC">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针对“身份鉴别”、“访问控制信息完整性”、“重要信息资源安全标记完整性”、“重要数据传输机密性”、“重要数据存储机密性”、“重要数据传输完整性”、“重要数据存储完整性”、“不可否认性”等应用和数据安全方面采取的密码保障措施进行各项测评，完成单项及单元测评结果判定。</w:t>
            </w:r>
          </w:p>
          <w:p w14:paraId="689FD62B">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（3）密码应用管理测评</w:t>
            </w:r>
          </w:p>
          <w:p w14:paraId="7F67ABB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从管理制度、人员管理、建设运行和应急处置四个方面进行安全管理测评，验证信息系统安全管理机制是否完善，是否能够确保密码技术被合规、正确、有效地实施。</w:t>
            </w:r>
          </w:p>
          <w:p w14:paraId="65E7925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（4）整体测评</w:t>
            </w:r>
          </w:p>
          <w:p w14:paraId="282F3F6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对重要信息系统结构进行整体安全测评，并采用风险分析的方法分析密码应用安全问题可能对信息系统安全造成的影响，提交整体测评与风险评估结果。</w:t>
            </w:r>
          </w:p>
          <w:p w14:paraId="77E34B7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（5）报告编制</w:t>
            </w:r>
          </w:p>
          <w:p w14:paraId="790A1D6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根据评估结果，按照国家密码管理局要求，编制密码应用安全性评估报告。报告应对信息系统密码应用情况进行全面排查，梳理密码应用需求，查找风险漏洞，提出科学合规、具体实用、有针对性的密码应用安全整改方案，规范密码应用。</w:t>
            </w:r>
          </w:p>
          <w:p w14:paraId="72BF8C71">
            <w:pPr>
              <w:pStyle w:val="9"/>
              <w:keepNext w:val="0"/>
              <w:keepLines w:val="0"/>
              <w:pageBreakBefore w:val="0"/>
              <w:widowControl/>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color w:val="000000"/>
                <w:sz w:val="20"/>
                <w:szCs w:val="20"/>
                <w:lang w:val="en-US" w:eastAsia="zh-CN"/>
              </w:rPr>
            </w:pPr>
            <w:r>
              <w:rPr>
                <w:rFonts w:hint="eastAsia" w:ascii="仿宋" w:hAnsi="仿宋" w:eastAsia="仿宋" w:cs="仿宋"/>
                <w:b/>
                <w:color w:val="000000"/>
                <w:sz w:val="20"/>
                <w:szCs w:val="20"/>
                <w:lang w:val="en-US" w:eastAsia="zh-CN"/>
              </w:rPr>
              <w:t>3.成果要求</w:t>
            </w:r>
          </w:p>
          <w:p w14:paraId="290F8DA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sz w:val="20"/>
                <w:szCs w:val="20"/>
              </w:rPr>
            </w:pPr>
            <w:r>
              <w:rPr>
                <w:rFonts w:hint="eastAsia" w:ascii="仿宋" w:hAnsi="仿宋" w:eastAsia="仿宋" w:cs="仿宋"/>
                <w:kern w:val="2"/>
                <w:sz w:val="20"/>
                <w:szCs w:val="20"/>
                <w:lang w:val="en-US" w:eastAsia="zh-CN" w:bidi="ar-SA"/>
              </w:rPr>
              <w:t>投标人根据采购人服务工作要求，在采购人要求时限内出具</w:t>
            </w:r>
            <w:r>
              <w:rPr>
                <w:rFonts w:hint="eastAsia" w:ascii="仿宋" w:hAnsi="仿宋" w:eastAsia="仿宋" w:cs="仿宋"/>
                <w:sz w:val="20"/>
                <w:szCs w:val="20"/>
              </w:rPr>
              <w:t>秦岭生态环境保护信息化网格化监管平台及视频综合监管系统</w:t>
            </w:r>
            <w:r>
              <w:rPr>
                <w:rFonts w:hint="eastAsia" w:ascii="仿宋" w:hAnsi="仿宋" w:eastAsia="仿宋" w:cs="仿宋"/>
                <w:kern w:val="2"/>
                <w:sz w:val="20"/>
                <w:szCs w:val="20"/>
                <w:lang w:val="en-US" w:eastAsia="zh-CN" w:bidi="ar-SA"/>
              </w:rPr>
              <w:t>《商用密码应用安全性评估报告》。</w:t>
            </w:r>
          </w:p>
        </w:tc>
      </w:tr>
    </w:tbl>
    <w:p w14:paraId="6DEA01E0">
      <w:pPr>
        <w:pStyle w:val="9"/>
        <w:outlineLvl w:val="3"/>
        <w:rPr>
          <w:rFonts w:hint="eastAsia" w:ascii="仿宋" w:hAnsi="仿宋" w:eastAsia="仿宋" w:cs="仿宋"/>
        </w:rPr>
      </w:pPr>
      <w:r>
        <w:rPr>
          <w:rFonts w:hint="eastAsia" w:ascii="仿宋" w:hAnsi="仿宋" w:eastAsia="仿宋" w:cs="仿宋"/>
        </w:rPr>
        <w:t>采购包</w:t>
      </w:r>
      <w:r>
        <w:rPr>
          <w:rFonts w:hint="eastAsia" w:ascii="仿宋" w:hAnsi="仿宋" w:eastAsia="仿宋" w:cs="仿宋"/>
          <w:lang w:val="en-US" w:eastAsia="zh-CN"/>
        </w:rPr>
        <w:t>6</w:t>
      </w:r>
      <w:r>
        <w:rPr>
          <w:rFonts w:hint="eastAsia" w:ascii="仿宋" w:hAnsi="仿宋" w:eastAsia="仿宋" w:cs="仿宋"/>
        </w:rPr>
        <w:t>：</w:t>
      </w:r>
    </w:p>
    <w:p w14:paraId="7EA0EE55">
      <w:pPr>
        <w:pStyle w:val="9"/>
        <w:rPr>
          <w:rFonts w:hint="eastAsia" w:ascii="仿宋" w:hAnsi="仿宋" w:eastAsia="仿宋" w:cs="仿宋"/>
          <w:lang w:eastAsia="zh-CN"/>
        </w:rPr>
      </w:pPr>
      <w:r>
        <w:rPr>
          <w:rFonts w:hint="eastAsia" w:ascii="仿宋" w:hAnsi="仿宋" w:eastAsia="仿宋" w:cs="仿宋"/>
        </w:rPr>
        <w:t>标的名称：</w:t>
      </w:r>
      <w:r>
        <w:rPr>
          <w:rFonts w:hint="eastAsia" w:ascii="仿宋" w:hAnsi="仿宋" w:eastAsia="仿宋" w:cs="仿宋"/>
          <w:sz w:val="21"/>
          <w:szCs w:val="21"/>
          <w:vertAlign w:val="baseline"/>
          <w:lang w:val="en-US" w:eastAsia="zh-CN"/>
        </w:rPr>
        <w:t>秦岭视频监控配套资源保障</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
        <w:gridCol w:w="954"/>
        <w:gridCol w:w="6726"/>
      </w:tblGrid>
      <w:tr w14:paraId="1A3F8A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2624E7D2">
            <w:pPr>
              <w:pStyle w:val="9"/>
              <w:jc w:val="center"/>
              <w:rPr>
                <w:rFonts w:hint="eastAsia" w:ascii="仿宋" w:hAnsi="仿宋" w:eastAsia="仿宋" w:cs="仿宋"/>
                <w:sz w:val="20"/>
                <w:szCs w:val="20"/>
              </w:rPr>
            </w:pPr>
            <w:r>
              <w:rPr>
                <w:rFonts w:hint="eastAsia" w:ascii="仿宋" w:hAnsi="仿宋" w:eastAsia="仿宋" w:cs="仿宋"/>
                <w:sz w:val="20"/>
                <w:szCs w:val="20"/>
              </w:rPr>
              <w:t>序号</w:t>
            </w:r>
          </w:p>
        </w:tc>
        <w:tc>
          <w:tcPr>
            <w:tcW w:w="954" w:type="dxa"/>
            <w:vAlign w:val="center"/>
          </w:tcPr>
          <w:p w14:paraId="6985FB81">
            <w:pPr>
              <w:pStyle w:val="9"/>
              <w:jc w:val="center"/>
              <w:rPr>
                <w:rFonts w:hint="eastAsia" w:ascii="仿宋" w:hAnsi="仿宋" w:eastAsia="仿宋" w:cs="仿宋"/>
                <w:sz w:val="20"/>
                <w:szCs w:val="20"/>
              </w:rPr>
            </w:pPr>
            <w:r>
              <w:rPr>
                <w:rFonts w:hint="eastAsia" w:ascii="仿宋" w:hAnsi="仿宋" w:eastAsia="仿宋" w:cs="仿宋"/>
                <w:sz w:val="20"/>
                <w:szCs w:val="20"/>
              </w:rPr>
              <w:t>参数</w:t>
            </w:r>
          </w:p>
          <w:p w14:paraId="405D1695">
            <w:pPr>
              <w:pStyle w:val="9"/>
              <w:jc w:val="center"/>
              <w:rPr>
                <w:rFonts w:hint="eastAsia" w:ascii="仿宋" w:hAnsi="仿宋" w:eastAsia="仿宋" w:cs="仿宋"/>
                <w:sz w:val="20"/>
                <w:szCs w:val="20"/>
              </w:rPr>
            </w:pPr>
            <w:r>
              <w:rPr>
                <w:rFonts w:hint="eastAsia" w:ascii="仿宋" w:hAnsi="仿宋" w:eastAsia="仿宋" w:cs="仿宋"/>
                <w:sz w:val="20"/>
                <w:szCs w:val="20"/>
              </w:rPr>
              <w:t>性质</w:t>
            </w:r>
          </w:p>
        </w:tc>
        <w:tc>
          <w:tcPr>
            <w:tcW w:w="6726" w:type="dxa"/>
            <w:vAlign w:val="center"/>
          </w:tcPr>
          <w:p w14:paraId="393E5752">
            <w:pPr>
              <w:pStyle w:val="9"/>
              <w:jc w:val="center"/>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6A9AFA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045F3080">
            <w:pPr>
              <w:pStyle w:val="9"/>
              <w:jc w:val="center"/>
              <w:rPr>
                <w:rFonts w:hint="eastAsia" w:ascii="仿宋" w:hAnsi="仿宋" w:eastAsia="仿宋" w:cs="仿宋"/>
                <w:sz w:val="20"/>
                <w:szCs w:val="20"/>
              </w:rPr>
            </w:pPr>
            <w:r>
              <w:rPr>
                <w:rFonts w:hint="eastAsia" w:ascii="仿宋" w:hAnsi="仿宋" w:eastAsia="仿宋" w:cs="仿宋"/>
                <w:sz w:val="20"/>
                <w:szCs w:val="20"/>
              </w:rPr>
              <w:t>1</w:t>
            </w:r>
          </w:p>
        </w:tc>
        <w:tc>
          <w:tcPr>
            <w:tcW w:w="954" w:type="dxa"/>
            <w:vAlign w:val="center"/>
          </w:tcPr>
          <w:p w14:paraId="60B0F931">
            <w:pPr>
              <w:jc w:val="center"/>
              <w:rPr>
                <w:rFonts w:hint="eastAsia" w:ascii="仿宋" w:hAnsi="仿宋" w:eastAsia="仿宋" w:cs="仿宋"/>
                <w:sz w:val="20"/>
                <w:szCs w:val="20"/>
              </w:rPr>
            </w:pPr>
          </w:p>
        </w:tc>
        <w:tc>
          <w:tcPr>
            <w:tcW w:w="6726" w:type="dxa"/>
            <w:vAlign w:val="center"/>
          </w:tcPr>
          <w:p w14:paraId="75AC4429">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1"/>
              <w:rPr>
                <w:rFonts w:hint="eastAsia" w:ascii="仿宋" w:hAnsi="仿宋" w:eastAsia="仿宋" w:cs="仿宋"/>
                <w:b/>
                <w:bCs/>
                <w:sz w:val="20"/>
                <w:szCs w:val="20"/>
                <w:lang w:val="en-US" w:eastAsia="zh-CN"/>
              </w:rPr>
            </w:pPr>
            <w:r>
              <w:rPr>
                <w:rFonts w:hint="eastAsia" w:ascii="仿宋" w:hAnsi="仿宋" w:eastAsia="仿宋" w:cs="仿宋"/>
                <w:b/>
                <w:bCs/>
                <w:kern w:val="2"/>
                <w:sz w:val="20"/>
                <w:szCs w:val="20"/>
                <w:lang w:val="en-US" w:eastAsia="zh-CN" w:bidi="ar-SA"/>
              </w:rPr>
              <w:t>一、</w:t>
            </w:r>
            <w:r>
              <w:rPr>
                <w:rFonts w:hint="eastAsia" w:ascii="仿宋" w:hAnsi="仿宋" w:eastAsia="仿宋" w:cs="仿宋"/>
                <w:b/>
                <w:bCs/>
                <w:sz w:val="20"/>
                <w:szCs w:val="20"/>
              </w:rPr>
              <w:t>本包概况</w:t>
            </w:r>
          </w:p>
          <w:p w14:paraId="49AF79D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为保障秦岭生态保护信息化传输体系稳定运行与高效维护，确保各地市视频资源可持续性监管，计划采购秦岭视频监控配套资源保障服务。</w:t>
            </w:r>
          </w:p>
          <w:tbl>
            <w:tblPr>
              <w:tblStyle w:val="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83"/>
              <w:gridCol w:w="1397"/>
              <w:gridCol w:w="1319"/>
            </w:tblGrid>
            <w:tr w14:paraId="492B5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10" w:type="pct"/>
                  <w:vAlign w:val="center"/>
                </w:tcPr>
                <w:p w14:paraId="7C23899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sz w:val="20"/>
                      <w:szCs w:val="20"/>
                      <w:lang w:val="en-US" w:eastAsia="zh-CN"/>
                    </w:rPr>
                  </w:pPr>
                  <w:r>
                    <w:rPr>
                      <w:rFonts w:hint="eastAsia" w:ascii="仿宋" w:hAnsi="仿宋" w:eastAsia="仿宋" w:cs="仿宋"/>
                      <w:bCs/>
                      <w:sz w:val="20"/>
                      <w:szCs w:val="20"/>
                    </w:rPr>
                    <w:t>服务项</w:t>
                  </w:r>
                </w:p>
              </w:tc>
              <w:tc>
                <w:tcPr>
                  <w:tcW w:w="1074" w:type="pct"/>
                  <w:vAlign w:val="center"/>
                </w:tcPr>
                <w:p w14:paraId="715F3F8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sz w:val="20"/>
                      <w:szCs w:val="20"/>
                    </w:rPr>
                  </w:pPr>
                  <w:r>
                    <w:rPr>
                      <w:rFonts w:hint="eastAsia" w:ascii="仿宋" w:hAnsi="仿宋" w:eastAsia="仿宋" w:cs="仿宋"/>
                      <w:bCs/>
                      <w:sz w:val="20"/>
                      <w:szCs w:val="20"/>
                    </w:rPr>
                    <w:t>数量</w:t>
                  </w:r>
                </w:p>
              </w:tc>
              <w:tc>
                <w:tcPr>
                  <w:tcW w:w="1014" w:type="pct"/>
                  <w:vAlign w:val="center"/>
                </w:tcPr>
                <w:p w14:paraId="3EDF704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sz w:val="20"/>
                      <w:szCs w:val="20"/>
                    </w:rPr>
                  </w:pPr>
                  <w:r>
                    <w:rPr>
                      <w:rFonts w:hint="eastAsia" w:ascii="仿宋" w:hAnsi="仿宋" w:eastAsia="仿宋" w:cs="仿宋"/>
                      <w:bCs/>
                      <w:sz w:val="20"/>
                      <w:szCs w:val="20"/>
                    </w:rPr>
                    <w:t>单位</w:t>
                  </w:r>
                </w:p>
              </w:tc>
            </w:tr>
            <w:tr w14:paraId="1D119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10" w:type="pct"/>
                  <w:shd w:val="clear" w:color="auto" w:fill="auto"/>
                  <w:vAlign w:val="center"/>
                </w:tcPr>
                <w:p w14:paraId="7307308E">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kern w:val="2"/>
                      <w:sz w:val="20"/>
                      <w:szCs w:val="20"/>
                      <w:lang w:val="en-US" w:eastAsia="zh-CN" w:bidi="ar-SA"/>
                    </w:rPr>
                  </w:pPr>
                  <w:r>
                    <w:rPr>
                      <w:rFonts w:hint="eastAsia" w:ascii="仿宋" w:hAnsi="仿宋" w:eastAsia="仿宋" w:cs="仿宋"/>
                      <w:bCs/>
                      <w:sz w:val="20"/>
                      <w:szCs w:val="20"/>
                    </w:rPr>
                    <w:t>系统前端设备维护运维</w:t>
                  </w:r>
                </w:p>
              </w:tc>
              <w:tc>
                <w:tcPr>
                  <w:tcW w:w="1074" w:type="pct"/>
                  <w:shd w:val="clear" w:color="auto" w:fill="auto"/>
                  <w:vAlign w:val="center"/>
                </w:tcPr>
                <w:p w14:paraId="79F910C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kern w:val="2"/>
                      <w:sz w:val="20"/>
                      <w:szCs w:val="20"/>
                      <w:lang w:val="en-US" w:eastAsia="zh-CN" w:bidi="ar-SA"/>
                    </w:rPr>
                  </w:pPr>
                  <w:r>
                    <w:rPr>
                      <w:rFonts w:hint="eastAsia" w:ascii="仿宋" w:hAnsi="仿宋" w:eastAsia="仿宋" w:cs="仿宋"/>
                      <w:bCs/>
                      <w:sz w:val="20"/>
                      <w:szCs w:val="20"/>
                      <w:lang w:val="en-US" w:eastAsia="zh-CN"/>
                    </w:rPr>
                    <w:t>1</w:t>
                  </w:r>
                </w:p>
              </w:tc>
              <w:tc>
                <w:tcPr>
                  <w:tcW w:w="1014" w:type="pct"/>
                  <w:shd w:val="clear" w:color="auto" w:fill="auto"/>
                  <w:vAlign w:val="center"/>
                </w:tcPr>
                <w:p w14:paraId="464A4AAC">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kern w:val="2"/>
                      <w:sz w:val="20"/>
                      <w:szCs w:val="20"/>
                      <w:lang w:val="en-US" w:eastAsia="zh-CN" w:bidi="ar-SA"/>
                    </w:rPr>
                  </w:pPr>
                  <w:r>
                    <w:rPr>
                      <w:rFonts w:hint="eastAsia" w:ascii="仿宋" w:hAnsi="仿宋" w:eastAsia="仿宋" w:cs="仿宋"/>
                      <w:bCs/>
                      <w:sz w:val="20"/>
                      <w:szCs w:val="20"/>
                    </w:rPr>
                    <w:t>项</w:t>
                  </w:r>
                </w:p>
              </w:tc>
            </w:tr>
            <w:tr w14:paraId="5EBE7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10" w:type="pct"/>
                  <w:shd w:val="clear" w:color="auto" w:fill="auto"/>
                  <w:vAlign w:val="center"/>
                </w:tcPr>
                <w:p w14:paraId="7F6C25A8">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sz w:val="20"/>
                      <w:szCs w:val="20"/>
                      <w:lang w:val="en-US" w:eastAsia="zh-CN"/>
                    </w:rPr>
                  </w:pPr>
                  <w:r>
                    <w:rPr>
                      <w:rFonts w:hint="eastAsia" w:ascii="仿宋" w:hAnsi="仿宋" w:eastAsia="仿宋" w:cs="仿宋"/>
                      <w:bCs/>
                      <w:sz w:val="20"/>
                      <w:szCs w:val="20"/>
                      <w:lang w:val="en-US" w:eastAsia="zh-CN"/>
                    </w:rPr>
                    <w:t>秦岭视频监管系统算法</w:t>
                  </w:r>
                </w:p>
                <w:p w14:paraId="589E056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kern w:val="2"/>
                      <w:sz w:val="20"/>
                      <w:szCs w:val="20"/>
                      <w:lang w:val="en-US" w:eastAsia="zh-CN" w:bidi="ar-SA"/>
                    </w:rPr>
                  </w:pPr>
                  <w:r>
                    <w:rPr>
                      <w:rFonts w:hint="eastAsia" w:ascii="仿宋" w:hAnsi="仿宋" w:eastAsia="仿宋" w:cs="仿宋"/>
                      <w:bCs/>
                      <w:sz w:val="20"/>
                      <w:szCs w:val="20"/>
                      <w:lang w:val="en-US" w:eastAsia="zh-CN"/>
                    </w:rPr>
                    <w:t>配置与保障</w:t>
                  </w:r>
                </w:p>
              </w:tc>
              <w:tc>
                <w:tcPr>
                  <w:tcW w:w="1074" w:type="pct"/>
                  <w:shd w:val="clear" w:color="auto" w:fill="auto"/>
                  <w:vAlign w:val="center"/>
                </w:tcPr>
                <w:p w14:paraId="2F8625A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kern w:val="2"/>
                      <w:sz w:val="20"/>
                      <w:szCs w:val="20"/>
                      <w:lang w:val="en-US" w:eastAsia="zh-CN" w:bidi="ar-SA"/>
                    </w:rPr>
                  </w:pPr>
                  <w:r>
                    <w:rPr>
                      <w:rFonts w:hint="eastAsia" w:ascii="仿宋" w:hAnsi="仿宋" w:eastAsia="仿宋" w:cs="仿宋"/>
                      <w:bCs/>
                      <w:sz w:val="20"/>
                      <w:szCs w:val="20"/>
                      <w:lang w:val="en-US" w:eastAsia="zh-CN"/>
                    </w:rPr>
                    <w:t>1</w:t>
                  </w:r>
                </w:p>
              </w:tc>
              <w:tc>
                <w:tcPr>
                  <w:tcW w:w="1014" w:type="pct"/>
                  <w:shd w:val="clear" w:color="auto" w:fill="auto"/>
                  <w:vAlign w:val="center"/>
                </w:tcPr>
                <w:p w14:paraId="462D00E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kern w:val="2"/>
                      <w:sz w:val="20"/>
                      <w:szCs w:val="20"/>
                      <w:lang w:val="en-US" w:eastAsia="zh-CN" w:bidi="ar-SA"/>
                    </w:rPr>
                  </w:pPr>
                  <w:r>
                    <w:rPr>
                      <w:rFonts w:hint="eastAsia" w:ascii="仿宋" w:hAnsi="仿宋" w:eastAsia="仿宋" w:cs="仿宋"/>
                      <w:bCs/>
                      <w:sz w:val="20"/>
                      <w:szCs w:val="20"/>
                    </w:rPr>
                    <w:t>项</w:t>
                  </w:r>
                </w:p>
              </w:tc>
            </w:tr>
            <w:tr w14:paraId="3B6B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10" w:type="pct"/>
                  <w:vAlign w:val="center"/>
                </w:tcPr>
                <w:p w14:paraId="010DF229">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sz w:val="20"/>
                      <w:szCs w:val="20"/>
                      <w:lang w:val="en-US" w:eastAsia="zh-CN"/>
                    </w:rPr>
                  </w:pPr>
                  <w:r>
                    <w:rPr>
                      <w:rFonts w:hint="eastAsia" w:ascii="仿宋" w:hAnsi="仿宋" w:eastAsia="仿宋" w:cs="仿宋"/>
                      <w:bCs/>
                      <w:sz w:val="20"/>
                      <w:szCs w:val="20"/>
                      <w:lang w:val="en-US" w:eastAsia="zh-CN"/>
                    </w:rPr>
                    <w:t>配套租赁服务</w:t>
                  </w:r>
                </w:p>
              </w:tc>
              <w:tc>
                <w:tcPr>
                  <w:tcW w:w="1074" w:type="pct"/>
                  <w:vAlign w:val="center"/>
                </w:tcPr>
                <w:p w14:paraId="38F220B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sz w:val="20"/>
                      <w:szCs w:val="20"/>
                    </w:rPr>
                  </w:pPr>
                  <w:r>
                    <w:rPr>
                      <w:rFonts w:hint="eastAsia" w:ascii="仿宋" w:hAnsi="仿宋" w:eastAsia="仿宋" w:cs="仿宋"/>
                      <w:bCs/>
                      <w:sz w:val="20"/>
                      <w:szCs w:val="20"/>
                      <w:lang w:val="en-US" w:eastAsia="zh-CN"/>
                    </w:rPr>
                    <w:t>1</w:t>
                  </w:r>
                </w:p>
              </w:tc>
              <w:tc>
                <w:tcPr>
                  <w:tcW w:w="1014" w:type="pct"/>
                  <w:vAlign w:val="center"/>
                </w:tcPr>
                <w:p w14:paraId="759055A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bCs/>
                      <w:sz w:val="20"/>
                      <w:szCs w:val="20"/>
                    </w:rPr>
                  </w:pPr>
                  <w:r>
                    <w:rPr>
                      <w:rFonts w:hint="eastAsia" w:ascii="仿宋" w:hAnsi="仿宋" w:eastAsia="仿宋" w:cs="仿宋"/>
                      <w:bCs/>
                      <w:sz w:val="20"/>
                      <w:szCs w:val="20"/>
                    </w:rPr>
                    <w:t>项</w:t>
                  </w:r>
                </w:p>
              </w:tc>
            </w:tr>
          </w:tbl>
          <w:p w14:paraId="5F34AAFB">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1"/>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二、服务内容及服务要求</w:t>
            </w:r>
          </w:p>
          <w:p w14:paraId="35E35F61">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（一）服务内容</w:t>
            </w:r>
          </w:p>
          <w:p w14:paraId="2BA7F03C">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秦岭视频监控配套资源保障服务内容包括系统前端设备维护运维、秦岭视频监管系统算法配置与保障以及配套租赁服务。</w:t>
            </w:r>
          </w:p>
          <w:p w14:paraId="31DB1FB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1.系统前端设备维护运维：包括前端410个（110个高点、300个低点位）监控设备的现场巡检、设备巡检、故障处理等服务；</w:t>
            </w:r>
          </w:p>
          <w:p w14:paraId="1502B2E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2.秦岭视频监管系统算法配置与保障：包括系统运行所需的视频资源接入与共享服务、视频资源管理服务、视频监管服务、系统数据汇总分析服务；</w:t>
            </w:r>
          </w:p>
          <w:p w14:paraId="4F0E2881">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3.配套租赁服务：包括所有点位所需的宽带互联网传输链路、电费以及110处高点位塔桅资源租赁服务。</w:t>
            </w:r>
          </w:p>
          <w:p w14:paraId="137221AF">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2"/>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（二）服务要求</w:t>
            </w:r>
          </w:p>
          <w:p w14:paraId="14A4B21C">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1.系统前端设备维护运维</w:t>
            </w:r>
          </w:p>
          <w:p w14:paraId="65BE307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（1）设备现场巡检：定期对410个点位前端摄像机、供电插座等设备进行现场巡检。</w:t>
            </w:r>
          </w:p>
          <w:p w14:paraId="41BDE0D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①对安装支架、摄像机电源、立杆以及监控箱、环境等进行全面检查，发现问题及时处理。</w:t>
            </w:r>
          </w:p>
          <w:p w14:paraId="39D855C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②根据监控系统各部分设备的使用说明，检测其各项技术参数及监控系统线路质量，处理故障隐患，协助监控主管设定使用级别等各种数据，确保各部分设备各项功能良好，能够正常运行。</w:t>
            </w:r>
          </w:p>
          <w:p w14:paraId="798CBC6B">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低点位异常情况复检：为保障系统的稳定可靠运行，对接入的视频资源进行定时全量巡检。结合已接入的视频资源数量、巡检时长、用户使用周期等因素，配置每日早晚各1次系统自动巡检，为保证巡检结果的准确性，根据自动巡检结果每天至少进行一次人工复检，主要巡检内容如下：网络连接检查、网络带宽检查、远程访问功能检查、智能解析功能检查、图像清晰度检查、色彩准确性检查、视频稳定性检查等。</w:t>
            </w:r>
          </w:p>
          <w:p w14:paraId="6A633A3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（3）设备故障处理：对110个高点位摄像机配套维护，出现故障应及时维修。</w:t>
            </w:r>
          </w:p>
          <w:p w14:paraId="59B61266">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①系统或设备发生故障，调查故障原因并修复直至满足最终验收指标和性能的要求。</w:t>
            </w:r>
          </w:p>
          <w:p w14:paraId="6A75508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②对110个高点位摄像机，维护人员对硬件、设备箱、电源、传输链路等进行维护、故障处理，保障系统正常运行，每月故障率不超过20%。</w:t>
            </w:r>
          </w:p>
          <w:p w14:paraId="17A7108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（4）配置优化升级：根据用户的监控系统经常出现的情况或者有可能出现的地方及时提出优化方案和建议。对存储容量、网络带宽进行调优。</w:t>
            </w:r>
          </w:p>
          <w:p w14:paraId="15009C0A">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（5）设备更换</w:t>
            </w:r>
          </w:p>
          <w:p w14:paraId="0E539EAA">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因自然灾害造成前端设备及配套设施损毁时，对设备进行维修更换。</w:t>
            </w:r>
          </w:p>
          <w:p w14:paraId="017C28E5">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2.秦岭视频监管系统算法配置与保障</w:t>
            </w:r>
          </w:p>
          <w:p w14:paraId="5A83613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（1）视频资源接入与共享服务：</w:t>
            </w:r>
          </w:p>
          <w:p w14:paraId="3084A0B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①视频点位接入</w:t>
            </w:r>
          </w:p>
          <w:p w14:paraId="2D1D281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前期对接工作：对接视频接入单位，获取设备的IP地址、端口号、设备ID、数据交互清单等。</w:t>
            </w:r>
          </w:p>
          <w:p w14:paraId="3CF61B0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建立连接：通过向视频图像共享交换平台输入设备的接入信息，配置相关参数，向互联网或政务网共享后，依据国标目录完成接入。</w:t>
            </w:r>
          </w:p>
          <w:p w14:paraId="7B30CF0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后期性能优化工作：对接入的视频预览，查看是否符合监控场景要求，并按照建设规范对视频资源进行命名。</w:t>
            </w:r>
          </w:p>
          <w:p w14:paraId="4C4B354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平均每月接入2次，每次约100路，包含每次接入前期对接工作和后期性能优化工作。</w:t>
            </w:r>
          </w:p>
          <w:p w14:paraId="047F554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②视频共享服务</w:t>
            </w:r>
          </w:p>
          <w:p w14:paraId="17D8733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前期对接工作：对接视频共享单位，进行网络环境测试，明确需求，确认共享数据清单。获取设备的IP地址、端口号、设备ID、数据交互清单等。</w:t>
            </w:r>
          </w:p>
          <w:p w14:paraId="18013A91">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建立连接：通过账号密码或平台级联的方式向采购人及共享对象提供视频清单。</w:t>
            </w:r>
          </w:p>
          <w:p w14:paraId="221025CA">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后期性能优化工作：对视频资源进行预览授权，测试共享视频质量。</w:t>
            </w:r>
          </w:p>
          <w:p w14:paraId="26D4A8E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（2）视频资源管理服务：</w:t>
            </w:r>
          </w:p>
          <w:p w14:paraId="5D71D2DC">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①接入视频信息校验</w:t>
            </w:r>
          </w:p>
          <w:p w14:paraId="4273BFE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接收到新接入数据后，对照数据库必填元素（包括监控设备编码、点位名称、地理坐标、行政区划、建设单位名称、安装地点、监管主题、监管对象等）逐项核对。</w:t>
            </w:r>
          </w:p>
          <w:p w14:paraId="240BBC7D">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通过拾取坐标系统人工核准，核准后将数据推送至系统。</w:t>
            </w:r>
          </w:p>
          <w:p w14:paraId="5F749AF6">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平均每月治理1次，每次约200路。</w:t>
            </w:r>
          </w:p>
          <w:p w14:paraId="2DAE63B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②存量视频核查</w:t>
            </w:r>
          </w:p>
          <w:p w14:paraId="5D190FC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对平台所有视频资源进行筛查，核实无法保障预览的视频，删除从不同单位接入的相同视频，更换掉线后又重新接入视频的相关信息。</w:t>
            </w:r>
          </w:p>
          <w:p w14:paraId="6430EE9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平均每月修正1次，每次约100路。</w:t>
            </w:r>
          </w:p>
          <w:p w14:paraId="12B51DB3">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（3）视频监管服务</w:t>
            </w:r>
          </w:p>
          <w:p w14:paraId="2522BB0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①智能解析算法配置</w:t>
            </w:r>
          </w:p>
          <w:p w14:paraId="6873F9B6">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根据秦岭视频综合监管系统项目的要求，视频图像共享交换平台主要负责围绕秦岭资源添加不同场景进行解析配置，主要包括场景智能分析配置、场景智能分析编排、场景智能解析等针对场景算法（违建检测、垃圾堆检测、乱堆物料堆检测、洗衣检测、钓鱼检测、游泳检测、漂浮物检测、工程车检测、可见光船只检测、化学品车辆检测）的配置。</w:t>
            </w:r>
          </w:p>
          <w:p w14:paraId="209DDA5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对于自建点位，视频与级联点位视频进行配置解析任务符合以下要求：一是点位在秦岭范围内；二是点位视频稳定、网络通畅、预览正常；三是经治理后有明确的监管主题与监管对象。</w:t>
            </w:r>
          </w:p>
          <w:p w14:paraId="3381529C">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对于汇聚到系统的点位，在视频接入与数据治理后，将符合条件的点位进行筛选，根据监管主题进行算法匹配。在实际配置任务过程中，还需结合视频实际画面，观察其画面是否清晰、无遮挡，监管对象是否明确等因素，最终确定点位使用算法类型。</w:t>
            </w:r>
          </w:p>
          <w:p w14:paraId="44B7452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平均每月配置4次，每次约40路。</w:t>
            </w:r>
          </w:p>
          <w:p w14:paraId="7195A18D">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②疑似问题线索初筛</w:t>
            </w:r>
          </w:p>
          <w:p w14:paraId="0D7B7C4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针对系统预警的问题线索场景，进行初步筛选：</w:t>
            </w:r>
          </w:p>
          <w:p w14:paraId="53DF8466">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人工初步筛选：依据系统预警对问题线索场景进行人工初步筛选，分为初步判定、误判上报、无需处理三类。在初步判定环节，严格按照采购人要求反馈初步筛查处理意见，确认疑似问题线索。</w:t>
            </w:r>
          </w:p>
          <w:p w14:paraId="2562F30D">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确定判定等级：根据疑似线索的危害程度、紧急程度和发展态势确定判定等级，并反馈判定意见。</w:t>
            </w:r>
          </w:p>
          <w:p w14:paraId="2B6100F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确定任务级别：对筛选后的线索依据危害程度、紧急程度和发展态势确定任务级别，分为 Ⅲ 级（较重，以黄色表示）、Ⅱ 级（严重，以橙色表示）、Ⅰ 级（特别严重，以红色表示）。</w:t>
            </w:r>
          </w:p>
          <w:p w14:paraId="7D6BC85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及时甄别疑似问题线索并上报，平均每天4次。</w:t>
            </w:r>
          </w:p>
          <w:p w14:paraId="14D0F7B5">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③特殊场景线索研判分析</w:t>
            </w:r>
          </w:p>
          <w:p w14:paraId="28BFBDC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针对系统无法识别出的疑似问题线索，如砍伐树木、破坏草地或植被；草地、林地、湿地,近期裸露；运输木材、树木的可疑车辆；封山育林、禁牧区域内有放牧、毁林的行为；河流湖泊水量发生大的变化；地质灾害隐患点有泥石流、滑坡迹象等进行筛选。通过监控画面分析技术，对重点监管对象进行细致的监控和分析。每天巡查视频，以弥补智能算法的局限性。</w:t>
            </w:r>
          </w:p>
          <w:p w14:paraId="301CFC2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每天核查不同监控视频。</w:t>
            </w:r>
          </w:p>
          <w:p w14:paraId="6649096D">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（4）系统数据汇总分析</w:t>
            </w:r>
          </w:p>
          <w:p w14:paraId="35477CC3">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①日报表</w:t>
            </w:r>
          </w:p>
          <w:p w14:paraId="6252592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依据每日两次系统自动巡检结果和一次人工复检结果，统计数据，编写资源点位稳定性情况统计表、不在线点位信息表，形成日报。</w:t>
            </w:r>
          </w:p>
          <w:p w14:paraId="60332B53">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②周报表</w:t>
            </w:r>
          </w:p>
          <w:p w14:paraId="7481634D">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依据一周所有日报情况，统计数据，编写监控视频接入表、可视率表，形成周报；</w:t>
            </w:r>
          </w:p>
          <w:p w14:paraId="4B825AC2">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统计一周重点监控对象（包括保留小水电站、坝体、生产矿山）情况，统计数据，编写重点点位周报；</w:t>
            </w:r>
          </w:p>
          <w:p w14:paraId="31C061FB">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统计一周系统新增、删除及调整监控视频情况，统计数据，编写视频资源周报。</w:t>
            </w:r>
          </w:p>
          <w:p w14:paraId="55389679">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③月（年）报表</w:t>
            </w:r>
          </w:p>
          <w:p w14:paraId="4F7B8C0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依据每月的视频接入情况、视频共享情况、重点监管对象情况、解析算法配置情况、疑似问题线索发现情况、存在问题以及下一步工作等，统计数据，编写月报；</w:t>
            </w:r>
          </w:p>
          <w:p w14:paraId="1E1ED5C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依据每月所有重点点位周报情况，编写重点点位月报；</w:t>
            </w:r>
          </w:p>
          <w:p w14:paraId="0B76DC4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对全年任务完成总体情况进行统计，编写全年系统运行情况报告。</w:t>
            </w:r>
          </w:p>
          <w:p w14:paraId="072FC61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④视频资产统计汇总</w:t>
            </w:r>
          </w:p>
          <w:p w14:paraId="787E641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视频资源资产台账包括视频点位信息汇总表、视频资源明细表、解析算法配置表、疑似问题线索表。</w:t>
            </w:r>
          </w:p>
          <w:p w14:paraId="1ACA9BAE">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汇总表从三个维度进行统计，分别是按行政区域划分、按监管主题划分、按视频来源划分，平均每月各更新1次，共3份；</w:t>
            </w:r>
          </w:p>
          <w:p w14:paraId="780FB280">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视频资源明细表包含视频资源详细信息记录，平均每月更新1次；</w:t>
            </w:r>
          </w:p>
          <w:p w14:paraId="4CEC716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解析算法配置表是用于记录和管理秦岭视频综合监管系统中所使用的各种视频解析算法相关配置信息，平均每月1份；</w:t>
            </w:r>
          </w:p>
          <w:p w14:paraId="046D947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疑似问题线索表用于记录在系统中发现的问题线索的信息，每月1份。</w:t>
            </w:r>
          </w:p>
          <w:p w14:paraId="5CE299B8">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每月共产生各类汇总表6份。</w:t>
            </w:r>
          </w:p>
          <w:p w14:paraId="7FE4A292">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3.配套租赁服务</w:t>
            </w:r>
          </w:p>
          <w:p w14:paraId="0A4D7F0F">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（1）高点位网络链路：110处点位所需的100M宽带互联网传输链路。</w:t>
            </w:r>
          </w:p>
          <w:p w14:paraId="2D6F1FE7">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（2）塔桅资源：110处高点位塔桅资源服务。</w:t>
            </w:r>
          </w:p>
          <w:p w14:paraId="3CDF1503">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（3）低点位网络链路：300处点位视频光缆专线。</w:t>
            </w:r>
          </w:p>
          <w:p w14:paraId="2D0602BA">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kern w:val="2"/>
                <w:sz w:val="20"/>
                <w:szCs w:val="20"/>
                <w:lang w:val="en-US" w:eastAsia="zh-CN" w:bidi="ar-SA"/>
              </w:rPr>
            </w:pPr>
            <w:r>
              <w:rPr>
                <w:rFonts w:hint="eastAsia" w:ascii="仿宋" w:hAnsi="仿宋" w:eastAsia="仿宋" w:cs="仿宋"/>
                <w:kern w:val="2"/>
                <w:sz w:val="20"/>
                <w:szCs w:val="20"/>
                <w:lang w:val="en-US" w:eastAsia="zh-CN" w:bidi="ar-SA"/>
              </w:rPr>
              <w:t>（4）电费：所有监控设备、智能运维箱及线路传输设备提供220V供电。</w:t>
            </w:r>
          </w:p>
          <w:p w14:paraId="6F436C0A">
            <w:pPr>
              <w:keepNext w:val="0"/>
              <w:keepLines w:val="0"/>
              <w:pageBreakBefore w:val="0"/>
              <w:widowControl w:val="0"/>
              <w:numPr>
                <w:ilvl w:val="0"/>
                <w:numId w:val="0"/>
              </w:numPr>
              <w:kinsoku/>
              <w:wordWrap/>
              <w:overflowPunct/>
              <w:topLinePunct w:val="0"/>
              <w:autoSpaceDE/>
              <w:autoSpaceDN/>
              <w:bidi w:val="0"/>
              <w:adjustRightInd/>
              <w:snapToGrid/>
              <w:ind w:firstLine="402" w:firstLineChars="200"/>
              <w:jc w:val="left"/>
              <w:textAlignment w:val="auto"/>
              <w:outlineLvl w:val="3"/>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4.项目成果要求</w:t>
            </w:r>
          </w:p>
          <w:p w14:paraId="3FB592E4">
            <w:pPr>
              <w:keepNext w:val="0"/>
              <w:keepLines w:val="0"/>
              <w:pageBreakBefore w:val="0"/>
              <w:widowControl w:val="0"/>
              <w:numPr>
                <w:ilvl w:val="0"/>
                <w:numId w:val="0"/>
              </w:numPr>
              <w:kinsoku/>
              <w:wordWrap/>
              <w:overflowPunct/>
              <w:topLinePunct w:val="0"/>
              <w:autoSpaceDE/>
              <w:autoSpaceDN/>
              <w:bidi w:val="0"/>
              <w:adjustRightInd/>
              <w:snapToGrid/>
              <w:ind w:firstLine="400" w:firstLineChars="200"/>
              <w:jc w:val="left"/>
              <w:textAlignment w:val="auto"/>
              <w:outlineLvl w:val="9"/>
              <w:rPr>
                <w:rFonts w:hint="eastAsia" w:ascii="仿宋" w:hAnsi="仿宋" w:eastAsia="仿宋" w:cs="仿宋"/>
                <w:sz w:val="20"/>
                <w:szCs w:val="20"/>
              </w:rPr>
            </w:pPr>
            <w:r>
              <w:rPr>
                <w:rFonts w:hint="eastAsia" w:ascii="仿宋" w:hAnsi="仿宋" w:eastAsia="仿宋" w:cs="仿宋"/>
                <w:kern w:val="2"/>
                <w:sz w:val="20"/>
                <w:szCs w:val="20"/>
                <w:lang w:val="en-US" w:eastAsia="zh-CN" w:bidi="ar-SA"/>
              </w:rPr>
              <w:t>提供系统前端设备维护运维、秦岭视频监管系统算法配置与保障、配套租赁的相应运维记录资料，包括但不限于工作日志、巡检记录、工作总结、维修记录等。</w:t>
            </w:r>
          </w:p>
        </w:tc>
      </w:tr>
    </w:tbl>
    <w:p w14:paraId="4347612B">
      <w:pPr>
        <w:pStyle w:val="9"/>
        <w:outlineLvl w:val="3"/>
        <w:rPr>
          <w:rFonts w:hint="eastAsia" w:ascii="仿宋" w:hAnsi="仿宋" w:eastAsia="仿宋" w:cs="仿宋"/>
        </w:rPr>
      </w:pPr>
      <w:r>
        <w:rPr>
          <w:rFonts w:hint="eastAsia" w:ascii="仿宋" w:hAnsi="仿宋" w:eastAsia="仿宋" w:cs="仿宋"/>
        </w:rPr>
        <w:t>采购包</w:t>
      </w:r>
      <w:r>
        <w:rPr>
          <w:rFonts w:hint="eastAsia" w:ascii="仿宋" w:hAnsi="仿宋" w:eastAsia="仿宋" w:cs="仿宋"/>
          <w:lang w:val="en-US" w:eastAsia="zh-CN"/>
        </w:rPr>
        <w:t>7</w:t>
      </w:r>
      <w:r>
        <w:rPr>
          <w:rFonts w:hint="eastAsia" w:ascii="仿宋" w:hAnsi="仿宋" w:eastAsia="仿宋" w:cs="仿宋"/>
        </w:rPr>
        <w:t>：</w:t>
      </w:r>
    </w:p>
    <w:p w14:paraId="66482B80">
      <w:pPr>
        <w:pStyle w:val="9"/>
        <w:rPr>
          <w:rFonts w:hint="eastAsia" w:ascii="仿宋" w:hAnsi="仿宋" w:eastAsia="仿宋" w:cs="仿宋"/>
          <w:lang w:eastAsia="zh-CN"/>
        </w:rPr>
      </w:pPr>
      <w:r>
        <w:rPr>
          <w:rFonts w:hint="eastAsia" w:ascii="仿宋" w:hAnsi="仿宋" w:eastAsia="仿宋" w:cs="仿宋"/>
        </w:rPr>
        <w:t>标的名称：</w:t>
      </w:r>
      <w:r>
        <w:rPr>
          <w:rFonts w:hint="eastAsia" w:ascii="仿宋" w:hAnsi="仿宋" w:eastAsia="仿宋" w:cs="仿宋"/>
          <w:sz w:val="21"/>
          <w:szCs w:val="21"/>
          <w:vertAlign w:val="baseline"/>
          <w:lang w:val="en-US" w:eastAsia="zh-CN"/>
        </w:rPr>
        <w:t>秦岭区域开发建设活动规范挂图制作</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42"/>
        <w:gridCol w:w="954"/>
        <w:gridCol w:w="6726"/>
      </w:tblGrid>
      <w:tr w14:paraId="685BF2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42" w:type="dxa"/>
            <w:vAlign w:val="center"/>
          </w:tcPr>
          <w:p w14:paraId="42A314E0">
            <w:pPr>
              <w:pStyle w:val="9"/>
              <w:jc w:val="center"/>
              <w:rPr>
                <w:rFonts w:hint="eastAsia" w:ascii="仿宋" w:hAnsi="仿宋" w:eastAsia="仿宋" w:cs="仿宋"/>
                <w:sz w:val="20"/>
                <w:szCs w:val="20"/>
              </w:rPr>
            </w:pPr>
            <w:r>
              <w:rPr>
                <w:rFonts w:hint="eastAsia" w:ascii="仿宋" w:hAnsi="仿宋" w:eastAsia="仿宋" w:cs="仿宋"/>
                <w:sz w:val="20"/>
                <w:szCs w:val="20"/>
              </w:rPr>
              <w:t>序号</w:t>
            </w:r>
          </w:p>
        </w:tc>
        <w:tc>
          <w:tcPr>
            <w:tcW w:w="954" w:type="dxa"/>
            <w:vAlign w:val="center"/>
          </w:tcPr>
          <w:p w14:paraId="033F01AF">
            <w:pPr>
              <w:pStyle w:val="9"/>
              <w:jc w:val="center"/>
              <w:rPr>
                <w:rFonts w:hint="eastAsia" w:ascii="仿宋" w:hAnsi="仿宋" w:eastAsia="仿宋" w:cs="仿宋"/>
                <w:sz w:val="20"/>
                <w:szCs w:val="20"/>
              </w:rPr>
            </w:pPr>
            <w:r>
              <w:rPr>
                <w:rFonts w:hint="eastAsia" w:ascii="仿宋" w:hAnsi="仿宋" w:eastAsia="仿宋" w:cs="仿宋"/>
                <w:sz w:val="20"/>
                <w:szCs w:val="20"/>
              </w:rPr>
              <w:t>参数</w:t>
            </w:r>
          </w:p>
          <w:p w14:paraId="6C1120C4">
            <w:pPr>
              <w:pStyle w:val="9"/>
              <w:jc w:val="center"/>
              <w:rPr>
                <w:rFonts w:hint="eastAsia" w:ascii="仿宋" w:hAnsi="仿宋" w:eastAsia="仿宋" w:cs="仿宋"/>
                <w:sz w:val="20"/>
                <w:szCs w:val="20"/>
              </w:rPr>
            </w:pPr>
            <w:r>
              <w:rPr>
                <w:rFonts w:hint="eastAsia" w:ascii="仿宋" w:hAnsi="仿宋" w:eastAsia="仿宋" w:cs="仿宋"/>
                <w:sz w:val="20"/>
                <w:szCs w:val="20"/>
              </w:rPr>
              <w:t>性质</w:t>
            </w:r>
          </w:p>
        </w:tc>
        <w:tc>
          <w:tcPr>
            <w:tcW w:w="6726" w:type="dxa"/>
            <w:vAlign w:val="center"/>
          </w:tcPr>
          <w:p w14:paraId="52BA1FF0">
            <w:pPr>
              <w:pStyle w:val="9"/>
              <w:jc w:val="center"/>
              <w:rPr>
                <w:rFonts w:hint="eastAsia" w:ascii="仿宋" w:hAnsi="仿宋" w:eastAsia="仿宋" w:cs="仿宋"/>
                <w:sz w:val="20"/>
                <w:szCs w:val="20"/>
              </w:rPr>
            </w:pPr>
            <w:r>
              <w:rPr>
                <w:rFonts w:hint="eastAsia" w:ascii="仿宋" w:hAnsi="仿宋" w:eastAsia="仿宋" w:cs="仿宋"/>
                <w:sz w:val="20"/>
                <w:szCs w:val="20"/>
              </w:rPr>
              <w:t>技术参数与性能指标</w:t>
            </w:r>
          </w:p>
        </w:tc>
      </w:tr>
      <w:tr w14:paraId="08D8C2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42" w:type="dxa"/>
            <w:vAlign w:val="center"/>
          </w:tcPr>
          <w:p w14:paraId="11EBA480">
            <w:pPr>
              <w:pStyle w:val="9"/>
              <w:jc w:val="center"/>
              <w:rPr>
                <w:rFonts w:hint="eastAsia" w:ascii="仿宋" w:hAnsi="仿宋" w:eastAsia="仿宋" w:cs="仿宋"/>
                <w:sz w:val="20"/>
                <w:szCs w:val="20"/>
              </w:rPr>
            </w:pPr>
            <w:r>
              <w:rPr>
                <w:rFonts w:hint="eastAsia" w:ascii="仿宋" w:hAnsi="仿宋" w:eastAsia="仿宋" w:cs="仿宋"/>
                <w:sz w:val="20"/>
                <w:szCs w:val="20"/>
              </w:rPr>
              <w:t>1</w:t>
            </w:r>
          </w:p>
        </w:tc>
        <w:tc>
          <w:tcPr>
            <w:tcW w:w="954" w:type="dxa"/>
            <w:vAlign w:val="center"/>
          </w:tcPr>
          <w:p w14:paraId="08C61C15">
            <w:pPr>
              <w:jc w:val="center"/>
              <w:rPr>
                <w:rFonts w:hint="eastAsia" w:ascii="仿宋" w:hAnsi="仿宋" w:eastAsia="仿宋" w:cs="仿宋"/>
                <w:sz w:val="20"/>
                <w:szCs w:val="20"/>
              </w:rPr>
            </w:pPr>
          </w:p>
        </w:tc>
        <w:tc>
          <w:tcPr>
            <w:tcW w:w="6726" w:type="dxa"/>
            <w:vAlign w:val="center"/>
          </w:tcPr>
          <w:p w14:paraId="61847B6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一、</w:t>
            </w:r>
            <w:r>
              <w:rPr>
                <w:rFonts w:hint="eastAsia" w:ascii="仿宋" w:hAnsi="仿宋" w:eastAsia="仿宋" w:cs="仿宋"/>
                <w:b/>
                <w:bCs/>
                <w:sz w:val="20"/>
                <w:szCs w:val="20"/>
              </w:rPr>
              <w:t>本包概况</w:t>
            </w:r>
          </w:p>
          <w:p w14:paraId="3F5DFB2A">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eastAsia="zh-CN"/>
              </w:rPr>
            </w:pPr>
            <w:r>
              <w:rPr>
                <w:rFonts w:hint="eastAsia" w:ascii="仿宋" w:hAnsi="仿宋" w:eastAsia="仿宋" w:cs="仿宋"/>
                <w:sz w:val="20"/>
                <w:szCs w:val="20"/>
              </w:rPr>
              <w:t>为贯彻省委、省政府对秦岭生态环境保护工作的决策部署，抓好《陕西省秦岭生态环境保护条例》《陕西省秦岭生态环境保护总体规划》执行，以秦岭区域乡镇、行政村为单元，编制</w:t>
            </w:r>
            <w:r>
              <w:rPr>
                <w:rFonts w:hint="eastAsia" w:ascii="仿宋" w:hAnsi="仿宋" w:eastAsia="仿宋" w:cs="仿宋"/>
                <w:sz w:val="20"/>
                <w:szCs w:val="20"/>
                <w:lang w:val="en-US" w:eastAsia="zh-CN"/>
              </w:rPr>
              <w:t>印刷</w:t>
            </w:r>
            <w:r>
              <w:rPr>
                <w:rFonts w:hint="eastAsia" w:ascii="仿宋" w:hAnsi="仿宋" w:eastAsia="仿宋" w:cs="仿宋"/>
                <w:sz w:val="20"/>
                <w:szCs w:val="20"/>
              </w:rPr>
              <w:t>管理底图</w:t>
            </w:r>
            <w:r>
              <w:rPr>
                <w:rFonts w:hint="eastAsia" w:ascii="仿宋" w:hAnsi="仿宋" w:eastAsia="仿宋" w:cs="仿宋"/>
                <w:sz w:val="20"/>
                <w:szCs w:val="20"/>
                <w:lang w:eastAsia="zh-CN"/>
              </w:rPr>
              <w:t>。</w:t>
            </w:r>
          </w:p>
          <w:p w14:paraId="076D9D2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02" w:firstLineChars="200"/>
              <w:jc w:val="left"/>
              <w:textAlignment w:val="auto"/>
              <w:outlineLvl w:val="1"/>
              <w:rPr>
                <w:rFonts w:hint="eastAsia" w:ascii="仿宋" w:hAnsi="仿宋" w:eastAsia="仿宋" w:cs="仿宋"/>
                <w:b/>
                <w:bCs/>
                <w:kern w:val="2"/>
                <w:sz w:val="20"/>
                <w:szCs w:val="20"/>
                <w:lang w:val="en-US" w:eastAsia="zh-CN" w:bidi="ar-SA"/>
              </w:rPr>
            </w:pPr>
            <w:r>
              <w:rPr>
                <w:rFonts w:hint="eastAsia" w:ascii="仿宋" w:hAnsi="仿宋" w:eastAsia="仿宋" w:cs="仿宋"/>
                <w:b/>
                <w:bCs/>
                <w:kern w:val="2"/>
                <w:sz w:val="20"/>
                <w:szCs w:val="20"/>
                <w:lang w:val="en-US" w:eastAsia="zh-CN" w:bidi="ar-SA"/>
              </w:rPr>
              <w:t>二、服务内容及服务要求</w:t>
            </w:r>
          </w:p>
          <w:p w14:paraId="4E565859">
            <w:pPr>
              <w:keepNext w:val="0"/>
              <w:keepLines w:val="0"/>
              <w:pageBreakBefore w:val="0"/>
              <w:widowControl w:val="0"/>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sz w:val="20"/>
                <w:szCs w:val="20"/>
                <w:lang w:val="en-US" w:eastAsia="zh-CN"/>
              </w:rPr>
            </w:pPr>
            <w:r>
              <w:rPr>
                <w:rFonts w:hint="eastAsia" w:ascii="仿宋" w:hAnsi="仿宋" w:eastAsia="仿宋" w:cs="仿宋"/>
                <w:b/>
                <w:sz w:val="20"/>
                <w:szCs w:val="20"/>
                <w:lang w:eastAsia="zh-CN"/>
              </w:rPr>
              <w:t>（</w:t>
            </w:r>
            <w:r>
              <w:rPr>
                <w:rFonts w:hint="eastAsia" w:ascii="仿宋" w:hAnsi="仿宋" w:eastAsia="仿宋" w:cs="仿宋"/>
                <w:b/>
                <w:sz w:val="20"/>
                <w:szCs w:val="20"/>
                <w:lang w:val="en-US" w:eastAsia="zh-CN"/>
              </w:rPr>
              <w:t>一</w:t>
            </w:r>
            <w:r>
              <w:rPr>
                <w:rFonts w:hint="eastAsia" w:ascii="仿宋" w:hAnsi="仿宋" w:eastAsia="仿宋" w:cs="仿宋"/>
                <w:b/>
                <w:sz w:val="20"/>
                <w:szCs w:val="20"/>
                <w:lang w:eastAsia="zh-CN"/>
              </w:rPr>
              <w:t>）</w:t>
            </w:r>
            <w:r>
              <w:rPr>
                <w:rFonts w:hint="eastAsia" w:ascii="仿宋" w:hAnsi="仿宋" w:eastAsia="仿宋" w:cs="仿宋"/>
                <w:b/>
                <w:sz w:val="20"/>
                <w:szCs w:val="20"/>
                <w:lang w:val="en-US" w:eastAsia="zh-CN"/>
              </w:rPr>
              <w:t>服务内容</w:t>
            </w:r>
          </w:p>
          <w:p w14:paraId="05E14E0D">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基于秦岭规划分区数据、三区三线数据、保护单元数据和天地图•陕西等数据，开展秦岭区域约1259个乡镇及行政村开发建设活动规范挂图制作印刷，包含陕西省秦岭区域全域约364幅乡镇级挂图，西安市、宝鸡市等地区行政村约895幅村级挂图。</w:t>
            </w:r>
          </w:p>
          <w:p w14:paraId="39935EEF">
            <w:pPr>
              <w:keepNext w:val="0"/>
              <w:keepLines w:val="0"/>
              <w:pageBreakBefore w:val="0"/>
              <w:widowControl w:val="0"/>
              <w:kinsoku/>
              <w:wordWrap/>
              <w:overflowPunct/>
              <w:topLinePunct w:val="0"/>
              <w:autoSpaceDE/>
              <w:autoSpaceDN/>
              <w:bidi w:val="0"/>
              <w:adjustRightInd/>
              <w:snapToGrid/>
              <w:spacing w:line="240" w:lineRule="auto"/>
              <w:ind w:firstLine="402" w:firstLineChars="200"/>
              <w:jc w:val="left"/>
              <w:textAlignment w:val="auto"/>
              <w:outlineLvl w:val="2"/>
              <w:rPr>
                <w:rFonts w:hint="eastAsia" w:ascii="仿宋" w:hAnsi="仿宋" w:eastAsia="仿宋" w:cs="仿宋"/>
                <w:b/>
                <w:sz w:val="20"/>
                <w:szCs w:val="20"/>
                <w:lang w:val="en-US" w:eastAsia="zh-CN"/>
              </w:rPr>
            </w:pPr>
            <w:r>
              <w:rPr>
                <w:rFonts w:hint="eastAsia" w:ascii="仿宋" w:hAnsi="仿宋" w:eastAsia="仿宋" w:cs="仿宋"/>
                <w:b/>
                <w:sz w:val="20"/>
                <w:szCs w:val="20"/>
                <w:lang w:val="en-US" w:eastAsia="zh-CN"/>
              </w:rPr>
              <w:t>（二）服务要求</w:t>
            </w:r>
          </w:p>
          <w:p w14:paraId="1BCC60BB">
            <w:pPr>
              <w:pStyle w:val="9"/>
              <w:keepNext w:val="0"/>
              <w:keepLines w:val="0"/>
              <w:pageBreakBefore w:val="0"/>
              <w:kinsoku/>
              <w:wordWrap/>
              <w:overflowPunct/>
              <w:topLinePunct w:val="0"/>
              <w:autoSpaceDE/>
              <w:autoSpaceDN/>
              <w:bidi w:val="0"/>
              <w:adjustRightInd/>
              <w:snapToGrid/>
              <w:spacing w:line="240" w:lineRule="auto"/>
              <w:ind w:firstLine="402" w:firstLineChars="200"/>
              <w:jc w:val="left"/>
              <w:textAlignment w:val="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1.技术要求</w:t>
            </w:r>
          </w:p>
          <w:p w14:paraId="738F7141">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（1）数学基础</w:t>
            </w:r>
          </w:p>
          <w:p w14:paraId="2385885A">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坐标系统：采用2000国家大地坐标系；</w:t>
            </w:r>
          </w:p>
          <w:p w14:paraId="7678B066">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投影方式：高斯-克吕格投影；</w:t>
            </w:r>
          </w:p>
          <w:p w14:paraId="67090DE2">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分带方式：采用3度分带；</w:t>
            </w:r>
          </w:p>
          <w:p w14:paraId="54A1C6EF">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坐标单位：米；</w:t>
            </w:r>
          </w:p>
          <w:p w14:paraId="210179C9">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高程基准：1985国家高程基准。</w:t>
            </w:r>
          </w:p>
          <w:p w14:paraId="2075EF0F">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（2）比例尺</w:t>
            </w:r>
          </w:p>
          <w:p w14:paraId="15BD6C08">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乡镇级挂图比例尺在1:10000-1:40000之间；</w:t>
            </w:r>
          </w:p>
          <w:p w14:paraId="18068C1A">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行政村级挂图比例尺在1:3000-1:8000之间。</w:t>
            </w:r>
          </w:p>
          <w:p w14:paraId="12009A50">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注：具体图幅比例尺应根据制图区域实际情况进行单独设计。</w:t>
            </w:r>
          </w:p>
          <w:p w14:paraId="3F5AE908">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（3）成图尺寸</w:t>
            </w:r>
          </w:p>
          <w:p w14:paraId="0811B2AC">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成图尺寸841mm*1189mm。</w:t>
            </w:r>
          </w:p>
          <w:p w14:paraId="7D6B54F9">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（4）成果现势性</w:t>
            </w:r>
          </w:p>
          <w:p w14:paraId="71A6BA99">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挂图数据现势性优于2025年。</w:t>
            </w:r>
          </w:p>
          <w:p w14:paraId="460B332B">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（5）内容整饰</w:t>
            </w:r>
          </w:p>
          <w:p w14:paraId="2DBFE660">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挂图需采用地图与文字混排的方式表示。图面配置要求应包含但不限于以下内容：充分利用版面，地图主体内容应占用较大幅面，并安排于幅面的主要位置，底图清晰呈现本全域基础地理信息要素；能专题展现规划分区数据、三区三线数据、保护单元数据、区位缩略图、文字说明等；挂图要根据所表达地区的具体情况分别进行版面设计。</w:t>
            </w:r>
          </w:p>
          <w:p w14:paraId="7C8F90A4">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（6）图式符号</w:t>
            </w:r>
          </w:p>
          <w:p w14:paraId="3D0FA530">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图式符号要能满足反映地图要素的要求，其图形应与所表达信息的特征相适应。</w:t>
            </w:r>
          </w:p>
          <w:p w14:paraId="72CBBFAC">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（7）印制要求</w:t>
            </w:r>
          </w:p>
          <w:p w14:paraId="16B88C52">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规格统一，字迹清晰，墨色均匀适度，无黑点，无缺字；纸质色泽一致，纸张平整光洁；彩色还原性好、套印准确，着墨均匀。</w:t>
            </w:r>
          </w:p>
          <w:p w14:paraId="4FF2B175">
            <w:pPr>
              <w:pStyle w:val="9"/>
              <w:keepNext w:val="0"/>
              <w:keepLines w:val="0"/>
              <w:pageBreakBefore w:val="0"/>
              <w:kinsoku/>
              <w:wordWrap/>
              <w:overflowPunct/>
              <w:topLinePunct w:val="0"/>
              <w:autoSpaceDE/>
              <w:autoSpaceDN/>
              <w:bidi w:val="0"/>
              <w:adjustRightInd/>
              <w:snapToGrid/>
              <w:spacing w:line="240" w:lineRule="auto"/>
              <w:ind w:firstLine="402" w:firstLineChars="200"/>
              <w:jc w:val="left"/>
              <w:textAlignment w:val="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2.成果要求</w:t>
            </w:r>
          </w:p>
          <w:p w14:paraId="6017A8DB">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图件成果电子版AI、JPG格式各1套、印刷纸质版成果1套。</w:t>
            </w:r>
          </w:p>
          <w:p w14:paraId="19F5AEB1">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文档成果PDF、DOC格式各1份。</w:t>
            </w:r>
          </w:p>
          <w:p w14:paraId="3D063044">
            <w:pPr>
              <w:pStyle w:val="9"/>
              <w:keepNext w:val="0"/>
              <w:keepLines w:val="0"/>
              <w:pageBreakBefore w:val="0"/>
              <w:kinsoku/>
              <w:wordWrap/>
              <w:overflowPunct/>
              <w:topLinePunct w:val="0"/>
              <w:autoSpaceDE/>
              <w:autoSpaceDN/>
              <w:bidi w:val="0"/>
              <w:adjustRightInd/>
              <w:snapToGrid/>
              <w:spacing w:line="240" w:lineRule="auto"/>
              <w:ind w:firstLine="402" w:firstLineChars="200"/>
              <w:jc w:val="left"/>
              <w:textAlignment w:val="auto"/>
              <w:rPr>
                <w:rFonts w:hint="eastAsia" w:ascii="仿宋" w:hAnsi="仿宋" w:eastAsia="仿宋" w:cs="仿宋"/>
                <w:b/>
                <w:bCs/>
                <w:sz w:val="20"/>
                <w:szCs w:val="20"/>
                <w:lang w:val="en-US" w:eastAsia="zh-CN"/>
              </w:rPr>
            </w:pPr>
            <w:r>
              <w:rPr>
                <w:rFonts w:hint="eastAsia" w:ascii="仿宋" w:hAnsi="仿宋" w:eastAsia="仿宋" w:cs="仿宋"/>
                <w:b/>
                <w:bCs/>
                <w:sz w:val="20"/>
                <w:szCs w:val="20"/>
                <w:lang w:val="en-US" w:eastAsia="zh-CN"/>
              </w:rPr>
              <w:t>3.质量要求</w:t>
            </w:r>
          </w:p>
          <w:p w14:paraId="38637AB8">
            <w:pPr>
              <w:pStyle w:val="9"/>
              <w:keepNext w:val="0"/>
              <w:keepLines w:val="0"/>
              <w:pageBreakBefore w:val="0"/>
              <w:kinsoku/>
              <w:wordWrap/>
              <w:overflowPunct/>
              <w:topLinePunct w:val="0"/>
              <w:autoSpaceDE/>
              <w:autoSpaceDN/>
              <w:bidi w:val="0"/>
              <w:adjustRightInd/>
              <w:snapToGrid/>
              <w:spacing w:line="240" w:lineRule="auto"/>
              <w:ind w:firstLine="400" w:firstLineChars="200"/>
              <w:jc w:val="left"/>
              <w:textAlignment w:val="auto"/>
              <w:rPr>
                <w:rFonts w:hint="eastAsia" w:ascii="仿宋" w:hAnsi="仿宋" w:eastAsia="仿宋" w:cs="仿宋"/>
                <w:sz w:val="20"/>
                <w:szCs w:val="20"/>
              </w:rPr>
            </w:pPr>
            <w:r>
              <w:rPr>
                <w:rFonts w:hint="eastAsia" w:ascii="仿宋" w:hAnsi="仿宋" w:eastAsia="仿宋" w:cs="仿宋"/>
                <w:sz w:val="20"/>
                <w:szCs w:val="20"/>
                <w:lang w:val="en-US" w:eastAsia="zh-CN"/>
              </w:rPr>
              <w:t>本产品成果质量检查全面依据对应产品规格标准、行业规范、技术设计书等项目技术文件开展质量核查。确保数据源满足数学基础、现势性、数据组织分层等要求，数据成果满足数量、格式、内容等要求，图面质量满足专题图质量要求，印制工艺及质量满足印制要求。质量管理严格落实三审三校，并开展挂图意见征求环节。全过程把控质量，确保输出成果合规可靠。</w:t>
            </w:r>
          </w:p>
        </w:tc>
      </w:tr>
    </w:tbl>
    <w:p w14:paraId="21C25A6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37418B"/>
    <w:multiLevelType w:val="singleLevel"/>
    <w:tmpl w:val="D637418B"/>
    <w:lvl w:ilvl="0" w:tentative="0">
      <w:start w:val="1"/>
      <w:numFmt w:val="decimal"/>
      <w:suff w:val="nothing"/>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EB5383"/>
    <w:rsid w:val="76EB53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3">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8">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Indent"/>
    <w:basedOn w:val="1"/>
    <w:next w:val="1"/>
    <w:qFormat/>
    <w:uiPriority w:val="0"/>
    <w:pPr>
      <w:spacing w:after="120"/>
      <w:ind w:left="420" w:leftChars="200"/>
    </w:pPr>
  </w:style>
  <w:style w:type="paragraph" w:styleId="5">
    <w:name w:val="Body Text First Indent 2"/>
    <w:basedOn w:val="4"/>
    <w:next w:val="1"/>
    <w:qFormat/>
    <w:uiPriority w:val="99"/>
    <w:pPr>
      <w:ind w:firstLine="420" w:firstLine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f正文副标题"/>
    <w:basedOn w:val="1"/>
    <w:qFormat/>
    <w:uiPriority w:val="0"/>
    <w:pPr>
      <w:widowControl/>
      <w:ind w:firstLine="640"/>
    </w:pPr>
    <w:rPr>
      <w:rFonts w:eastAsia="楷体"/>
      <w:kern w:val="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2026-10-22T12:10:00Z</dcterms:created>
  <dc:creator>德仁招标</dc:creator>
  <cp:lastModifiedBy>德仁招标</cp:lastModifiedBy>
  <dcterms:modified xsi:type="dcterms:W3CDTF">2026-10-22T12:11:17Z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29824603393B41AD8049E395C014A696_11</vt:lpwstr>
  </property>
  <property fmtid="{D5CDD505-2E9C-101B-9397-08002B2CF9AE}" pid="4" name="KSOTemplateDocerSaveRecord">
    <vt:lpwstr>eyJoZGlkIjoiNzNmNDZlOGE4YzBiODhkNTY3NTdiYjNiMTljZmEwZTciLCJ1c2VySWQiOiIyNzQ5OTcwMTQifQ==</vt:lpwstr>
  </property>
</Properties>
</file>