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版本号：CGZC-2026-052、XACH2026-03820260610001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750吨区级成品储备粮储备服务项目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CGZC-2026-052、XACH2026-038</w:t>
      </w:r>
      <w:r>
        <w:br/>
      </w:r>
      <w:r>
        <w:br/>
      </w:r>
      <w:r>
        <w:br/>
      </w:r>
    </w:p>
    <w:p>
      <w:pPr>
        <w:pStyle w:val="null3"/>
        <w:jc w:val="center"/>
        <w:outlineLvl w:val="5"/>
      </w:pPr>
      <w:r>
        <w:rPr>
          <w:rFonts w:ascii="仿宋_GB2312" w:hAnsi="仿宋_GB2312" w:cs="仿宋_GB2312" w:eastAsia="仿宋_GB2312"/>
          <w:sz w:val="15"/>
          <w:b/>
        </w:rPr>
        <w:t>西安浐灞国际港经济发展改革局</w:t>
      </w:r>
    </w:p>
    <w:p>
      <w:pPr>
        <w:pStyle w:val="null3"/>
        <w:jc w:val="center"/>
        <w:outlineLvl w:val="5"/>
      </w:pPr>
      <w:r>
        <w:rPr>
          <w:rFonts w:ascii="仿宋_GB2312" w:hAnsi="仿宋_GB2312" w:cs="仿宋_GB2312" w:eastAsia="仿宋_GB2312"/>
          <w:sz w:val="15"/>
          <w:b/>
        </w:rPr>
        <w:t>西安辰和工程咨询有限公司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西安浐灞国际港经济发展改革局</w:t>
      </w:r>
      <w:r>
        <w:rPr>
          <w:rFonts w:ascii="仿宋_GB2312" w:hAnsi="仿宋_GB2312" w:cs="仿宋_GB2312" w:eastAsia="仿宋_GB2312"/>
        </w:rPr>
        <w:t>委托，拟对</w:t>
      </w:r>
      <w:r>
        <w:rPr>
          <w:rFonts w:ascii="仿宋_GB2312" w:hAnsi="仿宋_GB2312" w:cs="仿宋_GB2312" w:eastAsia="仿宋_GB2312"/>
        </w:rPr>
        <w:t>750吨区级成品储备粮储备服务项目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CGZC-2026-052、XACH2026-038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750吨区级成品储备粮储备服务项目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采购2026年7月至2029年7月间政策性储备粮750吨成品面粉的承储仓储服务。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单一来源采购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4、本项目不接受联合体投标：本项目不接受联合体投标（提供书面声明）。供应商需在项目电子化交易系统中按要求上传相应证明文件并进行电子签章。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西安浐灞国际港经济发展改革局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029-83332249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赵苗苗、单云、王文文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029-87563729、029-82286063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100万-500万按0.8%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西安浐灞国际港经济发展改革局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西安浐灞国际港经济发展改革局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按国家有关服务规范和合同规定的验收评定标准等要求进行验收。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采购2026年7月至2029年7月间政策性储备粮750吨成品面粉的承储仓储服务。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750吨区级成品储备粮储备服务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仓储业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标的名称：750吨区级成品储备粮储备服务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本次采购2026年7月至2029年7月间政策性储备粮750吨成品面粉的承储仓储服务。</w:t>
            </w:r>
          </w:p>
          <w:p>
            <w:pPr>
              <w:pStyle w:val="null3"/>
            </w:pPr>
            <w:r>
              <w:rPr>
                <w:rFonts w:ascii="仿宋_GB2312" w:hAnsi="仿宋_GB2312" w:cs="仿宋_GB2312" w:eastAsia="仿宋_GB2312"/>
                <w:sz w:val="21"/>
              </w:rPr>
              <w:t>二、服务内容及要求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供应商须遵照《陕西省省级储备粮管理办法》《西安市储备粮管理办法》、《西安市市级成品储备粮管理规定》、《西安浐灞国际港粮食应急预案》《西安浐灞国际港成品储备粮管理规定》存储区级储备粮。</w:t>
            </w:r>
          </w:p>
          <w:p>
            <w:pPr>
              <w:pStyle w:val="null3"/>
            </w:pPr>
            <w:r>
              <w:rPr>
                <w:rFonts w:ascii="仿宋_GB2312" w:hAnsi="仿宋_GB2312" w:cs="仿宋_GB2312" w:eastAsia="仿宋_GB2312"/>
                <w:sz w:val="21"/>
              </w:rPr>
              <w:t xml:space="preserve">2. </w:t>
            </w:r>
            <w:r>
              <w:rPr>
                <w:rFonts w:ascii="仿宋_GB2312" w:hAnsi="仿宋_GB2312" w:cs="仿宋_GB2312" w:eastAsia="仿宋_GB2312"/>
                <w:sz w:val="21"/>
              </w:rPr>
              <w:t>供应商应保证承储区级成品储备粮小麦粉须达到 GB/T1355-2021《小麦粉》中标准粉（含）以上要求，合同执行中如有更新，按最新版本实行。</w:t>
            </w:r>
          </w:p>
          <w:p>
            <w:pPr>
              <w:pStyle w:val="null3"/>
            </w:pPr>
            <w:r>
              <w:rPr>
                <w:rFonts w:ascii="仿宋_GB2312" w:hAnsi="仿宋_GB2312" w:cs="仿宋_GB2312" w:eastAsia="仿宋_GB2312"/>
                <w:sz w:val="21"/>
              </w:rPr>
              <w:t>3.</w:t>
            </w:r>
            <w:r>
              <w:rPr>
                <w:rFonts w:ascii="仿宋_GB2312" w:hAnsi="仿宋_GB2312" w:cs="仿宋_GB2312" w:eastAsia="仿宋_GB2312"/>
                <w:sz w:val="21"/>
              </w:rPr>
              <w:t>包装形态储存的区级应急成品储备粮油,包装物标识必须符合国家食品包装、标签标准和有关办法，注明等级、净含量、执行标准、生产厂家、生产日期和保质期等。各项标签标志必须清晰、齐全、准确,包装规格原则上为每袋25公斤、10公斤、5公斤，每袋计量误差符合国家有关规定。</w:t>
            </w:r>
          </w:p>
          <w:p>
            <w:pPr>
              <w:pStyle w:val="null3"/>
            </w:pPr>
            <w:r>
              <w:rPr>
                <w:rFonts w:ascii="仿宋_GB2312" w:hAnsi="仿宋_GB2312" w:cs="仿宋_GB2312" w:eastAsia="仿宋_GB2312"/>
                <w:sz w:val="21"/>
              </w:rPr>
              <w:t>4.</w:t>
            </w:r>
            <w:r>
              <w:rPr>
                <w:rFonts w:ascii="仿宋_GB2312" w:hAnsi="仿宋_GB2312" w:cs="仿宋_GB2312" w:eastAsia="仿宋_GB2312"/>
                <w:sz w:val="21"/>
              </w:rPr>
              <w:t>供应商按照“保持规模、保证质量、先入先出、均衡有序”的原则，在质保期内自主开展区级成品储备粮轮换工作。包装形态储存的区级应急成品储备小麦粉，需按区级成品储备粮管理规定完成轮换，高温季节（6月-8月）库存数量不低于承储计划数量的80%；其他时间供应商必须按采购人下达的储备计划足额承储。</w:t>
            </w:r>
          </w:p>
          <w:p>
            <w:pPr>
              <w:pStyle w:val="null3"/>
            </w:pPr>
            <w:r>
              <w:rPr>
                <w:rFonts w:ascii="仿宋_GB2312" w:hAnsi="仿宋_GB2312" w:cs="仿宋_GB2312" w:eastAsia="仿宋_GB2312"/>
                <w:sz w:val="21"/>
              </w:rPr>
              <w:t>5.</w:t>
            </w:r>
            <w:r>
              <w:rPr>
                <w:rFonts w:ascii="仿宋_GB2312" w:hAnsi="仿宋_GB2312" w:cs="仿宋_GB2312" w:eastAsia="仿宋_GB2312"/>
                <w:sz w:val="21"/>
              </w:rPr>
              <w:t>供应商应建立健全区级成品储备粮出入库、质量、储存、检化验和防虫、防火、防盗、防汛等安全管理制度，并配备必要安全防护措施。</w:t>
            </w:r>
          </w:p>
          <w:p>
            <w:pPr>
              <w:pStyle w:val="null3"/>
            </w:pPr>
            <w:r>
              <w:rPr>
                <w:rFonts w:ascii="仿宋_GB2312" w:hAnsi="仿宋_GB2312" w:cs="仿宋_GB2312" w:eastAsia="仿宋_GB2312"/>
                <w:sz w:val="21"/>
              </w:rPr>
              <w:t>6.</w:t>
            </w:r>
            <w:r>
              <w:rPr>
                <w:rFonts w:ascii="仿宋_GB2312" w:hAnsi="仿宋_GB2312" w:cs="仿宋_GB2312" w:eastAsia="仿宋_GB2312"/>
                <w:sz w:val="21"/>
              </w:rPr>
              <w:t>区级成品储备粮储存仓房应符合国家《粮油储藏技术规范》对粮仓的要求。</w:t>
            </w:r>
          </w:p>
          <w:p>
            <w:pPr>
              <w:pStyle w:val="null3"/>
            </w:pPr>
            <w:r>
              <w:rPr>
                <w:rFonts w:ascii="仿宋_GB2312" w:hAnsi="仿宋_GB2312" w:cs="仿宋_GB2312" w:eastAsia="仿宋_GB2312"/>
                <w:sz w:val="21"/>
              </w:rPr>
              <w:t>7.</w:t>
            </w:r>
            <w:r>
              <w:rPr>
                <w:rFonts w:ascii="仿宋_GB2312" w:hAnsi="仿宋_GB2312" w:cs="仿宋_GB2312" w:eastAsia="仿宋_GB2312"/>
                <w:sz w:val="21"/>
              </w:rPr>
              <w:t>区级成品储备粮仓房应悬挂或标示专用标志，在显著位置应悬挂“区级成品储备粮储存品质检验记录卡”、“区级储备粮仓单”、“区级储备粮管理责任卡”， 分仓号、垛位存放的区级成品储备粮必须悬挂“区级成品储备粮”仓垛卡。</w:t>
            </w:r>
          </w:p>
          <w:p>
            <w:pPr>
              <w:pStyle w:val="null3"/>
            </w:pPr>
            <w:r>
              <w:rPr>
                <w:rFonts w:ascii="仿宋_GB2312" w:hAnsi="仿宋_GB2312" w:cs="仿宋_GB2312" w:eastAsia="仿宋_GB2312"/>
                <w:sz w:val="21"/>
              </w:rPr>
              <w:t>8.</w:t>
            </w:r>
            <w:r>
              <w:rPr>
                <w:rFonts w:ascii="仿宋_GB2312" w:hAnsi="仿宋_GB2312" w:cs="仿宋_GB2312" w:eastAsia="仿宋_GB2312"/>
                <w:sz w:val="21"/>
              </w:rPr>
              <w:t>区级成品储备粮实行专人、专账管理。供应商应当安排具有（粮）仓储管理员职业资格的人员从事区级成品储备粮保管工作，按照成品粮储藏有关要求，定期进行检查，分析粮情，做好检测记录，发现问题及时处理。必须按照有关统计、财务、保管制度的要求，建立健全管理账簿、台账，并定期进行核查，做到账目齐全、装订规范、内容真实、 账账、账实相符。</w:t>
            </w:r>
          </w:p>
          <w:p>
            <w:pPr>
              <w:pStyle w:val="null3"/>
            </w:pPr>
            <w:r>
              <w:rPr>
                <w:rFonts w:ascii="仿宋_GB2312" w:hAnsi="仿宋_GB2312" w:cs="仿宋_GB2312" w:eastAsia="仿宋_GB2312"/>
                <w:sz w:val="21"/>
              </w:rPr>
              <w:t xml:space="preserve">9. </w:t>
            </w:r>
            <w:r>
              <w:rPr>
                <w:rFonts w:ascii="仿宋_GB2312" w:hAnsi="仿宋_GB2312" w:cs="仿宋_GB2312" w:eastAsia="仿宋_GB2312"/>
                <w:sz w:val="21"/>
              </w:rPr>
              <w:t>供应商应当建立完善的成品粮质量检验制度，配备必要的检验仪器设备和具有农产品食品检验员职业资格的人员，定期对成品储备粮的质量、主要食品安全指标按照国家标准进行检验，对成品储备粮的粮情安全状况、存放地点卫生状况进行定期检查。</w:t>
            </w:r>
          </w:p>
          <w:p>
            <w:pPr>
              <w:pStyle w:val="null3"/>
            </w:pPr>
            <w:r>
              <w:rPr>
                <w:rFonts w:ascii="仿宋_GB2312" w:hAnsi="仿宋_GB2312" w:cs="仿宋_GB2312" w:eastAsia="仿宋_GB2312"/>
                <w:sz w:val="21"/>
              </w:rPr>
              <w:t xml:space="preserve">10. </w:t>
            </w:r>
            <w:r>
              <w:rPr>
                <w:rFonts w:ascii="仿宋_GB2312" w:hAnsi="仿宋_GB2312" w:cs="仿宋_GB2312" w:eastAsia="仿宋_GB2312"/>
                <w:sz w:val="21"/>
              </w:rPr>
              <w:t>供应商必须每月定期向采购人报送区级成品储备粮的有关统计报表，同时将区级成品储备粮储存、轮换等情况报送采购人。</w:t>
            </w:r>
          </w:p>
          <w:p>
            <w:pPr>
              <w:pStyle w:val="null3"/>
            </w:pPr>
            <w:r>
              <w:rPr>
                <w:rFonts w:ascii="仿宋_GB2312" w:hAnsi="仿宋_GB2312" w:cs="仿宋_GB2312" w:eastAsia="仿宋_GB2312"/>
                <w:sz w:val="21"/>
              </w:rPr>
              <w:t>11.</w:t>
            </w:r>
            <w:r>
              <w:rPr>
                <w:rFonts w:ascii="仿宋_GB2312" w:hAnsi="仿宋_GB2312" w:cs="仿宋_GB2312" w:eastAsia="仿宋_GB2312"/>
                <w:sz w:val="21"/>
              </w:rPr>
              <w:t>在应对突发事件时，供应商必须执行采购人指令，服从政府粮食宏观调控措施或应急措施。</w:t>
            </w:r>
          </w:p>
          <w:p>
            <w:pPr>
              <w:pStyle w:val="null3"/>
            </w:pPr>
            <w:r>
              <w:rPr>
                <w:rFonts w:ascii="仿宋_GB2312" w:hAnsi="仿宋_GB2312" w:cs="仿宋_GB2312" w:eastAsia="仿宋_GB2312"/>
                <w:sz w:val="21"/>
              </w:rPr>
              <w:t>三、仓储服务设施：</w:t>
            </w:r>
          </w:p>
          <w:p>
            <w:pPr>
              <w:pStyle w:val="null3"/>
            </w:pPr>
            <w:r>
              <w:rPr>
                <w:rFonts w:ascii="仿宋_GB2312" w:hAnsi="仿宋_GB2312" w:cs="仿宋_GB2312" w:eastAsia="仿宋_GB2312"/>
                <w:sz w:val="21"/>
              </w:rPr>
              <w:t>1</w:t>
            </w:r>
            <w:r>
              <w:rPr>
                <w:rFonts w:ascii="仿宋_GB2312" w:hAnsi="仿宋_GB2312" w:cs="仿宋_GB2312" w:eastAsia="仿宋_GB2312"/>
                <w:sz w:val="21"/>
              </w:rPr>
              <w:t>、具备成品面粉承储条件，能足额安全的提供仓储服务；</w:t>
            </w:r>
          </w:p>
          <w:p>
            <w:pPr>
              <w:pStyle w:val="null3"/>
            </w:pPr>
            <w:r>
              <w:rPr>
                <w:rFonts w:ascii="仿宋_GB2312" w:hAnsi="仿宋_GB2312" w:cs="仿宋_GB2312" w:eastAsia="仿宋_GB2312"/>
                <w:sz w:val="21"/>
              </w:rPr>
              <w:t>2</w:t>
            </w:r>
            <w:r>
              <w:rPr>
                <w:rFonts w:ascii="仿宋_GB2312" w:hAnsi="仿宋_GB2312" w:cs="仿宋_GB2312" w:eastAsia="仿宋_GB2312"/>
                <w:sz w:val="21"/>
              </w:rPr>
              <w:t>、保证储备的成品面粉符合规定的质量标准、管理规范安全；</w:t>
            </w:r>
          </w:p>
          <w:p>
            <w:pPr>
              <w:pStyle w:val="null3"/>
            </w:pPr>
            <w:r>
              <w:rPr>
                <w:rFonts w:ascii="仿宋_GB2312" w:hAnsi="仿宋_GB2312" w:cs="仿宋_GB2312" w:eastAsia="仿宋_GB2312"/>
                <w:sz w:val="21"/>
              </w:rPr>
              <w:t>3</w:t>
            </w:r>
            <w:r>
              <w:rPr>
                <w:rFonts w:ascii="仿宋_GB2312" w:hAnsi="仿宋_GB2312" w:cs="仿宋_GB2312" w:eastAsia="仿宋_GB2312"/>
                <w:sz w:val="21"/>
              </w:rPr>
              <w:t>、具备区级储备粮监管信息化平台系统，可实现在线监管。</w:t>
            </w:r>
          </w:p>
          <w:p>
            <w:pPr>
              <w:pStyle w:val="null3"/>
            </w:pPr>
            <w:r>
              <w:rPr>
                <w:rFonts w:ascii="仿宋_GB2312" w:hAnsi="仿宋_GB2312" w:cs="仿宋_GB2312" w:eastAsia="仿宋_GB2312"/>
                <w:sz w:val="21"/>
              </w:rPr>
              <w:t>四、日常维护工作：</w:t>
            </w:r>
          </w:p>
          <w:p>
            <w:pPr>
              <w:pStyle w:val="null3"/>
            </w:pPr>
            <w:r>
              <w:rPr>
                <w:rFonts w:ascii="仿宋_GB2312" w:hAnsi="仿宋_GB2312" w:cs="仿宋_GB2312" w:eastAsia="仿宋_GB2312"/>
                <w:sz w:val="21"/>
              </w:rPr>
              <w:t>1</w:t>
            </w:r>
            <w:r>
              <w:rPr>
                <w:rFonts w:ascii="仿宋_GB2312" w:hAnsi="仿宋_GB2312" w:cs="仿宋_GB2312" w:eastAsia="仿宋_GB2312"/>
                <w:sz w:val="21"/>
              </w:rPr>
              <w:t>、确保区级成品储备粮定期轮换出入库；</w:t>
            </w:r>
          </w:p>
          <w:p>
            <w:pPr>
              <w:pStyle w:val="null3"/>
            </w:pPr>
            <w:r>
              <w:rPr>
                <w:rFonts w:ascii="仿宋_GB2312" w:hAnsi="仿宋_GB2312" w:cs="仿宋_GB2312" w:eastAsia="仿宋_GB2312"/>
                <w:sz w:val="21"/>
              </w:rPr>
              <w:t>2</w:t>
            </w:r>
            <w:r>
              <w:rPr>
                <w:rFonts w:ascii="仿宋_GB2312" w:hAnsi="仿宋_GB2312" w:cs="仿宋_GB2312" w:eastAsia="仿宋_GB2312"/>
                <w:sz w:val="21"/>
              </w:rPr>
              <w:t>、定期对区级成品储备粮进行抽检，确保符合国家、行业质量标准；</w:t>
            </w:r>
          </w:p>
          <w:p>
            <w:pPr>
              <w:pStyle w:val="null3"/>
            </w:pPr>
            <w:r>
              <w:rPr>
                <w:rFonts w:ascii="仿宋_GB2312" w:hAnsi="仿宋_GB2312" w:cs="仿宋_GB2312" w:eastAsia="仿宋_GB2312"/>
                <w:sz w:val="21"/>
              </w:rPr>
              <w:t>3</w:t>
            </w:r>
            <w:r>
              <w:rPr>
                <w:rFonts w:ascii="仿宋_GB2312" w:hAnsi="仿宋_GB2312" w:cs="仿宋_GB2312" w:eastAsia="仿宋_GB2312"/>
                <w:sz w:val="21"/>
              </w:rPr>
              <w:t>、定期统计、分析、报送区级成品储备粮储存管理情况等。</w:t>
            </w:r>
          </w:p>
          <w:p>
            <w:pPr>
              <w:pStyle w:val="null3"/>
            </w:pPr>
            <w:r>
              <w:rPr>
                <w:rFonts w:ascii="仿宋_GB2312" w:hAnsi="仿宋_GB2312" w:cs="仿宋_GB2312" w:eastAsia="仿宋_GB2312"/>
                <w:sz w:val="21"/>
              </w:rPr>
              <w:t>五、人员要求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、配备储备成品粮专管员、管理人员及专业粮油保管人员；</w:t>
            </w:r>
          </w:p>
          <w:p>
            <w:pPr>
              <w:pStyle w:val="null3"/>
            </w:pPr>
            <w:r>
              <w:rPr>
                <w:rFonts w:ascii="仿宋_GB2312" w:hAnsi="仿宋_GB2312" w:cs="仿宋_GB2312" w:eastAsia="仿宋_GB2312"/>
                <w:sz w:val="21"/>
              </w:rPr>
              <w:t>2</w:t>
            </w:r>
            <w:r>
              <w:rPr>
                <w:rFonts w:ascii="仿宋_GB2312" w:hAnsi="仿宋_GB2312" w:cs="仿宋_GB2312" w:eastAsia="仿宋_GB2312"/>
                <w:sz w:val="21"/>
              </w:rPr>
              <w:t>、专管员负责协调储备成品粮储存轮换工作，负责贯彻储备成品粮各项管理制度并对执行情况进行监督检查；</w:t>
            </w:r>
          </w:p>
          <w:p>
            <w:pPr>
              <w:pStyle w:val="null3"/>
            </w:pPr>
            <w:r>
              <w:rPr>
                <w:rFonts w:ascii="仿宋_GB2312" w:hAnsi="仿宋_GB2312" w:cs="仿宋_GB2312" w:eastAsia="仿宋_GB2312"/>
                <w:sz w:val="21"/>
              </w:rPr>
              <w:t>3</w:t>
            </w:r>
            <w:r>
              <w:rPr>
                <w:rFonts w:ascii="仿宋_GB2312" w:hAnsi="仿宋_GB2312" w:cs="仿宋_GB2312" w:eastAsia="仿宋_GB2312"/>
                <w:sz w:val="21"/>
              </w:rPr>
              <w:t>、保管人员必须熟知个人保管的成品粮的品种、数量、质量、粮情、生产时间、各项安全防护措施等相关情况；</w:t>
            </w:r>
          </w:p>
          <w:p>
            <w:pPr>
              <w:pStyle w:val="null3"/>
            </w:pPr>
            <w:r>
              <w:rPr>
                <w:rFonts w:ascii="仿宋_GB2312" w:hAnsi="仿宋_GB2312" w:cs="仿宋_GB2312" w:eastAsia="仿宋_GB2312"/>
                <w:sz w:val="21"/>
              </w:rPr>
              <w:t>4</w:t>
            </w:r>
            <w:r>
              <w:rPr>
                <w:rFonts w:ascii="仿宋_GB2312" w:hAnsi="仿宋_GB2312" w:cs="仿宋_GB2312" w:eastAsia="仿宋_GB2312"/>
                <w:sz w:val="21"/>
              </w:rPr>
              <w:t>、管理人员要全面掌握本单位所存储备成品粮的数量、质量和轮换情况。</w:t>
            </w:r>
          </w:p>
          <w:p>
            <w:pPr>
              <w:pStyle w:val="null3"/>
            </w:pPr>
            <w:r>
              <w:rPr>
                <w:rFonts w:ascii="仿宋_GB2312" w:hAnsi="仿宋_GB2312" w:cs="仿宋_GB2312" w:eastAsia="仿宋_GB2312"/>
                <w:sz w:val="21"/>
              </w:rPr>
              <w:t>六、供应商管理要求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、供应商应当执行有关储备粮的法规、规章、标准和技术规范以及西安市储备粮管理的相关制度；供应商应当符合《西安市市级储备粮承储库点选定管理办法》要求。</w:t>
            </w:r>
          </w:p>
          <w:p>
            <w:pPr>
              <w:pStyle w:val="null3"/>
            </w:pPr>
            <w:r>
              <w:rPr>
                <w:rFonts w:ascii="仿宋_GB2312" w:hAnsi="仿宋_GB2312" w:cs="仿宋_GB2312" w:eastAsia="仿宋_GB2312"/>
                <w:sz w:val="21"/>
              </w:rPr>
              <w:t>2</w:t>
            </w:r>
            <w:r>
              <w:rPr>
                <w:rFonts w:ascii="仿宋_GB2312" w:hAnsi="仿宋_GB2312" w:cs="仿宋_GB2312" w:eastAsia="仿宋_GB2312"/>
                <w:sz w:val="21"/>
              </w:rPr>
              <w:t>、供应商具有与经营粮食的品种、数量、质量相适应的收购、储存场所及仓储设施条件，保持场所环境整洁，并与有毒有害场所以及其他污染源保持安全距离；</w:t>
            </w:r>
          </w:p>
          <w:p>
            <w:pPr>
              <w:pStyle w:val="null3"/>
            </w:pPr>
            <w:r>
              <w:rPr>
                <w:rFonts w:ascii="仿宋_GB2312" w:hAnsi="仿宋_GB2312" w:cs="仿宋_GB2312" w:eastAsia="仿宋_GB2312"/>
                <w:sz w:val="21"/>
              </w:rPr>
              <w:t>3</w:t>
            </w:r>
            <w:r>
              <w:rPr>
                <w:rFonts w:ascii="仿宋_GB2312" w:hAnsi="仿宋_GB2312" w:cs="仿宋_GB2312" w:eastAsia="仿宋_GB2312"/>
                <w:sz w:val="21"/>
              </w:rPr>
              <w:t>、供应商对储备粮实行分货位储存和管理，未经采购人同意，不得擅自变更储备粮储存地点或者货位；</w:t>
            </w:r>
          </w:p>
          <w:p>
            <w:pPr>
              <w:pStyle w:val="null3"/>
            </w:pPr>
            <w:r>
              <w:rPr>
                <w:rFonts w:ascii="仿宋_GB2312" w:hAnsi="仿宋_GB2312" w:cs="仿宋_GB2312" w:eastAsia="仿宋_GB2312"/>
                <w:sz w:val="21"/>
              </w:rPr>
              <w:t>4</w:t>
            </w:r>
            <w:r>
              <w:rPr>
                <w:rFonts w:ascii="仿宋_GB2312" w:hAnsi="仿宋_GB2312" w:cs="仿宋_GB2312" w:eastAsia="仿宋_GB2312"/>
                <w:sz w:val="21"/>
              </w:rPr>
              <w:t>、供应商要确保承储的储备粮库存账实相符、储存安全、管理规范；</w:t>
            </w:r>
          </w:p>
          <w:p>
            <w:pPr>
              <w:pStyle w:val="null3"/>
            </w:pPr>
            <w:r>
              <w:rPr>
                <w:rFonts w:ascii="仿宋_GB2312" w:hAnsi="仿宋_GB2312" w:cs="仿宋_GB2312" w:eastAsia="仿宋_GB2312"/>
                <w:sz w:val="21"/>
              </w:rPr>
              <w:t>5、供应商要执行采购人的出入库要求。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自2026年7月14日起至2029年7月13日止（合同一阶段（一年）一签。若经年终考核后，供应商上一阶段的服务不能满足采购人要求，采购人可拒绝同供应商续签）。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按季度支付，供应商履行完服务并提供贷款合同复印件及银行扣款的账户回单，经查验合格后，采购人支付上一季度服务费用。（具体支付约定以合同条款为准），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按季度支付，供应商履行完服务并提供贷款合同复印件及银行扣款的账户回单，经查验合格后，采购人支付上一季度服务费用。（具体支付约定以合同条款为准），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按季度支付，供应商履行完服务并提供贷款合同复印件及银行扣款的账户回单，经查验合格后，采购人支付上一季度服务费用。（具体支付约定以合同条款为准），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采购人按季度支付，供应商履行完服务并提供贷款合同复印件及银行扣款的账户回单，经查验合格后，采购人支付上一季度服务费用。（具体支付约定以合同条款为准），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采购人按季度支付，供应商履行完服务并提供贷款合同复印件及银行扣款的账户回单，经查验合格后，采购人支付上一季度服务费用。（具体支付约定以合同条款为准），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采购人按季度支付，供应商履行完服务并提供贷款合同复印件及银行扣款的账户回单，经查验合格后，采购人支付上一季度服务费用。（具体支付约定以合同条款为准），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采购人按季度支付，供应商履行完服务并提供贷款合同复印件及银行扣款的账户回单，经查验合格后，采购人支付上一季度服务费用。（具体支付约定以合同条款为准），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采购人按季度支付，供应商履行完服务并提供贷款合同复印件及银行扣款的账户回单，经查验合格后，采购人支付上一季度服务费用。（具体支付约定以合同条款为准），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采购人按季度支付，供应商履行完服务并提供贷款合同复印件及银行扣款的账户回单，经查验合格后，采购人支付上一季度服务费用。（具体支付约定以合同条款为准），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采购人按季度支付，供应商履行完服务并提供贷款合同复印件及银行扣款的账户回单，经查验合格后，采购人支付上一季度服务费用。（具体支付约定以合同条款为准），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采购人按季度支付，供应商履行完服务并提供贷款合同复印件及银行扣款的账户回单，经查验合格后，采购人支付上一季度服务费用。（具体支付约定以合同条款为准），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采购人按季度支付，供应商履行完服务并提供贷款合同复印件及银行扣款的账户回单，经查验合格后，采购人支付上一季度服务费用。（具体支付约定以合同条款为准），达到付款条件起15个工作日内，支付合同总金额的8.37%</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（一）按国家有关服务规范和合同规定的验收评定标准等要求进行验收。 （二）验收依据 1.本项目单一来源采购文件、响应文件； 2.合同； 3.合同签订时国家及行业现行的标准和技术规范。 4.供应商应向采购人提交项目实施过程中的所有资料，以便采购人日后管理和维护。</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违约责任（以下所述甲方指采购人，乙方指供应商）： 1. 按《中华人民共和国民法典》中的相关条款和本合同的约定执行。 2. 甲方违反合同规定拒绝验收的，应当承担由此对乙方造成的损失。 3.乙方出现下列情形，甲方有权扣减费用、单方解除合同、追偿损失： 3.1数量短少、质量不达标、账实不符，限期未整改； 3.2擅自动用、挪用、串换、变卖储备粮； 3.3存在重大安全隐患或发生安全、储粮责任事故； 3.4拒绝、阻挠监管或弄虚作假； 3.5储备资质失效、丧失承储能力； 3.6应急动用指令执行不力，造成严重后果。 4. 因乙方原因造成的失误、乙方作出违约行为或乙方工作未通过甲方考核的，乙方有权每次扣除合同总价的1%，该违约金不足甲方实际损失的，乙方应全额补足。 5.如因乙方原因，对甲方造成经济损失或不良社会影响，乙方负责消除不良影响并自行承担由此发生的费用，甲方有权视情况终止合同，乙方有义务承担赔偿责任。 6.因乙方原因导致终止合同的，乙方须赔偿甲方全部损失（含粮食价款、处置费、应急保障费等），并支付合同总金额20% 违约金。 7.乙方擅自违约处置储备粮，按粮食价值双倍赔偿。 解决争议办法：合同执行中发生争议的，当事人双方应协商解决。协商达不成一致时，可向西安仲裁委员会申请仲裁。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3.4.1合同价款为完成本项目采购文件中所提出的工作范围及要求的全部内容，并达到国家及采购人验收标准而产生的所有费用，任何错报、漏报由供应商自行负责。 3.4.2本项目所属行业：仓储业，根据《工业和信息化部、国家统计局、国家发展和改革委员会、财政部关于印发中小企业划型标准规定的通知》（工信部联企业〔2011〕300号）规定的划分标准。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3.4.3成交人领取成交通知书时须向代理机构提交纸质版投标文件：正本壹份、副本贰份、电子版（U盘）贰份。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供应商应授权合法的人员参加单一来源采购全过程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响应方案说明.docx 中小企业声明函 商务应答表 服务内容及服务要求应答表 报价表 资格证明文件.docx 供应商承诺书.docx 响应文件封面 残疾人福利性单位声明函 标的清单 响应函 首次报价表.docx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供应商投标报价有可能影响质量或者不能诚信履约的，评标委员会应当要求其在合理的时间内在项目电子化交易系统中上传说明材料，必要时提交相关证明材料。供应商提交的相关证明材料，应当加盖供应商（法定名称）电子印章，在评标委员会要求的时间内通过项目电子化交易系统进行提交，否则提交的相关证明材料无效。供应商不能证明其响应报价合理性的，评标委员会应当将其响应文件作为无效处理。</w:t>
            </w:r>
          </w:p>
        </w:tc>
        <w:tc>
          <w:tcPr>
            <w:tcW w:type="dxa" w:w="1661"/>
          </w:tcPr>
          <w:p>
            <w:pPr>
              <w:pStyle w:val="null3"/>
            </w:pPr>
            <w:r>
              <w:rPr>
                <w:rFonts w:ascii="仿宋_GB2312" w:hAnsi="仿宋_GB2312" w:cs="仿宋_GB2312" w:eastAsia="仿宋_GB2312"/>
              </w:rPr>
              <w:t>标的清单 报价表 首次报价表.docx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响应方案说明.docx 中小企业声明函 商务应答表 服务内容及服务要求应答表 报价表 资格证明文件.docx 供应商承诺书.docx 响应文件封面 残疾人福利性单位声明函 标的清单 响应函 首次报价表.docx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协商响应内容无重大缺项、漏项</w:t>
            </w:r>
          </w:p>
        </w:tc>
        <w:tc>
          <w:tcPr>
            <w:tcW w:type="dxa" w:w="1661"/>
          </w:tcPr>
          <w:p>
            <w:pPr>
              <w:pStyle w:val="null3"/>
            </w:pPr>
            <w:r>
              <w:rPr>
                <w:rFonts w:ascii="仿宋_GB2312" w:hAnsi="仿宋_GB2312" w:cs="仿宋_GB2312" w:eastAsia="仿宋_GB2312"/>
              </w:rPr>
              <w:t>响应方案说明.docx 中小企业声明函 商务应答表 服务内容及服务要求应答表 报价表 资格证明文件.docx 供应商承诺书.docx 响应文件封面 残疾人福利性单位声明函 标的清单 响应函 首次报价表.docx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响应文件的签署、加盖印章有效</w:t>
            </w:r>
          </w:p>
        </w:tc>
        <w:tc>
          <w:tcPr>
            <w:tcW w:type="dxa" w:w="1661"/>
          </w:tcPr>
          <w:p>
            <w:pPr>
              <w:pStyle w:val="null3"/>
            </w:pPr>
            <w:r>
              <w:rPr>
                <w:rFonts w:ascii="仿宋_GB2312" w:hAnsi="仿宋_GB2312" w:cs="仿宋_GB2312" w:eastAsia="仿宋_GB2312"/>
              </w:rPr>
              <w:t>响应方案说明.docx 中小企业声明函 商务应答表 服务内容及服务要求应答表 报价表 资格证明文件.docx 供应商承诺书.docx 响应文件封面 残疾人福利性单位声明函 标的清单 响应函 首次报价表.docx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协商响应报价未超过采购预算；协商响应有效期符合单一来源采购文件的要求</w:t>
            </w:r>
          </w:p>
        </w:tc>
        <w:tc>
          <w:tcPr>
            <w:tcW w:type="dxa" w:w="1661"/>
          </w:tcPr>
          <w:p>
            <w:pPr>
              <w:pStyle w:val="null3"/>
            </w:pPr>
            <w:r>
              <w:rPr>
                <w:rFonts w:ascii="仿宋_GB2312" w:hAnsi="仿宋_GB2312" w:cs="仿宋_GB2312" w:eastAsia="仿宋_GB2312"/>
              </w:rPr>
              <w:t>标的清单 报价表 响应函 首次报价表.docx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