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4FD3"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60" w:lineRule="atLeast"/>
        <w:ind w:left="0" w:right="0"/>
        <w:jc w:val="center"/>
        <w:outlineLvl w:val="1"/>
        <w:rPr>
          <w:rFonts w:hint="eastAsia" w:ascii="仿宋" w:hAnsi="仿宋" w:eastAsia="仿宋" w:cs="仿宋"/>
          <w:b/>
          <w:bCs/>
          <w:sz w:val="40"/>
          <w:szCs w:val="44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snapToGrid w:val="0"/>
          <w:kern w:val="2"/>
          <w:sz w:val="40"/>
          <w:szCs w:val="44"/>
          <w:shd w:val="clear" w:fill="FFFFFF"/>
          <w:lang w:val="en-US" w:eastAsia="zh-CN" w:bidi="ar"/>
        </w:rPr>
        <w:t>响应方案说明</w:t>
      </w:r>
    </w:p>
    <w:p w14:paraId="7A95881E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04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1、供应商企业简介；</w:t>
      </w:r>
    </w:p>
    <w:p w14:paraId="10C7A83A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04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2、存储场地及拟投入设施设备情况；</w:t>
      </w:r>
    </w:p>
    <w:p w14:paraId="2523CCE2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40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3、拟投人员情况</w:t>
      </w: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；</w:t>
      </w:r>
    </w:p>
    <w:p w14:paraId="6AE8263C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04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4、成品储备粮储备服务方案；</w:t>
      </w:r>
    </w:p>
    <w:p w14:paraId="1B14ED37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04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5、应急保障方案；</w:t>
      </w:r>
    </w:p>
    <w:p w14:paraId="232B631C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804" w:firstLineChars="300"/>
        <w:jc w:val="both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6、供应商认为有必要提供而增加其竞争性的其它资料。</w:t>
      </w:r>
    </w:p>
    <w:p w14:paraId="4FCEC169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snapToGrid w:val="0"/>
          <w:kern w:val="2"/>
          <w:sz w:val="40"/>
          <w:szCs w:val="44"/>
          <w:lang w:val="en-US" w:eastAsia="zh-CN" w:bidi="ar"/>
        </w:rPr>
        <w:br w:type="textWrapping"/>
      </w:r>
    </w:p>
    <w:p w14:paraId="0073496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5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2026-06-10T02:10:50Z</dcterms:created>
  <dc:creator>ASUS</dc:creator>
  <cp:lastModifiedBy>七安</cp:lastModifiedBy>
  <dcterms:modified xsi:type="dcterms:W3CDTF">2026-06-10T02:10:53Z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eyJoZGlkIjoiYTk0MTJmMTFlNzYzY2Q1NjJlYjE3NjcyZTA4OTQwM2MiLCJ1c2VySWQiOiI2ODY0MTEyNzMifQ==</vt:lpwstr>
  </property>
  <property fmtid="{D5CDD505-2E9C-101B-9397-08002B2CF9AE}" pid="4" name="ICV">
    <vt:lpwstr>6282922A97B848E5B6D79E6D3E8E6AF4_12</vt:lpwstr>
  </property>
</Properties>
</file>