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版本号：2026-HXCT-177.1B120260825001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2026年度全省不动产登记优化营商环境队伍作风建设提升（组队参加全国第二届不动产登记职业技能竞赛项目）(二次)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2026-HXCT-177.1B1</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2026年度全省不动产登记优化营商环境队伍作风建设提升（组队参加全国第二届不动产登记职业技能竞赛项目）(二次)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2026-HXCT-177.1B1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2026年度全省不动产登记优化营商环境队伍作风建设提升（组队参加全国第二届不动产登记职业技能竞赛项目）(二次)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2026年度全省不动产登记优化营商环境队伍作风建设提升（组队参加全国第二届不动产登记职业技能竞赛）具体要求详见竞争性磋商文件。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采购包1（2026年度全省不动产登记优化营商环境队伍作风建设提升——组队参加全国第二届不动产登记职业技能竞赛项目）：属于专门面向小微企业采购。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为具有独立承担民事责任能力的法人或其他组织，提供法人或者其他组织的营业执照等证明文件，自然人的身份证明。供应商需在项目电子化交易系统中按要求提供相关证明材料并进行电子签章。</w:t>
      </w:r>
    </w:p>
    <w:p>
      <w:pPr>
        <w:pStyle w:val="null3"/>
      </w:pPr>
      <w:r>
        <w:rPr>
          <w:rFonts w:ascii="仿宋_GB2312" w:hAnsi="仿宋_GB2312" w:cs="仿宋_GB2312" w:eastAsia="仿宋_GB2312"/>
        </w:rPr>
        <w:t>2、法定代表人授权书/法定代表人身份证明：法定代表人授权书/法定代表人身份证明：法定代表人参加磋商的，须出具法定代表人身份证明书及身份证。法定代表人授权委托人参加磋商的，须出具法定代表人授权委托书及授权委托人身份证并提供近一年内任意一个月社保缴纳证明材料；供应商需在项目电子化交易系统中提供“法定代表人身份证明书/法定代表人授权委托书”并进行电子签章。</w:t>
      </w:r>
    </w:p>
    <w:p>
      <w:pPr>
        <w:pStyle w:val="null3"/>
      </w:pPr>
      <w:r>
        <w:rPr>
          <w:rFonts w:ascii="仿宋_GB2312" w:hAnsi="仿宋_GB2312" w:cs="仿宋_GB2312" w:eastAsia="仿宋_GB2312"/>
        </w:rPr>
        <w:t>3、本项目专门面向小型、微型企业采购：本项目专门面向小型、微型企业采购本项目，供应商应为小型、微型企业或监狱企业或残疾人福利性单位。供应商为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4、财务状况报告：提供经审计的2025年度的财务报告或提交磋商响应文件截止时间前六个月内其基本账户开户银行出 具的资信证明；其他组织和自然人提供银行出具的资信证明或财务报表；供应商需在项目电子化交易系统中按要求提供相关证 明材料并进行电子签章。</w:t>
      </w:r>
    </w:p>
    <w:p>
      <w:pPr>
        <w:pStyle w:val="null3"/>
      </w:pPr>
      <w:r>
        <w:rPr>
          <w:rFonts w:ascii="仿宋_GB2312" w:hAnsi="仿宋_GB2312" w:cs="仿宋_GB2312" w:eastAsia="仿宋_GB2312"/>
        </w:rPr>
        <w:t>5、税收缴纳证明：提供递交响应文件截止之日前一年内不少于三个月的依法缴纳税收的相关凭据（时间以税款所属日期为准），依法免税或无须缴纳税收的供应商，应提供相应证明文件；供应商需在项目电子化交易系统中提供相关证明文件并进行电子签章。</w:t>
      </w:r>
    </w:p>
    <w:p>
      <w:pPr>
        <w:pStyle w:val="null3"/>
      </w:pPr>
      <w:r>
        <w:rPr>
          <w:rFonts w:ascii="仿宋_GB2312" w:hAnsi="仿宋_GB2312" w:cs="仿宋_GB2312" w:eastAsia="仿宋_GB2312"/>
        </w:rPr>
        <w:t>6、社会保障资金缴纳证明：提供递交响应文件截止之日前一年内不少于三个月的社会保障资金缴纳证明，依法不需要缴纳社会保障资金的供应商应提供相关文件证明；供应商需在项目电子化交易系统中提供相关证明文件并进行电子签章。</w:t>
      </w:r>
    </w:p>
    <w:p>
      <w:pPr>
        <w:pStyle w:val="null3"/>
      </w:pPr>
      <w:r>
        <w:rPr>
          <w:rFonts w:ascii="仿宋_GB2312" w:hAnsi="仿宋_GB2312" w:cs="仿宋_GB2312" w:eastAsia="仿宋_GB2312"/>
        </w:rPr>
        <w:t>7、前三年无重大违法记录声明：参加政府采购活动前三年内，在经营活动中没有重大违法记录：参加政府采购活动前三年内，在经营活动中没有重大违法记录提供书面声明；供应商需在项目电子化交易系统中按要求提供相关证明材料 并进行电子签章。</w:t>
      </w:r>
    </w:p>
    <w:p>
      <w:pPr>
        <w:pStyle w:val="null3"/>
      </w:pPr>
      <w:r>
        <w:rPr>
          <w:rFonts w:ascii="仿宋_GB2312" w:hAnsi="仿宋_GB2312" w:cs="仿宋_GB2312" w:eastAsia="仿宋_GB2312"/>
        </w:rPr>
        <w:t>8、履行合同所必需的设备和专业技术能力：具备履行合同所必需的设备和专业技术能力的证明材料；供应商需在项目电子化交易系统中提供承诺并进行电子签章。</w:t>
      </w:r>
    </w:p>
    <w:p>
      <w:pPr>
        <w:pStyle w:val="null3"/>
      </w:pPr>
      <w:r>
        <w:rPr>
          <w:rFonts w:ascii="仿宋_GB2312" w:hAnsi="仿宋_GB2312" w:cs="仿宋_GB2312" w:eastAsia="仿宋_GB2312"/>
        </w:rPr>
        <w:t>9、信用查询：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p>
      <w:pPr>
        <w:pStyle w:val="null3"/>
      </w:pPr>
      <w:r>
        <w:rPr>
          <w:rFonts w:ascii="仿宋_GB2312" w:hAnsi="仿宋_GB2312" w:cs="仿宋_GB2312" w:eastAsia="仿宋_GB2312"/>
        </w:rPr>
        <w:t>10、企业关联关系：单位负责人为同一人或者存在直接控股、管理关系的不同供应商，不得参加同一合同项下的采购活动；为本项目提供整体设计、规范编制或者项目管理、监理、检测等服务的供应商，不得再参加该采购项目的其他采购活动；供应商需在项目电子化交易系统中提供承诺并进行电子签章。</w:t>
      </w:r>
    </w:p>
    <w:p>
      <w:pPr>
        <w:pStyle w:val="null3"/>
      </w:pPr>
      <w:r>
        <w:rPr>
          <w:rFonts w:ascii="仿宋_GB2312" w:hAnsi="仿宋_GB2312" w:cs="仿宋_GB2312" w:eastAsia="仿宋_GB2312"/>
        </w:rPr>
        <w:t>11、本项目不接受联合体磋商：本项目不接受联合体磋商；供应商需在项目电子化交易系统中提供相应的证明文件并进行电子签章。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029-84333093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房文刚、来昭萌、薛浩、薛梅梅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029-88010607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五(5)个日历日内，参照国家计委关于印发《招标代理服务收费管理暂行办法》的通知（计价格〔2002〕1980号）和发改办价格〔2003〕857号规定，由中标人在领取中标通知书时向代理机构缴纳代理服务费。 开户名称： 华夏城投项目管理有限公司 开户银行： 中国工商银行股份有限公司延安南关支行 银行账号： 2609080309024803489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⼆、供应商将在采购项⽬实施过程中采⽤⾃有或者第三⽅知识成果的，采购项⽬涉及采购标的的知识产权相关事宜由采购⼈结合项⽬实际⾃主确认或协商约定，具体如下： 1、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 2、供应商将在采购项⽬实施过程中采⽤⾃有或者第三⽅知识成果的，使⽤该知识成果后，供应商需提供开发接⼝和开发⼿册等技术资料，并承诺提供⽆限期⽀持，采购⼈享有 使⽤权（含采购⼈委托第三⽅在该项⽬后续开发的使⽤权）。 3、如采⽤供应商所不拥有的知识产权，则在报价中必须包括合法使⽤该知识产权的相关费⽤。 4、构成本竞争性磋商⽂件的各组成部分，未经采购⼈同意，供应商不得擅⾃复印或⽤于⾮本磋商项⽬所需的其他⽬的。 三、如采⽤供应商所不拥有的知识产权，则在报价中必须包括合法使⽤该知识产权的相关费⽤。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联系人：房文刚、薛梅梅</w:t>
      </w:r>
    </w:p>
    <w:p>
      <w:pPr>
        <w:pStyle w:val="null3"/>
      </w:pPr>
      <w:r>
        <w:rPr>
          <w:rFonts w:ascii="仿宋_GB2312" w:hAnsi="仿宋_GB2312" w:cs="仿宋_GB2312" w:eastAsia="仿宋_GB2312"/>
        </w:rPr>
        <w:t>联系电话：029-88010607</w:t>
      </w:r>
    </w:p>
    <w:p>
      <w:pPr>
        <w:pStyle w:val="null3"/>
      </w:pPr>
      <w:r>
        <w:rPr>
          <w:rFonts w:ascii="仿宋_GB2312" w:hAnsi="仿宋_GB2312" w:cs="仿宋_GB2312" w:eastAsia="仿宋_GB2312"/>
        </w:rPr>
        <w:t>地址：西安市经济技术开发区凤城7路长和国际D座26楼</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2026年度全省不动产登记优化营商环境队伍作风建设提升（组队参加全国第二届不动产登记职业技能竞赛）具体要求详见竞争性磋商文件。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2026年度全省不动产登记优化营商环境队伍作风建设提升（组队参加全国第二届不动产登记职业技能竞赛项目）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标的名称：2026年度全省不动产登记优化营商环境队伍作风建设提升（组队参加全国第二届不动产登记职业技能竞赛项目）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1"/>
                <w:color w:val="000000"/>
              </w:rPr>
              <w:t>一、项目背景</w:t>
            </w:r>
          </w:p>
          <w:p>
            <w:pPr>
              <w:pStyle w:val="null3"/>
              <w:ind w:firstLine="420"/>
              <w:jc w:val="both"/>
            </w:pPr>
            <w:r>
              <w:rPr>
                <w:rFonts w:ascii="仿宋_GB2312" w:hAnsi="仿宋_GB2312" w:cs="仿宋_GB2312" w:eastAsia="仿宋_GB2312"/>
                <w:sz w:val="21"/>
                <w:color w:val="000000"/>
              </w:rPr>
              <w:t>2026年全省不动产登记工作认真落实全国、全省自然资源工作会议部署，紧紧围绕“维护资源资产权益”和“深化产权制度改革”，持续深化不动产登记队伍作风常态化建设。</w:t>
            </w:r>
          </w:p>
          <w:p>
            <w:pPr>
              <w:pStyle w:val="null3"/>
              <w:ind w:firstLine="420"/>
              <w:jc w:val="both"/>
            </w:pPr>
            <w:r>
              <w:rPr>
                <w:rFonts w:ascii="仿宋_GB2312" w:hAnsi="仿宋_GB2312" w:cs="仿宋_GB2312" w:eastAsia="仿宋_GB2312"/>
                <w:sz w:val="21"/>
                <w:color w:val="000000"/>
              </w:rPr>
              <w:t>积极组织参加全国不动产登记职业技能竞赛，以赛促学、以赛促练、以赛促干，营造比学赶超浓厚氛围，</w:t>
            </w:r>
            <w:r>
              <w:rPr>
                <w:rFonts w:ascii="仿宋_GB2312" w:hAnsi="仿宋_GB2312" w:cs="仿宋_GB2312" w:eastAsia="仿宋_GB2312"/>
                <w:sz w:val="21"/>
                <w:color w:val="000000"/>
              </w:rPr>
              <w:t>通过培训、竞赛与作风建设深度融合，打造政治合格、业务过硬、作风优良、服务高效的不动产登记铁军，努力做到保护产权更加有力、便民利企更加高效、数治转型更加有为、队伍作风更加过硬，为服务全省高质量发展和自然资源工作大局作出积极贡献。</w:t>
            </w:r>
          </w:p>
          <w:p>
            <w:pPr>
              <w:pStyle w:val="null3"/>
              <w:ind w:firstLine="420"/>
              <w:jc w:val="both"/>
            </w:pPr>
            <w:r>
              <w:rPr>
                <w:rFonts w:ascii="仿宋_GB2312" w:hAnsi="仿宋_GB2312" w:cs="仿宋_GB2312" w:eastAsia="仿宋_GB2312"/>
                <w:sz w:val="21"/>
                <w:color w:val="000000"/>
              </w:rPr>
              <w:t>二、主要采购内容</w:t>
            </w:r>
          </w:p>
          <w:p>
            <w:pPr>
              <w:pStyle w:val="null3"/>
              <w:ind w:firstLine="420"/>
              <w:jc w:val="both"/>
            </w:pPr>
            <w:r>
              <w:rPr>
                <w:rFonts w:ascii="仿宋_GB2312" w:hAnsi="仿宋_GB2312" w:cs="仿宋_GB2312" w:eastAsia="仿宋_GB2312"/>
                <w:sz w:val="21"/>
                <w:color w:val="000000"/>
              </w:rPr>
              <w:t>按照自然资源部关于举办全国第二届不动产登记职业技能竞赛活动的要求，持续深化不动产登记队伍建设，组队参加第二届全国竞赛活动，展现陕西不动产登记队伍形象，充分发挥示范引领作用。具体包括组织实施队伍选拔、集中培训、模拟测试、队伍形象包装、组织参赛等各项执行工作，并配合做好相关宣传工作。</w:t>
            </w:r>
          </w:p>
          <w:p>
            <w:pPr>
              <w:pStyle w:val="null3"/>
              <w:ind w:firstLine="420"/>
              <w:jc w:val="both"/>
            </w:pPr>
            <w:r>
              <w:rPr>
                <w:rFonts w:ascii="仿宋_GB2312" w:hAnsi="仿宋_GB2312" w:cs="仿宋_GB2312" w:eastAsia="仿宋_GB2312"/>
                <w:sz w:val="21"/>
                <w:color w:val="000000"/>
              </w:rPr>
              <w:t>三、技术要求</w:t>
            </w:r>
          </w:p>
          <w:p>
            <w:pPr>
              <w:pStyle w:val="null3"/>
              <w:ind w:firstLine="420"/>
              <w:jc w:val="both"/>
            </w:pPr>
            <w:r>
              <w:rPr>
                <w:rFonts w:ascii="仿宋_GB2312" w:hAnsi="仿宋_GB2312" w:cs="仿宋_GB2312" w:eastAsia="仿宋_GB2312"/>
                <w:sz w:val="21"/>
                <w:color w:val="000000"/>
              </w:rPr>
              <w:t>1.按照采购人需求提供项目全流程策划及执行服务，包含项目策划全案、队伍选拔方案、培训计划、模拟测试方案及试题系统、宣传方案、参赛资料筹备、形象包装设计、组织参赛等工作。</w:t>
            </w:r>
          </w:p>
          <w:p>
            <w:pPr>
              <w:pStyle w:val="null3"/>
              <w:ind w:firstLine="420"/>
              <w:jc w:val="both"/>
            </w:pPr>
            <w:r>
              <w:rPr>
                <w:rFonts w:ascii="仿宋_GB2312" w:hAnsi="仿宋_GB2312" w:cs="仿宋_GB2312" w:eastAsia="仿宋_GB2312"/>
                <w:sz w:val="21"/>
                <w:color w:val="000000"/>
              </w:rPr>
              <w:t>2.服务能力要求内容：服务商需熟悉技能竞赛相关事项，具备统筹协调能力，可提供队伍选拔组织、集中培训实施、专业试题系统搭建、全流程模拟测试组织、项目全周期管控、参赛人员统筹调度、宣传素材创意制作等全链条专业技术支持，保障项目各环节有序推进。</w:t>
            </w:r>
          </w:p>
          <w:p>
            <w:pPr>
              <w:pStyle w:val="null3"/>
              <w:ind w:firstLine="420"/>
              <w:jc w:val="both"/>
            </w:pPr>
            <w:r>
              <w:rPr>
                <w:rFonts w:ascii="仿宋_GB2312" w:hAnsi="仿宋_GB2312" w:cs="仿宋_GB2312" w:eastAsia="仿宋_GB2312"/>
                <w:sz w:val="21"/>
                <w:color w:val="000000"/>
              </w:rPr>
              <w:t>3.队伍选拔：在全省不动产登记队伍中，组织选拔参与全国第二届不动产登记职业技能竞赛的参赛队伍，根据赛事规程和我省实际情况，编制详细的选拔实施方案，并组织评选拔工作。</w:t>
            </w:r>
          </w:p>
          <w:p>
            <w:pPr>
              <w:pStyle w:val="null3"/>
              <w:ind w:firstLine="420"/>
              <w:jc w:val="both"/>
            </w:pPr>
            <w:r>
              <w:rPr>
                <w:rFonts w:ascii="仿宋_GB2312" w:hAnsi="仿宋_GB2312" w:cs="仿宋_GB2312" w:eastAsia="仿宋_GB2312"/>
                <w:sz w:val="21"/>
                <w:color w:val="000000"/>
              </w:rPr>
              <w:t>4.集中培训：提供集训场地、设备及耗材，安排参赛队伍食宿等。根据全国大赛规程和入选队伍的实际水平，编制针对性集训方案。包含</w:t>
            </w:r>
            <w:r>
              <w:rPr>
                <w:rFonts w:ascii="仿宋_GB2312" w:hAnsi="仿宋_GB2312" w:cs="仿宋_GB2312" w:eastAsia="仿宋_GB2312"/>
                <w:sz w:val="21"/>
                <w:color w:val="000000"/>
              </w:rPr>
              <w:t>专业技能培训、代表展示培训、礼仪培训等，制定</w:t>
            </w:r>
            <w:r>
              <w:rPr>
                <w:rFonts w:ascii="仿宋_GB2312" w:hAnsi="仿宋_GB2312" w:cs="仿宋_GB2312" w:eastAsia="仿宋_GB2312"/>
                <w:sz w:val="21"/>
                <w:color w:val="000000"/>
              </w:rPr>
              <w:t>集训阶段划分及各阶段训练目标、每日训练计划与阶段性测评安排、技术难点攻关方案等，并组织专家对重点赛事环节进行专项指导。</w:t>
            </w:r>
          </w:p>
          <w:p>
            <w:pPr>
              <w:pStyle w:val="null3"/>
              <w:ind w:firstLine="420"/>
              <w:jc w:val="both"/>
            </w:pPr>
            <w:r>
              <w:rPr>
                <w:rFonts w:ascii="仿宋_GB2312" w:hAnsi="仿宋_GB2312" w:cs="仿宋_GB2312" w:eastAsia="仿宋_GB2312"/>
                <w:sz w:val="21"/>
                <w:color w:val="000000"/>
              </w:rPr>
              <w:t>5.模拟测试：采购专业试题系统，组织不少于3次全流程模拟赛，严格按照全国大赛规则执行。</w:t>
            </w:r>
          </w:p>
          <w:p>
            <w:pPr>
              <w:pStyle w:val="null3"/>
              <w:ind w:firstLine="420"/>
              <w:jc w:val="both"/>
            </w:pPr>
            <w:r>
              <w:rPr>
                <w:rFonts w:ascii="仿宋_GB2312" w:hAnsi="仿宋_GB2312" w:cs="仿宋_GB2312" w:eastAsia="仿宋_GB2312"/>
                <w:sz w:val="21"/>
                <w:color w:val="000000"/>
              </w:rPr>
              <w:t>6.队伍形象包装：围绕"陕西代表队"形象，设计统一视觉识别系统（含队服、徽章等），塑造专业自信、团结拼搏的队伍形象，确保视觉与精神面貌高度统一，具备全国赛场辨识度。</w:t>
            </w:r>
          </w:p>
          <w:p>
            <w:pPr>
              <w:pStyle w:val="null3"/>
              <w:ind w:firstLine="420"/>
              <w:jc w:val="both"/>
            </w:pPr>
            <w:r>
              <w:rPr>
                <w:rFonts w:ascii="仿宋_GB2312" w:hAnsi="仿宋_GB2312" w:cs="仿宋_GB2312" w:eastAsia="仿宋_GB2312"/>
                <w:sz w:val="21"/>
                <w:color w:val="000000"/>
              </w:rPr>
              <w:t>7.宣传素材和参赛资料准备：收集整理全省不动产登记工作亮点、改革成效等影像及文字资料，制作队伍宣传片及选手风采展示资料（包含文字介绍、照片等），代表展示环节文稿及背景视频等资料筹备。</w:t>
            </w:r>
          </w:p>
          <w:p>
            <w:pPr>
              <w:pStyle w:val="null3"/>
              <w:ind w:firstLine="420"/>
              <w:jc w:val="both"/>
            </w:pPr>
            <w:r>
              <w:rPr>
                <w:rFonts w:ascii="仿宋_GB2312" w:hAnsi="仿宋_GB2312" w:cs="仿宋_GB2312" w:eastAsia="仿宋_GB2312"/>
                <w:sz w:val="21"/>
                <w:color w:val="000000"/>
              </w:rPr>
              <w:t>四、执行团队人员要求</w:t>
            </w:r>
          </w:p>
          <w:p>
            <w:pPr>
              <w:pStyle w:val="null3"/>
              <w:ind w:firstLine="420"/>
              <w:jc w:val="both"/>
            </w:pPr>
            <w:r>
              <w:rPr>
                <w:rFonts w:ascii="仿宋_GB2312" w:hAnsi="仿宋_GB2312" w:cs="仿宋_GB2312" w:eastAsia="仿宋_GB2312"/>
                <w:sz w:val="21"/>
                <w:color w:val="000000"/>
              </w:rPr>
              <w:t>1.服务商需具备专业的策划、设计、技术及执行团队。团队人员未经采购人同意不得随意更换。确需更换的，替换人员能力水平不得低于原定人员。</w:t>
            </w:r>
          </w:p>
          <w:p>
            <w:pPr>
              <w:pStyle w:val="null3"/>
              <w:ind w:firstLine="420"/>
              <w:jc w:val="both"/>
            </w:pPr>
            <w:r>
              <w:rPr>
                <w:rFonts w:ascii="仿宋_GB2312" w:hAnsi="仿宋_GB2312" w:cs="仿宋_GB2312" w:eastAsia="仿宋_GB2312"/>
                <w:sz w:val="21"/>
                <w:color w:val="000000"/>
              </w:rPr>
              <w:t>2.项目经理要求：本科及以上学历，具备5年以上项目管理经验，有同类项目服务经历。</w:t>
            </w:r>
          </w:p>
          <w:p>
            <w:pPr>
              <w:pStyle w:val="null3"/>
              <w:ind w:firstLine="420"/>
              <w:jc w:val="both"/>
            </w:pPr>
            <w:r>
              <w:rPr>
                <w:rFonts w:ascii="仿宋_GB2312" w:hAnsi="仿宋_GB2312" w:cs="仿宋_GB2312" w:eastAsia="仿宋_GB2312"/>
                <w:sz w:val="21"/>
                <w:color w:val="000000"/>
              </w:rPr>
              <w:t>3.策划人员要求：具备需具备5年以上工作经验，具备相关专业学历，曾策划或参与过同类型项目。</w:t>
            </w:r>
          </w:p>
          <w:p>
            <w:pPr>
              <w:pStyle w:val="null3"/>
              <w:ind w:firstLine="420"/>
              <w:jc w:val="both"/>
            </w:pPr>
            <w:r>
              <w:rPr>
                <w:rFonts w:ascii="仿宋_GB2312" w:hAnsi="仿宋_GB2312" w:cs="仿宋_GB2312" w:eastAsia="仿宋_GB2312"/>
                <w:sz w:val="21"/>
                <w:color w:val="000000"/>
              </w:rPr>
              <w:t>4.设计人员要求：需具备5年以上工作经验，具备相关专业学历。</w:t>
            </w:r>
          </w:p>
          <w:p>
            <w:pPr>
              <w:pStyle w:val="null3"/>
              <w:ind w:firstLine="420"/>
              <w:jc w:val="both"/>
            </w:pPr>
            <w:r>
              <w:rPr>
                <w:rFonts w:ascii="仿宋_GB2312" w:hAnsi="仿宋_GB2312" w:cs="仿宋_GB2312" w:eastAsia="仿宋_GB2312"/>
                <w:sz w:val="21"/>
                <w:color w:val="000000"/>
              </w:rPr>
              <w:t>5.后勤保障组要求：不少于2名，负责场地、食宿、交通、安全等综合保障。</w:t>
            </w:r>
          </w:p>
          <w:p>
            <w:pPr>
              <w:pStyle w:val="null3"/>
              <w:ind w:firstLine="420"/>
              <w:jc w:val="both"/>
            </w:pPr>
            <w:r>
              <w:rPr>
                <w:rFonts w:ascii="仿宋_GB2312" w:hAnsi="仿宋_GB2312" w:cs="仿宋_GB2312" w:eastAsia="仿宋_GB2312"/>
                <w:sz w:val="21"/>
                <w:color w:val="000000"/>
              </w:rPr>
              <w:t>五、成果要求</w:t>
            </w:r>
          </w:p>
          <w:p>
            <w:pPr>
              <w:pStyle w:val="null3"/>
              <w:ind w:firstLine="420"/>
              <w:jc w:val="both"/>
            </w:pPr>
            <w:r>
              <w:rPr>
                <w:rFonts w:ascii="仿宋_GB2312" w:hAnsi="仿宋_GB2312" w:cs="仿宋_GB2312" w:eastAsia="仿宋_GB2312"/>
                <w:sz w:val="21"/>
                <w:color w:val="000000"/>
              </w:rPr>
              <w:t>1.交付全套过程文档及音频、视频、照片、设计图等资料，要求资料完整、归档规范。</w:t>
            </w:r>
          </w:p>
          <w:p>
            <w:pPr>
              <w:pStyle w:val="null3"/>
              <w:ind w:firstLine="420"/>
              <w:jc w:val="both"/>
            </w:pPr>
            <w:r>
              <w:rPr>
                <w:rFonts w:ascii="仿宋_GB2312" w:hAnsi="仿宋_GB2312" w:cs="仿宋_GB2312" w:eastAsia="仿宋_GB2312"/>
                <w:sz w:val="21"/>
                <w:color w:val="000000"/>
              </w:rPr>
              <w:t>2.格式要求：视频短片采用MP4格式，通用高清、无加密、无特殊格式。分辨率1080x1920，画面无模糊，清晰稳定，无水印、字幕完整清晰，人声清晰、无杂音。照片或图片为JPEG格式，文字资料电子稿为WORD/PDF格式。</w:t>
            </w:r>
          </w:p>
          <w:p>
            <w:pPr>
              <w:pStyle w:val="null3"/>
              <w:ind w:firstLine="420"/>
              <w:jc w:val="both"/>
            </w:pPr>
            <w:r>
              <w:rPr>
                <w:rFonts w:ascii="仿宋_GB2312" w:hAnsi="仿宋_GB2312" w:cs="仿宋_GB2312" w:eastAsia="仿宋_GB2312"/>
                <w:sz w:val="21"/>
                <w:color w:val="000000"/>
              </w:rPr>
              <w:t>3.交付时间/服务期限：自合同签订之日起，至活动组织完成，并经采购人验收完成为止。</w:t>
            </w:r>
          </w:p>
          <w:p>
            <w:pPr>
              <w:pStyle w:val="null3"/>
              <w:ind w:firstLine="420"/>
              <w:jc w:val="both"/>
            </w:pPr>
            <w:r>
              <w:rPr>
                <w:rFonts w:ascii="仿宋_GB2312" w:hAnsi="仿宋_GB2312" w:cs="仿宋_GB2312" w:eastAsia="仿宋_GB2312"/>
                <w:sz w:val="21"/>
                <w:color w:val="000000"/>
              </w:rPr>
              <w:t>六、保密要求</w:t>
            </w:r>
          </w:p>
          <w:p>
            <w:pPr>
              <w:pStyle w:val="null3"/>
              <w:ind w:firstLine="420"/>
              <w:jc w:val="both"/>
            </w:pPr>
            <w:r>
              <w:rPr>
                <w:rFonts w:ascii="仿宋_GB2312" w:hAnsi="仿宋_GB2312" w:cs="仿宋_GB2312" w:eastAsia="仿宋_GB2312"/>
                <w:sz w:val="21"/>
                <w:color w:val="000000"/>
              </w:rPr>
              <w:t>1.供应商及其项目团队成员须签署保密协议；</w:t>
            </w:r>
          </w:p>
          <w:p>
            <w:pPr>
              <w:pStyle w:val="null3"/>
              <w:ind w:firstLine="420"/>
              <w:jc w:val="both"/>
            </w:pPr>
            <w:r>
              <w:rPr>
                <w:rFonts w:ascii="仿宋_GB2312" w:hAnsi="仿宋_GB2312" w:cs="仿宋_GB2312" w:eastAsia="仿宋_GB2312"/>
                <w:sz w:val="21"/>
                <w:color w:val="000000"/>
              </w:rPr>
              <w:t>2.对选拔过程中涉及的选手个人信息、评审打分、技术方案等严格保密；</w:t>
            </w:r>
          </w:p>
          <w:p>
            <w:pPr>
              <w:pStyle w:val="null3"/>
              <w:ind w:firstLine="420"/>
              <w:jc w:val="both"/>
            </w:pPr>
            <w:r>
              <w:rPr>
                <w:rFonts w:ascii="仿宋_GB2312" w:hAnsi="仿宋_GB2312" w:cs="仿宋_GB2312" w:eastAsia="仿宋_GB2312"/>
                <w:sz w:val="21"/>
                <w:color w:val="000000"/>
              </w:rPr>
              <w:t>3.未经采购人书面同意，不得以任何形式对外披露项目相关信息；</w:t>
            </w:r>
          </w:p>
          <w:p>
            <w:pPr>
              <w:pStyle w:val="null3"/>
              <w:ind w:firstLine="420"/>
              <w:jc w:val="both"/>
            </w:pPr>
            <w:r>
              <w:rPr>
                <w:rFonts w:ascii="仿宋_GB2312" w:hAnsi="仿宋_GB2312" w:cs="仿宋_GB2312" w:eastAsia="仿宋_GB2312"/>
                <w:sz w:val="21"/>
                <w:color w:val="000000"/>
              </w:rPr>
              <w:t>4.保密责任不因合同的终止或解除而失效。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满足竞争性磋商文件及采购人要求。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自合同签订之日起，至活动组织完成，并经采购人验收完成为止。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陕西省自然资源厅指定地点。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符合现行的国家标准或国家行政部门颁布的法律法规、规章制度等。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进度款，活动完成验收合格后，达到付款条件起10个工作日内，支付合同总金额的50.0%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质量不能满足技术要求的，甲方会同政府采购机构有权终止合同（合同自书面通知送达乙方之日解除），乙方赔偿甲方解除合同的全部损失（包括但不限于重新采购产生的费用及其它由此造成的甲方对第三方的违约损失），并按照合同总价的30%支付违约金。同时按《政府采购法》有关处罚条款报监管机构进行相应的处罚。 （二）合同争议解决的方式：本合同在履行过程中发生的争议，由甲、乙双方当事人协商解决，协商不成的按下列第2种方式解决； 1.提交西安仲裁委员会仲裁； 2.依法向甲方所在地人民法院起诉。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成交供应商需在项⽬结束后提交纸磋商响应⽂件正本壹份、副本贰份、（与线上电⼦投标⽂件⼀致，胶装后封⾯盖鲜章）。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参与的供应商（联合体）服务全部由符合政策要求的小型、微型企业承接。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供应商应为具有独立承担民事责任能力的法人或其他组织，提供法人或者其他组织的营业执照等证明文件，自然人的身份证明。供应商需在项目电子化交易系统中按要求提供相关证明材料并进行电子签章。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法定代表人身份证明：法定代表人参加磋商的，须出具法定代表人身份证明书及身份证。法定代表人授权委托人参加磋商的，须出具法定代表人授权委托书及授权委托人身份证并提供近一年内任意一个月社保缴纳证明材料；供应商需在项目电子化交易系统中提供“法定代表人身份证明书/法定代表人授权委托书”并进行电子签章。</w:t>
            </w:r>
          </w:p>
        </w:tc>
        <w:tc>
          <w:tcPr>
            <w:tcW w:type="dxa" w:w="1661"/>
          </w:tcPr>
          <w:p>
            <w:pPr>
              <w:pStyle w:val="null3"/>
            </w:pPr>
            <w:r>
              <w:rPr>
                <w:rFonts w:ascii="仿宋_GB2312" w:hAnsi="仿宋_GB2312" w:cs="仿宋_GB2312" w:eastAsia="仿宋_GB2312"/>
              </w:rPr>
              <w:t>供应商应提交的相关资格证明材料 法定代表人身份证明书及法人委托授权书格式.docx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本项目专门面向小型、微型企业采购</w:t>
            </w:r>
          </w:p>
        </w:tc>
        <w:tc>
          <w:tcPr>
            <w:tcW w:type="dxa" w:w="3322"/>
          </w:tcPr>
          <w:p>
            <w:pPr>
              <w:pStyle w:val="null3"/>
            </w:pPr>
            <w:r>
              <w:rPr>
                <w:rFonts w:ascii="仿宋_GB2312" w:hAnsi="仿宋_GB2312" w:cs="仿宋_GB2312" w:eastAsia="仿宋_GB2312"/>
              </w:rPr>
              <w:t>本项目专门面向小型、微型企业采购本项目，供应商应为小型、微型企业或监狱企业或残疾人福利性单位。供应商为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提供经审计的2025年度的财务报告或提交磋商响应文件截止时间前六个月内其基本账户开户银行出 具的资信证明；其他组织和自然人提供银行出具的资信证明或财务报表；供应商需在项目电子化交易系统中按要求提供相关证 明材料并进行电子签章。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不少于三个月的依法缴纳税收的相关凭据（时间以税款所属日期为准），依法免税或无须缴纳税收的供应商，应提供相应证明文件；供应商需在项目电子化交易系统中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提供递交响应文件截止之日前一年内不少于三个月的社会保障资金缴纳证明，依法不需要缴纳社会保障资金的供应商应提供相关文件证明；供应商需在项目电子化交易系统中提供相关证明文件并进行电子签章。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前三年无重大违法记录声明</w:t>
            </w:r>
          </w:p>
        </w:tc>
        <w:tc>
          <w:tcPr>
            <w:tcW w:type="dxa" w:w="3322"/>
          </w:tcPr>
          <w:p>
            <w:pPr>
              <w:pStyle w:val="null3"/>
            </w:pPr>
            <w:r>
              <w:rPr>
                <w:rFonts w:ascii="仿宋_GB2312" w:hAnsi="仿宋_GB2312" w:cs="仿宋_GB2312" w:eastAsia="仿宋_GB2312"/>
              </w:rPr>
              <w:t>参加政府采购活动前三年内，在经营活动中没有重大违法记录：参加政府采购活动前三年内，在经营活动中没有重大违法记录提供书面声明；供应商需在项目电子化交易系统中按要求提供相关证明材料 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具备履行合同所必需的设备和专业技术能力的证明材料；供应商需在项目电子化交易系统中提供承诺并进行电子签章。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https://www.creditchina.gov.cn/xinyongfuwu/zhongdashuishouweifaanjian/）重大税收违法失信主体，未被列入“中国政府采购网”（www.ccgp.gov.cn）政府采购严重违法失信行为记录名单； 以评标现场查询结果为准。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采购活动；为本项目提供整体设计、规范编制或者项目管理、监理、检测等服务的供应商，不得再参加该采购项目的其他采购活动；供应商需在项目电子化交易系统中提供承诺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本项目不接受联合体磋商；供应商需在项目电子化交易系统中提供相应的证明文件并进行电子签章。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与项⽬的⼀致性</w:t>
            </w:r>
          </w:p>
        </w:tc>
        <w:tc>
          <w:tcPr>
            <w:tcW w:type="dxa" w:w="3322"/>
          </w:tcPr>
          <w:p>
            <w:pPr>
              <w:pStyle w:val="null3"/>
            </w:pPr>
            <w:r>
              <w:rPr>
                <w:rFonts w:ascii="仿宋_GB2312" w:hAnsi="仿宋_GB2312" w:cs="仿宋_GB2312" w:eastAsia="仿宋_GB2312"/>
              </w:rPr>
              <w:t>竞争性磋商响应⽂件中项⽬名称、项⽬编号与本项⽬⼀致</w:t>
            </w:r>
          </w:p>
        </w:tc>
        <w:tc>
          <w:tcPr>
            <w:tcW w:type="dxa" w:w="1661"/>
          </w:tcPr>
          <w:p>
            <w:pPr>
              <w:pStyle w:val="null3"/>
            </w:pPr>
            <w:r>
              <w:rPr>
                <w:rFonts w:ascii="仿宋_GB2312" w:hAnsi="仿宋_GB2312" w:cs="仿宋_GB2312" w:eastAsia="仿宋_GB2312"/>
              </w:rPr>
              <w:t>响应文件封面 中小企业声明函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满⾜磋商⽂件要求的服务期限</w:t>
            </w:r>
          </w:p>
        </w:tc>
        <w:tc>
          <w:tcPr>
            <w:tcW w:type="dxa" w:w="1661"/>
          </w:tcPr>
          <w:p>
            <w:pPr>
              <w:pStyle w:val="null3"/>
            </w:pPr>
            <w:r>
              <w:rPr>
                <w:rFonts w:ascii="仿宋_GB2312" w:hAnsi="仿宋_GB2312" w:cs="仿宋_GB2312" w:eastAsia="仿宋_GB2312"/>
              </w:rPr>
              <w:t>响应文件封面 商务应答表 供应商应提交的相关资格证明材料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时满⾜以下条款：（1）货币单位符合采购⽂件要求（2）报价符合唯⼀性要求（3）未超出采购预算或最⾼限价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磋商响应⽂件签章</w:t>
            </w:r>
          </w:p>
        </w:tc>
        <w:tc>
          <w:tcPr>
            <w:tcW w:type="dxa" w:w="3322"/>
          </w:tcPr>
          <w:p>
            <w:pPr>
              <w:pStyle w:val="null3"/>
            </w:pPr>
            <w:r>
              <w:rPr>
                <w:rFonts w:ascii="仿宋_GB2312" w:hAnsi="仿宋_GB2312" w:cs="仿宋_GB2312" w:eastAsia="仿宋_GB2312"/>
              </w:rPr>
              <w:t>磋商响应⽂件签章均符合采购⽂件要求，且⽆遗漏。</w:t>
            </w:r>
          </w:p>
        </w:tc>
        <w:tc>
          <w:tcPr>
            <w:tcW w:type="dxa" w:w="1661"/>
          </w:tcPr>
          <w:p>
            <w:pPr>
              <w:pStyle w:val="null3"/>
            </w:pPr>
            <w:r>
              <w:rPr>
                <w:rFonts w:ascii="仿宋_GB2312" w:hAnsi="仿宋_GB2312" w:cs="仿宋_GB2312" w:eastAsia="仿宋_GB2312"/>
              </w:rPr>
              <w:t>响应文件封面 中小企业声明函 服务方案 供应商应提交的相关资格证明材料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其他⽆效磋商的情形</w:t>
            </w:r>
          </w:p>
        </w:tc>
        <w:tc>
          <w:tcPr>
            <w:tcW w:type="dxa" w:w="3322"/>
          </w:tcPr>
          <w:p>
            <w:pPr>
              <w:pStyle w:val="null3"/>
            </w:pPr>
            <w:r>
              <w:rPr>
                <w:rFonts w:ascii="仿宋_GB2312" w:hAnsi="仿宋_GB2312" w:cs="仿宋_GB2312" w:eastAsia="仿宋_GB2312"/>
              </w:rPr>
              <w:t>没有出现法律法规或磋商⽂件明确规定的其他被视为“⽆效磋商”的情形及未实质性响应磋商⽂件的情况。</w:t>
            </w:r>
          </w:p>
        </w:tc>
        <w:tc>
          <w:tcPr>
            <w:tcW w:type="dxa" w:w="1661"/>
          </w:tcPr>
          <w:p>
            <w:pPr>
              <w:pStyle w:val="null3"/>
            </w:pPr>
            <w:r>
              <w:rPr>
                <w:rFonts w:ascii="仿宋_GB2312" w:hAnsi="仿宋_GB2312" w:cs="仿宋_GB2312" w:eastAsia="仿宋_GB2312"/>
              </w:rPr>
              <w:t>响应文件封面 商务应答表 服务方案 供应商应提交的相关资格证明材料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w:t>
            </w:r>
          </w:p>
        </w:tc>
        <w:tc>
          <w:tcPr>
            <w:tcW w:type="dxa" w:w="2492"/>
          </w:tcPr>
          <w:p>
            <w:pPr>
              <w:pStyle w:val="null3"/>
            </w:pPr>
            <w:r>
              <w:rPr>
                <w:rFonts w:ascii="仿宋_GB2312" w:hAnsi="仿宋_GB2312" w:cs="仿宋_GB2312" w:eastAsia="仿宋_GB2312"/>
              </w:rPr>
              <w:t>供应商结合项目特点、服务内容及要求制定项目整体方案，包括但不限于：①需求理解；②项目需求分析；③项目整体实施思路及规划;④验收方案等。 以上内容无缺项，专门针对本项目编制，得8分。每缺失一项扣2分； 每一小项缺项或者内容非针对于本项目的扣2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的技术方案应包含①项目全流程整体策划实施方案；②队伍选拔、集训、模拟测试专项实施方案；③队伍形象包装及宣传资料制作方案；④后勤保障、风险管控与全流程保密方案；⑤成果归档交付及赛后配套服务方案；以上内容无缺项，专门针对本项目编制，得2分。每缺失一项扣2分； 每一小项缺项或者内容非针对于本项目的扣2分，每一小项有一处缺陷的扣0.5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供应商针对本项目各阶段完成要求提供进度保障方案，包括但不限于：①工作计划及组织方案；②工作流程；③进度保障方案； 以上内容无缺项，专门针对本项目编制，得6分。每缺失一项扣2分； 每一小项缺项或者内容非针对于本项目的扣2分，每一小项有一处缺陷的扣0.5分，扣完为止。（缺陷是指：内容不完整、条理不清晰、缺少关键点、措施不具体、针对性不强、内容无紧扣项目实际情况、表述前后不一致及其他不利于。 方案内容须包括①风险点分析、②风险评估、③应急预案等；以上内容无缺项，专门针对本项目编制，得6分。每缺失一项扣2分； 每一小项缺项或者内容非针对于本项目的扣2分，每一小项有一处缺陷的扣0.5分，扣完为止。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安全全保密方案</w:t>
            </w:r>
          </w:p>
        </w:tc>
        <w:tc>
          <w:tcPr>
            <w:tcW w:type="dxa" w:w="2492"/>
          </w:tcPr>
          <w:p>
            <w:pPr>
              <w:pStyle w:val="null3"/>
            </w:pPr>
            <w:r>
              <w:rPr>
                <w:rFonts w:ascii="仿宋_GB2312" w:hAnsi="仿宋_GB2312" w:cs="仿宋_GB2312" w:eastAsia="仿宋_GB2312"/>
              </w:rPr>
              <w:t>方案内容须包括①制度建设、②人员管理、③设备管理、④泄密风险处置等；以上内容无缺项，专门针对本项目编制，得4分。每缺失一项扣1分； 每一小项缺项或者内容非针对于本项目的扣1分，每一小项有一处缺陷的扣0.2分，扣完为止。（缺陷是指：内容不完整、条理不清晰、缺少关键点、措施不具体、针对性不强、内容无紧扣项目实际情况、表述前后不一致及其他不利于项目实施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风险控制方案</w:t>
            </w:r>
          </w:p>
        </w:tc>
        <w:tc>
          <w:tcPr>
            <w:tcW w:type="dxa" w:w="2492"/>
          </w:tcPr>
          <w:p>
            <w:pPr>
              <w:pStyle w:val="null3"/>
            </w:pPr>
            <w:r>
              <w:rPr>
                <w:rFonts w:ascii="仿宋_GB2312" w:hAnsi="仿宋_GB2312" w:cs="仿宋_GB2312" w:eastAsia="仿宋_GB2312"/>
              </w:rPr>
              <w:t>方案内容须包括①风险点分析、②风险评估、③应急预案等；以上内容无缺项，专门针对本项目编制，得6分。每缺失一项扣2分； 每一小项缺项或者内容非针对于本项目的扣2分，每一小项有一处缺陷的扣0.5分，扣完为止。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针对本次项目实施过程中的重点、难点分析。重难点分析清晰，重点把控准确，难点解决思路明确，解决措施有助于项目实施。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投入人员配备</w:t>
            </w:r>
          </w:p>
        </w:tc>
        <w:tc>
          <w:tcPr>
            <w:tcW w:type="dxa" w:w="2492"/>
          </w:tcPr>
          <w:p>
            <w:pPr>
              <w:pStyle w:val="null3"/>
            </w:pPr>
            <w:r>
              <w:rPr>
                <w:rFonts w:ascii="仿宋_GB2312" w:hAnsi="仿宋_GB2312" w:cs="仿宋_GB2312" w:eastAsia="仿宋_GB2312"/>
              </w:rPr>
              <w:t>1、拟派项目负责人具备本科及以上学历且专业技术认定证书得3分；不满足不得分； 项目经理具有10年以上工作经验得3分，具有5-10年（不含）工作经验得2分，不满足不得分。 2、 拟派项目组成员（策划人员、设计人员）每提供一份具有10年以上工作经验得2分，每提供一份具有5-10年（不含）工作经验每提供得0.5分；本项最高得分10分； 3、拟派项目后勤保障人员提供5人以上得5分，提供3-5人得3分。提供2人得1分，其他不得分。 4、专家资源储备：提供事培训指导专家资源合作佐证材料得3分，不满足不得分。 备注：所有人员须提供证明材料包含但不限于学历证书、职称证书、劳动合同、业绩证明资料、社保缴纳证明资料等；</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供应商提供2023年1月1日至今，每提供1个类似项目业绩得3分，最高得18分。备注：响应文件中提供合同复印件加盖公章。</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类似业绩一览表（1）.docx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供应商针对本项目提交的保密承诺，承诺内容包含但不限于本项目服务要求内容；提供保密承诺的得3分，未提供的不得分。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1、经初审合格的磋商文件，其磋商二次最终的报价为有效磋商报价； 2、满足磋商文 件要求且最终提交价格最低的磋商报价为评标基准价。 3、磋商报价得分=(评审基准 价／磋商总报价)×10磋商报价不完整的，本项得0分。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详见附件：法定代表人身份证明书及法人委托授权书格式.docx</w:t>
      </w:r>
    </w:p>
    <w:p>
      <w:pPr>
        <w:pStyle w:val="null3"/>
        <w:ind w:firstLine="960"/>
      </w:pPr>
      <w:r>
        <w:rPr>
          <w:rFonts w:ascii="仿宋_GB2312" w:hAnsi="仿宋_GB2312" w:cs="仿宋_GB2312" w:eastAsia="仿宋_GB2312"/>
        </w:rPr>
        <w:t>详见附件：类似业绩一览表（1）.docx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详见附件：政府采购合同.8.10doc.docx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