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4DE6DE">
      <w:pPr>
        <w:spacing w:line="600" w:lineRule="exact"/>
        <w:jc w:val="center"/>
        <w:rPr>
          <w:rFonts w:hint="eastAsia" w:ascii="仿宋" w:hAnsi="仿宋" w:eastAsia="仿宋" w:cs="仿宋"/>
          <w:b/>
          <w:color w:val="000000" w:themeColor="text1"/>
          <w:sz w:val="32"/>
          <w:szCs w:val="32"/>
          <w:highlight w:val="none"/>
          <w:lang w:eastAsia="zh-CN"/>
          <w14:textFill>
            <w14:solidFill>
              <w14:schemeClr w14:val="tx1"/>
            </w14:solidFill>
          </w14:textFill>
        </w:rPr>
      </w:pPr>
      <w:r>
        <w:rPr>
          <w:rFonts w:hint="eastAsia" w:ascii="仿宋" w:hAnsi="仿宋" w:eastAsia="仿宋" w:cs="仿宋"/>
          <w:b/>
          <w:color w:val="000000" w:themeColor="text1"/>
          <w:sz w:val="32"/>
          <w:szCs w:val="32"/>
          <w:highlight w:val="none"/>
          <w:lang w:eastAsia="zh-CN"/>
          <w14:textFill>
            <w14:solidFill>
              <w14:schemeClr w14:val="tx1"/>
            </w14:solidFill>
          </w14:textFill>
        </w:rPr>
        <w:t xml:space="preserve"> </w:t>
      </w:r>
      <w:r>
        <w:rPr>
          <w:rFonts w:hint="eastAsia" w:ascii="仿宋" w:hAnsi="仿宋" w:eastAsia="仿宋" w:cs="仿宋"/>
          <w:b/>
          <w:color w:val="000000" w:themeColor="text1"/>
          <w:sz w:val="32"/>
          <w:szCs w:val="32"/>
          <w:highlight w:val="none"/>
          <w:lang w:val="en-US" w:eastAsia="zh-CN"/>
          <w14:textFill>
            <w14:solidFill>
              <w14:schemeClr w14:val="tx1"/>
            </w14:solidFill>
          </w14:textFill>
        </w:rPr>
        <w:t>政府采购</w:t>
      </w:r>
      <w:r>
        <w:rPr>
          <w:rFonts w:hint="eastAsia" w:ascii="仿宋" w:hAnsi="仿宋" w:eastAsia="仿宋" w:cs="仿宋"/>
          <w:b/>
          <w:color w:val="000000" w:themeColor="text1"/>
          <w:sz w:val="32"/>
          <w:szCs w:val="32"/>
          <w:highlight w:val="none"/>
          <w:lang w:eastAsia="zh-CN"/>
          <w14:textFill>
            <w14:solidFill>
              <w14:schemeClr w14:val="tx1"/>
            </w14:solidFill>
          </w14:textFill>
        </w:rPr>
        <w:t>合同</w:t>
      </w:r>
    </w:p>
    <w:p w14:paraId="2E69D8E1">
      <w:pPr>
        <w:spacing w:line="360" w:lineRule="auto"/>
        <w:rPr>
          <w:rFonts w:hint="eastAsia" w:ascii="仿宋" w:hAnsi="仿宋" w:eastAsia="仿宋" w:cs="仿宋"/>
          <w:b/>
          <w:sz w:val="24"/>
          <w:szCs w:val="24"/>
          <w:highlight w:val="none"/>
          <w:lang w:eastAsia="zh-CN"/>
        </w:rPr>
      </w:pPr>
    </w:p>
    <w:p w14:paraId="6CAFC28B">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甲方（</w:t>
      </w:r>
      <w:r>
        <w:rPr>
          <w:rFonts w:hint="eastAsia" w:ascii="仿宋" w:hAnsi="仿宋" w:eastAsia="仿宋" w:cs="仿宋"/>
          <w:sz w:val="24"/>
          <w:szCs w:val="24"/>
          <w:highlight w:val="none"/>
          <w:lang w:val="en-US" w:eastAsia="zh-CN"/>
        </w:rPr>
        <w:t>采购</w:t>
      </w:r>
      <w:r>
        <w:rPr>
          <w:rFonts w:hint="eastAsia" w:ascii="仿宋" w:hAnsi="仿宋" w:eastAsia="仿宋" w:cs="仿宋"/>
          <w:sz w:val="24"/>
          <w:szCs w:val="24"/>
          <w:highlight w:val="none"/>
          <w:lang w:eastAsia="zh-CN"/>
        </w:rPr>
        <w:t>人）：</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highlight w:val="none"/>
          <w:lang w:eastAsia="zh-CN"/>
        </w:rPr>
        <w:t xml:space="preserve"> </w:t>
      </w:r>
    </w:p>
    <w:p w14:paraId="0CEC8392">
      <w:pPr>
        <w:spacing w:line="360" w:lineRule="auto"/>
        <w:ind w:firstLine="480" w:firstLineChars="200"/>
        <w:rPr>
          <w:rFonts w:hint="eastAsia" w:ascii="仿宋" w:hAnsi="仿宋" w:eastAsia="仿宋" w:cs="仿宋"/>
          <w:sz w:val="24"/>
          <w:szCs w:val="24"/>
          <w:highlight w:val="none"/>
          <w:u w:val="single"/>
          <w:lang w:eastAsia="zh-CN"/>
        </w:rPr>
      </w:pPr>
      <w:r>
        <w:rPr>
          <w:rFonts w:hint="eastAsia" w:ascii="仿宋" w:hAnsi="仿宋" w:eastAsia="仿宋" w:cs="仿宋"/>
          <w:sz w:val="24"/>
          <w:szCs w:val="24"/>
          <w:highlight w:val="none"/>
          <w:lang w:eastAsia="zh-CN"/>
        </w:rPr>
        <w:t>乙方（</w:t>
      </w: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u w:val="single"/>
          <w:lang w:eastAsia="zh-CN"/>
        </w:rPr>
        <w:t xml:space="preserve">                        </w:t>
      </w:r>
    </w:p>
    <w:p w14:paraId="58B6FF3A">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根据《中华人民共和国政府采购法》、《中华人民共和国民法典》等相关法律</w:t>
      </w:r>
      <w:r>
        <w:rPr>
          <w:rFonts w:hint="eastAsia" w:ascii="仿宋" w:hAnsi="仿宋" w:eastAsia="仿宋" w:cs="仿宋"/>
          <w:sz w:val="24"/>
          <w:szCs w:val="24"/>
          <w:highlight w:val="none"/>
          <w:lang w:val="en-US" w:eastAsia="zh-CN"/>
        </w:rPr>
        <w:t>及xxxxxx</w:t>
      </w:r>
      <w:r>
        <w:rPr>
          <w:rFonts w:hint="eastAsia" w:ascii="仿宋" w:hAnsi="仿宋" w:eastAsia="仿宋" w:cs="仿宋"/>
          <w:sz w:val="24"/>
          <w:szCs w:val="24"/>
          <w:highlight w:val="none"/>
          <w:lang w:eastAsia="zh-CN"/>
        </w:rPr>
        <w:t>项目的</w:t>
      </w:r>
      <w:r>
        <w:rPr>
          <w:rFonts w:hint="eastAsia" w:ascii="仿宋" w:hAnsi="仿宋" w:eastAsia="仿宋" w:cs="仿宋"/>
          <w:sz w:val="24"/>
          <w:szCs w:val="24"/>
          <w:highlight w:val="none"/>
          <w:lang w:val="en-US" w:eastAsia="zh-CN"/>
        </w:rPr>
        <w:t>竞争性磋商文件及竞争性响应文件</w:t>
      </w:r>
      <w:r>
        <w:rPr>
          <w:rFonts w:hint="eastAsia" w:ascii="仿宋" w:hAnsi="仿宋" w:eastAsia="仿宋" w:cs="仿宋"/>
          <w:sz w:val="24"/>
          <w:szCs w:val="24"/>
          <w:highlight w:val="none"/>
          <w:lang w:eastAsia="zh-CN"/>
        </w:rPr>
        <w:t>等有关规定，为确保甲方采购项目的顺利实施，甲、乙双方在平等自愿的原则下签订本合同，并共同遵守如下条款:</w:t>
      </w:r>
    </w:p>
    <w:p w14:paraId="0EB5AF56">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合同内容:</w:t>
      </w:r>
    </w:p>
    <w:p w14:paraId="07DB00DB">
      <w:pPr>
        <w:spacing w:line="360" w:lineRule="auto"/>
        <w:ind w:firstLine="480" w:firstLineChars="200"/>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eastAsia="zh-CN"/>
        </w:rPr>
        <w:t xml:space="preserve">第一条 </w:t>
      </w:r>
      <w:r>
        <w:rPr>
          <w:rFonts w:hint="eastAsia" w:ascii="仿宋" w:hAnsi="仿宋" w:eastAsia="仿宋" w:cs="仿宋"/>
          <w:sz w:val="24"/>
          <w:szCs w:val="24"/>
          <w:highlight w:val="none"/>
          <w:lang w:val="en-US" w:eastAsia="zh-CN"/>
        </w:rPr>
        <w:t>服务内容及明细</w:t>
      </w:r>
    </w:p>
    <w:tbl>
      <w:tblPr>
        <w:tblStyle w:val="4"/>
        <w:tblW w:w="50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1635"/>
        <w:gridCol w:w="1575"/>
        <w:gridCol w:w="1455"/>
        <w:gridCol w:w="1455"/>
        <w:gridCol w:w="1740"/>
      </w:tblGrid>
      <w:tr w14:paraId="15B22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823" w:type="dxa"/>
            <w:vAlign w:val="center"/>
          </w:tcPr>
          <w:p w14:paraId="40ABCCB8">
            <w:pPr>
              <w:pStyle w:val="6"/>
              <w:spacing w:before="69" w:line="219" w:lineRule="auto"/>
              <w:ind w:right="0" w:rightChars="0"/>
              <w:jc w:val="cente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序号</w:t>
            </w:r>
          </w:p>
        </w:tc>
        <w:tc>
          <w:tcPr>
            <w:tcW w:w="1635" w:type="dxa"/>
            <w:vAlign w:val="center"/>
          </w:tcPr>
          <w:p w14:paraId="17C9875E">
            <w:pPr>
              <w:pStyle w:val="6"/>
              <w:spacing w:before="69" w:line="219" w:lineRule="auto"/>
              <w:ind w:right="0" w:rightChars="0"/>
              <w:jc w:val="center"/>
              <w:rPr>
                <w:rFonts w:hint="default" w:ascii="仿宋" w:hAnsi="仿宋" w:eastAsia="仿宋" w:cs="仿宋"/>
                <w:spacing w:val="-2"/>
                <w:sz w:val="24"/>
                <w:szCs w:val="24"/>
                <w:lang w:val="en-US" w:eastAsia="zh-CN"/>
              </w:rPr>
            </w:pPr>
            <w:r>
              <w:rPr>
                <w:rFonts w:hint="eastAsia" w:ascii="仿宋" w:hAnsi="仿宋" w:eastAsia="仿宋" w:cs="仿宋"/>
                <w:spacing w:val="-2"/>
                <w:sz w:val="24"/>
                <w:szCs w:val="24"/>
                <w:lang w:val="en-US" w:eastAsia="zh-CN"/>
              </w:rPr>
              <w:t>服务内容</w:t>
            </w:r>
          </w:p>
        </w:tc>
        <w:tc>
          <w:tcPr>
            <w:tcW w:w="1575" w:type="dxa"/>
            <w:vAlign w:val="center"/>
          </w:tcPr>
          <w:p w14:paraId="30C5EFA5">
            <w:pPr>
              <w:pStyle w:val="6"/>
              <w:spacing w:before="68" w:line="220" w:lineRule="auto"/>
              <w:ind w:left="0" w:leftChars="0" w:right="0" w:rightChars="0"/>
              <w:jc w:val="center"/>
              <w:rPr>
                <w:rFonts w:hint="eastAsia" w:ascii="仿宋" w:hAnsi="仿宋" w:eastAsia="仿宋" w:cs="仿宋"/>
                <w:b/>
                <w:bCs/>
                <w:sz w:val="24"/>
                <w:szCs w:val="24"/>
                <w:highlight w:val="none"/>
              </w:rPr>
            </w:pPr>
            <w:r>
              <w:rPr>
                <w:rFonts w:hint="eastAsia" w:ascii="仿宋" w:hAnsi="仿宋" w:eastAsia="仿宋" w:cs="仿宋"/>
                <w:spacing w:val="-3"/>
                <w:sz w:val="24"/>
                <w:szCs w:val="24"/>
              </w:rPr>
              <w:t>数量</w:t>
            </w:r>
          </w:p>
        </w:tc>
        <w:tc>
          <w:tcPr>
            <w:tcW w:w="1455" w:type="dxa"/>
            <w:vAlign w:val="center"/>
          </w:tcPr>
          <w:p w14:paraId="03674EA7">
            <w:pPr>
              <w:pStyle w:val="6"/>
              <w:spacing w:before="69" w:line="219" w:lineRule="auto"/>
              <w:ind w:left="0" w:leftChars="0" w:right="0" w:rightChars="0"/>
              <w:jc w:val="center"/>
              <w:rPr>
                <w:rFonts w:hint="eastAsia" w:ascii="仿宋" w:hAnsi="仿宋" w:eastAsia="仿宋" w:cs="仿宋"/>
                <w:b/>
                <w:bCs/>
                <w:sz w:val="24"/>
                <w:szCs w:val="24"/>
                <w:highlight w:val="none"/>
                <w:lang w:eastAsia="zh-CN"/>
              </w:rPr>
            </w:pPr>
            <w:r>
              <w:rPr>
                <w:rFonts w:hint="eastAsia" w:ascii="仿宋" w:hAnsi="仿宋" w:eastAsia="仿宋" w:cs="仿宋"/>
                <w:spacing w:val="9"/>
                <w:sz w:val="24"/>
                <w:szCs w:val="24"/>
              </w:rPr>
              <w:t>单价(元)</w:t>
            </w:r>
          </w:p>
        </w:tc>
        <w:tc>
          <w:tcPr>
            <w:tcW w:w="1455" w:type="dxa"/>
            <w:vAlign w:val="center"/>
          </w:tcPr>
          <w:p w14:paraId="4046C155">
            <w:pPr>
              <w:pStyle w:val="6"/>
              <w:spacing w:before="69" w:line="218" w:lineRule="auto"/>
              <w:ind w:left="0" w:leftChars="0" w:right="0" w:rightChars="0"/>
              <w:jc w:val="center"/>
              <w:rPr>
                <w:rFonts w:hint="default" w:ascii="仿宋" w:hAnsi="仿宋" w:eastAsia="仿宋" w:cs="仿宋"/>
                <w:spacing w:val="9"/>
                <w:sz w:val="24"/>
                <w:szCs w:val="24"/>
                <w:lang w:val="en-US" w:eastAsia="zh-CN"/>
              </w:rPr>
            </w:pPr>
            <w:r>
              <w:rPr>
                <w:rFonts w:hint="eastAsia" w:ascii="仿宋" w:hAnsi="仿宋" w:eastAsia="仿宋" w:cs="仿宋"/>
                <w:spacing w:val="9"/>
                <w:sz w:val="24"/>
                <w:szCs w:val="24"/>
                <w:lang w:val="en-US" w:eastAsia="zh-CN"/>
              </w:rPr>
              <w:t>合计（元）</w:t>
            </w:r>
          </w:p>
        </w:tc>
        <w:tc>
          <w:tcPr>
            <w:tcW w:w="1740" w:type="dxa"/>
            <w:vAlign w:val="center"/>
          </w:tcPr>
          <w:p w14:paraId="3190CEA8">
            <w:pPr>
              <w:pStyle w:val="6"/>
              <w:spacing w:before="69" w:line="218" w:lineRule="auto"/>
              <w:ind w:left="0" w:leftChars="0" w:right="0" w:rightChars="0"/>
              <w:jc w:val="center"/>
              <w:rPr>
                <w:rFonts w:hint="default" w:ascii="仿宋" w:hAnsi="仿宋" w:eastAsia="仿宋" w:cs="仿宋"/>
                <w:spacing w:val="9"/>
                <w:sz w:val="24"/>
                <w:szCs w:val="24"/>
                <w:lang w:val="en-US" w:eastAsia="zh-CN"/>
              </w:rPr>
            </w:pPr>
            <w:r>
              <w:rPr>
                <w:rFonts w:hint="eastAsia" w:ascii="仿宋" w:hAnsi="仿宋" w:eastAsia="仿宋" w:cs="仿宋"/>
                <w:spacing w:val="9"/>
                <w:sz w:val="24"/>
                <w:szCs w:val="24"/>
                <w:lang w:val="en-US" w:eastAsia="zh-CN"/>
              </w:rPr>
              <w:t>备注</w:t>
            </w:r>
          </w:p>
        </w:tc>
      </w:tr>
      <w:tr w14:paraId="39E18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823" w:type="dxa"/>
            <w:shd w:val="clear" w:color="auto" w:fill="auto"/>
            <w:vAlign w:val="center"/>
          </w:tcPr>
          <w:p w14:paraId="5B9C3F5F">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635" w:type="dxa"/>
            <w:shd w:val="clear" w:color="auto" w:fill="auto"/>
            <w:vAlign w:val="center"/>
          </w:tcPr>
          <w:p w14:paraId="4F307EEA">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575" w:type="dxa"/>
            <w:shd w:val="clear" w:color="auto" w:fill="auto"/>
            <w:vAlign w:val="center"/>
          </w:tcPr>
          <w:p w14:paraId="538B21CE">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5" w:type="dxa"/>
            <w:vAlign w:val="center"/>
          </w:tcPr>
          <w:p w14:paraId="3BDE96C0">
            <w:pPr>
              <w:spacing w:line="360" w:lineRule="auto"/>
              <w:ind w:firstLine="480" w:firstLineChars="200"/>
              <w:jc w:val="center"/>
              <w:rPr>
                <w:rFonts w:hint="eastAsia" w:ascii="仿宋" w:hAnsi="仿宋" w:eastAsia="仿宋" w:cs="仿宋"/>
                <w:sz w:val="24"/>
                <w:szCs w:val="24"/>
                <w:highlight w:val="none"/>
              </w:rPr>
            </w:pPr>
          </w:p>
        </w:tc>
        <w:tc>
          <w:tcPr>
            <w:tcW w:w="1455" w:type="dxa"/>
            <w:vAlign w:val="center"/>
          </w:tcPr>
          <w:p w14:paraId="48FA0FD0">
            <w:pPr>
              <w:spacing w:line="360" w:lineRule="auto"/>
              <w:ind w:firstLine="480" w:firstLineChars="200"/>
              <w:jc w:val="center"/>
              <w:rPr>
                <w:rFonts w:hint="eastAsia" w:ascii="仿宋" w:hAnsi="仿宋" w:eastAsia="仿宋" w:cs="仿宋"/>
                <w:sz w:val="24"/>
                <w:szCs w:val="24"/>
                <w:highlight w:val="none"/>
              </w:rPr>
            </w:pPr>
          </w:p>
        </w:tc>
        <w:tc>
          <w:tcPr>
            <w:tcW w:w="1740" w:type="dxa"/>
            <w:vAlign w:val="center"/>
          </w:tcPr>
          <w:p w14:paraId="10E6B86B">
            <w:pPr>
              <w:spacing w:line="360" w:lineRule="auto"/>
              <w:ind w:firstLine="480" w:firstLineChars="200"/>
              <w:jc w:val="center"/>
              <w:rPr>
                <w:rFonts w:hint="eastAsia" w:ascii="仿宋" w:hAnsi="仿宋" w:eastAsia="仿宋" w:cs="仿宋"/>
                <w:sz w:val="24"/>
                <w:szCs w:val="24"/>
                <w:highlight w:val="none"/>
              </w:rPr>
            </w:pPr>
          </w:p>
        </w:tc>
      </w:tr>
      <w:tr w14:paraId="039D8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823" w:type="dxa"/>
            <w:shd w:val="clear" w:color="auto" w:fill="auto"/>
            <w:vAlign w:val="center"/>
          </w:tcPr>
          <w:p w14:paraId="34D2FB65">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635" w:type="dxa"/>
            <w:shd w:val="clear" w:color="auto" w:fill="auto"/>
            <w:vAlign w:val="center"/>
          </w:tcPr>
          <w:p w14:paraId="30CF9E78">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575" w:type="dxa"/>
            <w:shd w:val="clear" w:color="auto" w:fill="auto"/>
            <w:vAlign w:val="center"/>
          </w:tcPr>
          <w:p w14:paraId="6B86316F">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5" w:type="dxa"/>
            <w:vAlign w:val="center"/>
          </w:tcPr>
          <w:p w14:paraId="45DEFEF0">
            <w:pPr>
              <w:spacing w:line="360" w:lineRule="auto"/>
              <w:ind w:left="0" w:leftChars="0" w:right="0" w:rightChars="0" w:firstLine="480" w:firstLineChars="200"/>
              <w:jc w:val="center"/>
              <w:rPr>
                <w:rFonts w:hint="eastAsia" w:ascii="仿宋" w:hAnsi="仿宋" w:eastAsia="仿宋" w:cs="仿宋"/>
                <w:sz w:val="24"/>
                <w:szCs w:val="24"/>
                <w:highlight w:val="none"/>
              </w:rPr>
            </w:pPr>
          </w:p>
        </w:tc>
        <w:tc>
          <w:tcPr>
            <w:tcW w:w="1455" w:type="dxa"/>
            <w:vAlign w:val="center"/>
          </w:tcPr>
          <w:p w14:paraId="65DD5812">
            <w:pPr>
              <w:spacing w:line="360" w:lineRule="auto"/>
              <w:ind w:left="0" w:leftChars="0" w:right="0" w:rightChars="0" w:firstLine="480" w:firstLineChars="200"/>
              <w:jc w:val="center"/>
              <w:rPr>
                <w:rFonts w:hint="eastAsia" w:ascii="仿宋" w:hAnsi="仿宋" w:eastAsia="仿宋" w:cs="仿宋"/>
                <w:sz w:val="24"/>
                <w:szCs w:val="24"/>
                <w:highlight w:val="none"/>
              </w:rPr>
            </w:pPr>
          </w:p>
        </w:tc>
        <w:tc>
          <w:tcPr>
            <w:tcW w:w="1740" w:type="dxa"/>
            <w:vAlign w:val="center"/>
          </w:tcPr>
          <w:p w14:paraId="60494A7F">
            <w:pPr>
              <w:spacing w:line="360" w:lineRule="auto"/>
              <w:ind w:left="0" w:leftChars="0" w:right="0" w:rightChars="0" w:firstLine="480" w:firstLineChars="200"/>
              <w:jc w:val="center"/>
              <w:rPr>
                <w:rFonts w:hint="eastAsia" w:ascii="仿宋" w:hAnsi="仿宋" w:eastAsia="仿宋" w:cs="仿宋"/>
                <w:sz w:val="24"/>
                <w:szCs w:val="24"/>
                <w:highlight w:val="none"/>
              </w:rPr>
            </w:pPr>
          </w:p>
        </w:tc>
      </w:tr>
      <w:tr w14:paraId="6407F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23" w:type="dxa"/>
            <w:shd w:val="clear" w:color="auto" w:fill="auto"/>
            <w:vAlign w:val="center"/>
          </w:tcPr>
          <w:p w14:paraId="1D721D94">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635" w:type="dxa"/>
            <w:shd w:val="clear" w:color="auto" w:fill="auto"/>
            <w:vAlign w:val="center"/>
          </w:tcPr>
          <w:p w14:paraId="1C67A248">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575" w:type="dxa"/>
            <w:shd w:val="clear" w:color="auto" w:fill="auto"/>
            <w:vAlign w:val="center"/>
          </w:tcPr>
          <w:p w14:paraId="5800B42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5" w:type="dxa"/>
            <w:vAlign w:val="center"/>
          </w:tcPr>
          <w:p w14:paraId="6DCC0A80">
            <w:pPr>
              <w:spacing w:line="360" w:lineRule="auto"/>
              <w:ind w:left="0" w:leftChars="0" w:right="0" w:rightChars="0" w:firstLine="480" w:firstLineChars="200"/>
              <w:jc w:val="center"/>
              <w:rPr>
                <w:rFonts w:hint="eastAsia" w:ascii="仿宋" w:hAnsi="仿宋" w:eastAsia="仿宋" w:cs="仿宋"/>
                <w:sz w:val="24"/>
                <w:szCs w:val="24"/>
                <w:highlight w:val="none"/>
              </w:rPr>
            </w:pPr>
          </w:p>
        </w:tc>
        <w:tc>
          <w:tcPr>
            <w:tcW w:w="1455" w:type="dxa"/>
            <w:vAlign w:val="center"/>
          </w:tcPr>
          <w:p w14:paraId="3AF3C372">
            <w:pPr>
              <w:spacing w:line="360" w:lineRule="auto"/>
              <w:ind w:left="0" w:leftChars="0" w:right="0" w:rightChars="0" w:firstLine="480" w:firstLineChars="200"/>
              <w:jc w:val="center"/>
              <w:rPr>
                <w:rFonts w:hint="eastAsia" w:ascii="仿宋" w:hAnsi="仿宋" w:eastAsia="仿宋" w:cs="仿宋"/>
                <w:sz w:val="24"/>
                <w:szCs w:val="24"/>
                <w:highlight w:val="none"/>
              </w:rPr>
            </w:pPr>
          </w:p>
        </w:tc>
        <w:tc>
          <w:tcPr>
            <w:tcW w:w="1740" w:type="dxa"/>
            <w:vAlign w:val="center"/>
          </w:tcPr>
          <w:p w14:paraId="2A400490">
            <w:pPr>
              <w:spacing w:line="360" w:lineRule="auto"/>
              <w:ind w:left="0" w:leftChars="0" w:right="0" w:rightChars="0" w:firstLine="480" w:firstLineChars="200"/>
              <w:jc w:val="center"/>
              <w:rPr>
                <w:rFonts w:hint="eastAsia" w:ascii="仿宋" w:hAnsi="仿宋" w:eastAsia="仿宋" w:cs="仿宋"/>
                <w:sz w:val="24"/>
                <w:szCs w:val="24"/>
                <w:highlight w:val="none"/>
              </w:rPr>
            </w:pPr>
          </w:p>
        </w:tc>
      </w:tr>
      <w:tr w14:paraId="38C8A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23" w:type="dxa"/>
            <w:shd w:val="clear" w:color="auto" w:fill="auto"/>
            <w:vAlign w:val="center"/>
          </w:tcPr>
          <w:p w14:paraId="77C6D571">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635" w:type="dxa"/>
            <w:shd w:val="clear" w:color="auto" w:fill="auto"/>
            <w:vAlign w:val="center"/>
          </w:tcPr>
          <w:p w14:paraId="7338A5AC">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575" w:type="dxa"/>
            <w:shd w:val="clear" w:color="auto" w:fill="auto"/>
            <w:vAlign w:val="center"/>
          </w:tcPr>
          <w:p w14:paraId="5A549831">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5" w:type="dxa"/>
            <w:vAlign w:val="center"/>
          </w:tcPr>
          <w:p w14:paraId="5A9B9DC1">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1455" w:type="dxa"/>
            <w:vAlign w:val="center"/>
          </w:tcPr>
          <w:p w14:paraId="4C382384">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1740" w:type="dxa"/>
            <w:vAlign w:val="center"/>
          </w:tcPr>
          <w:p w14:paraId="3A5F7947">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r>
      <w:tr w14:paraId="72F40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23" w:type="dxa"/>
            <w:shd w:val="clear" w:color="auto" w:fill="auto"/>
            <w:vAlign w:val="center"/>
          </w:tcPr>
          <w:p w14:paraId="36D04C1C">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635" w:type="dxa"/>
            <w:shd w:val="clear" w:color="auto" w:fill="auto"/>
            <w:vAlign w:val="center"/>
          </w:tcPr>
          <w:p w14:paraId="52E415A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575" w:type="dxa"/>
            <w:shd w:val="clear" w:color="auto" w:fill="auto"/>
            <w:vAlign w:val="center"/>
          </w:tcPr>
          <w:p w14:paraId="7EE1D367">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5" w:type="dxa"/>
            <w:vAlign w:val="center"/>
          </w:tcPr>
          <w:p w14:paraId="7AA9FCFE">
            <w:pPr>
              <w:spacing w:line="360" w:lineRule="auto"/>
              <w:ind w:left="0" w:leftChars="0" w:right="0" w:rightChars="0" w:firstLine="480" w:firstLineChars="200"/>
              <w:jc w:val="center"/>
              <w:rPr>
                <w:rFonts w:hint="eastAsia" w:ascii="仿宋" w:hAnsi="仿宋" w:eastAsia="仿宋" w:cs="仿宋"/>
                <w:sz w:val="24"/>
                <w:szCs w:val="24"/>
                <w:highlight w:val="none"/>
              </w:rPr>
            </w:pPr>
          </w:p>
        </w:tc>
        <w:tc>
          <w:tcPr>
            <w:tcW w:w="1455" w:type="dxa"/>
            <w:vAlign w:val="center"/>
          </w:tcPr>
          <w:p w14:paraId="68840F38">
            <w:pPr>
              <w:spacing w:line="360" w:lineRule="auto"/>
              <w:ind w:left="0" w:leftChars="0" w:right="0" w:rightChars="0" w:firstLine="480" w:firstLineChars="200"/>
              <w:jc w:val="center"/>
              <w:rPr>
                <w:rFonts w:hint="eastAsia" w:ascii="仿宋" w:hAnsi="仿宋" w:eastAsia="仿宋" w:cs="仿宋"/>
                <w:sz w:val="24"/>
                <w:szCs w:val="24"/>
                <w:highlight w:val="none"/>
              </w:rPr>
            </w:pPr>
          </w:p>
        </w:tc>
        <w:tc>
          <w:tcPr>
            <w:tcW w:w="1740" w:type="dxa"/>
            <w:vAlign w:val="center"/>
          </w:tcPr>
          <w:p w14:paraId="6B7C1752">
            <w:pPr>
              <w:spacing w:line="360" w:lineRule="auto"/>
              <w:ind w:left="0" w:leftChars="0" w:right="0" w:rightChars="0" w:firstLine="480" w:firstLineChars="200"/>
              <w:jc w:val="center"/>
              <w:rPr>
                <w:rFonts w:hint="eastAsia" w:ascii="仿宋" w:hAnsi="仿宋" w:eastAsia="仿宋" w:cs="仿宋"/>
                <w:sz w:val="24"/>
                <w:szCs w:val="24"/>
                <w:highlight w:val="none"/>
              </w:rPr>
            </w:pPr>
          </w:p>
        </w:tc>
      </w:tr>
      <w:tr w14:paraId="53FDD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23" w:type="dxa"/>
            <w:shd w:val="clear" w:color="auto" w:fill="auto"/>
            <w:vAlign w:val="center"/>
          </w:tcPr>
          <w:p w14:paraId="6926E8D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635" w:type="dxa"/>
            <w:shd w:val="clear" w:color="auto" w:fill="auto"/>
            <w:vAlign w:val="center"/>
          </w:tcPr>
          <w:p w14:paraId="17873C77">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575" w:type="dxa"/>
            <w:shd w:val="clear" w:color="auto" w:fill="auto"/>
            <w:vAlign w:val="center"/>
          </w:tcPr>
          <w:p w14:paraId="5A21D380">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5" w:type="dxa"/>
            <w:vAlign w:val="center"/>
          </w:tcPr>
          <w:p w14:paraId="3B4EE66B">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1455" w:type="dxa"/>
            <w:vAlign w:val="center"/>
          </w:tcPr>
          <w:p w14:paraId="017704C3">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1740" w:type="dxa"/>
            <w:vAlign w:val="center"/>
          </w:tcPr>
          <w:p w14:paraId="2F89A708">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r>
      <w:tr w14:paraId="4EABB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23" w:type="dxa"/>
            <w:shd w:val="clear" w:color="auto" w:fill="auto"/>
            <w:vAlign w:val="center"/>
          </w:tcPr>
          <w:p w14:paraId="0892E882">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635" w:type="dxa"/>
            <w:shd w:val="clear" w:color="auto" w:fill="auto"/>
            <w:vAlign w:val="center"/>
          </w:tcPr>
          <w:p w14:paraId="4542C5F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575" w:type="dxa"/>
            <w:shd w:val="clear" w:color="auto" w:fill="auto"/>
            <w:vAlign w:val="center"/>
          </w:tcPr>
          <w:p w14:paraId="2B15E82F">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5" w:type="dxa"/>
            <w:vAlign w:val="center"/>
          </w:tcPr>
          <w:p w14:paraId="3D3F701F">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1455" w:type="dxa"/>
            <w:vAlign w:val="center"/>
          </w:tcPr>
          <w:p w14:paraId="2AA450DD">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1740" w:type="dxa"/>
            <w:vAlign w:val="center"/>
          </w:tcPr>
          <w:p w14:paraId="77420C5C">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r>
      <w:tr w14:paraId="23CD9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683" w:type="dxa"/>
            <w:gridSpan w:val="6"/>
            <w:shd w:val="clear" w:color="auto" w:fill="auto"/>
            <w:vAlign w:val="center"/>
          </w:tcPr>
          <w:p w14:paraId="7F0AF6A5">
            <w:pPr>
              <w:spacing w:line="360" w:lineRule="auto"/>
              <w:ind w:left="0" w:leftChars="0" w:right="0" w:rightChars="0" w:firstLine="480" w:firstLineChars="200"/>
              <w:jc w:val="both"/>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合计金额：</w:t>
            </w:r>
          </w:p>
        </w:tc>
      </w:tr>
    </w:tbl>
    <w:p w14:paraId="23A704FD">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第二条：</w:t>
      </w:r>
    </w:p>
    <w:p w14:paraId="7748CBCB">
      <w:pPr>
        <w:pStyle w:val="2"/>
        <w:rPr>
          <w:rFonts w:hint="eastAsia" w:ascii="仿宋" w:hAnsi="仿宋" w:eastAsia="仿宋" w:cs="仿宋"/>
          <w:sz w:val="24"/>
          <w:szCs w:val="24"/>
          <w:highlight w:val="none"/>
          <w:lang w:val="en-US" w:eastAsia="zh-CN"/>
        </w:rPr>
      </w:pPr>
    </w:p>
    <w:p w14:paraId="0D088D09">
      <w:pP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二、合同金额</w:t>
      </w:r>
    </w:p>
    <w:p w14:paraId="56581FA5">
      <w:pP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(1)本合同总金额为:</w:t>
      </w:r>
      <w:r>
        <w:rPr>
          <w:rFonts w:hint="eastAsia" w:ascii="仿宋" w:hAnsi="仿宋" w:eastAsia="仿宋" w:cs="仿宋"/>
          <w:sz w:val="24"/>
          <w:szCs w:val="24"/>
          <w:highlight w:val="none"/>
          <w:u w:val="single"/>
          <w:lang w:val="en-US" w:eastAsia="zh-CN"/>
        </w:rPr>
        <w:t>¥            元</w:t>
      </w:r>
      <w:r>
        <w:rPr>
          <w:rFonts w:hint="eastAsia" w:ascii="仿宋" w:hAnsi="仿宋" w:eastAsia="仿宋" w:cs="仿宋"/>
          <w:sz w:val="24"/>
          <w:szCs w:val="24"/>
          <w:highlight w:val="none"/>
          <w:lang w:val="en-US" w:eastAsia="zh-CN"/>
        </w:rPr>
        <w:t>(大写:                 )</w:t>
      </w:r>
    </w:p>
    <w:p w14:paraId="65913687">
      <w:pPr>
        <w:spacing w:line="360" w:lineRule="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合同总价一次性包死，不受市场价格变化因素的影响合同总价包括:本项目实行总价一次性包死，不受市场人工、软件、硬件、服务等市场价格变化因素影响。合同总价为完成竞争性磋商文件、技术方案、合同约定全部</w:t>
      </w:r>
      <w:bookmarkStart w:id="0" w:name="_GoBack"/>
      <w:bookmarkEnd w:id="0"/>
      <w:r>
        <w:rPr>
          <w:rFonts w:hint="eastAsia" w:ascii="仿宋" w:hAnsi="仿宋" w:eastAsia="仿宋" w:cs="仿宋"/>
          <w:sz w:val="24"/>
          <w:szCs w:val="24"/>
          <w:highlight w:val="none"/>
          <w:lang w:val="en-US" w:eastAsia="zh-CN"/>
        </w:rPr>
        <w:t>内容、交付成果、培训、质保等全部工作的全部含税费用，除合同约定变更外，采购人不再支付任何其他费用。</w:t>
      </w:r>
    </w:p>
    <w:p w14:paraId="12D775DC">
      <w:pPr>
        <w:pStyle w:val="7"/>
        <w:ind w:firstLine="480" w:firstLineChars="20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第三条、支付约定：</w:t>
      </w:r>
    </w:p>
    <w:p w14:paraId="1ED60787">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 预付款，合同签订后，达到付款条件起10个⼯作⽇内，⽀付合同总⾦额的50.0%</w:t>
      </w:r>
    </w:p>
    <w:p w14:paraId="197DF744">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 进度款，活动完成验收合格后，达到付款条件起10个⼯作⽇内，⽀付合同总⾦额的50.0%</w:t>
      </w:r>
    </w:p>
    <w:p w14:paraId="5A54C3E4">
      <w:pPr>
        <w:spacing w:line="360" w:lineRule="auto"/>
        <w:ind w:firstLine="480" w:firstLineChars="200"/>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3</w:t>
      </w:r>
      <w:r>
        <w:rPr>
          <w:rFonts w:hint="default" w:ascii="仿宋" w:hAnsi="仿宋" w:eastAsia="仿宋" w:cs="仿宋"/>
          <w:sz w:val="24"/>
          <w:szCs w:val="24"/>
          <w:highlight w:val="none"/>
          <w:lang w:val="en-US" w:eastAsia="zh-CN" w:bidi="ar-SA"/>
        </w:rPr>
        <w:t>、结算方式:银行转账。</w:t>
      </w:r>
    </w:p>
    <w:p w14:paraId="27A439D7">
      <w:pPr>
        <w:spacing w:line="360" w:lineRule="auto"/>
        <w:ind w:firstLine="480" w:firstLineChars="200"/>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4</w:t>
      </w:r>
      <w:r>
        <w:rPr>
          <w:rFonts w:hint="default" w:ascii="仿宋" w:hAnsi="仿宋" w:eastAsia="仿宋" w:cs="仿宋"/>
          <w:sz w:val="24"/>
          <w:szCs w:val="24"/>
          <w:highlight w:val="none"/>
          <w:lang w:val="en-US" w:eastAsia="zh-CN" w:bidi="ar-SA"/>
        </w:rPr>
        <w:t>、结算单位:由甲方负贵结算，乙方开具等额发票交采购人。乙方开具合同总价数的全额发票交甲方。乙方延迟开具或递交发票，甲方不承担延迟付款的违约责任。</w:t>
      </w:r>
    </w:p>
    <w:p w14:paraId="6A8B3D6E">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第</w:t>
      </w:r>
      <w:r>
        <w:rPr>
          <w:rFonts w:hint="eastAsia" w:ascii="仿宋" w:hAnsi="仿宋" w:eastAsia="仿宋" w:cs="仿宋"/>
          <w:sz w:val="24"/>
          <w:szCs w:val="24"/>
          <w:highlight w:val="none"/>
          <w:lang w:val="en-US" w:eastAsia="zh-CN"/>
        </w:rPr>
        <w:t>四</w:t>
      </w:r>
      <w:r>
        <w:rPr>
          <w:rFonts w:hint="eastAsia" w:ascii="仿宋" w:hAnsi="仿宋" w:eastAsia="仿宋" w:cs="仿宋"/>
          <w:sz w:val="24"/>
          <w:szCs w:val="24"/>
          <w:highlight w:val="none"/>
          <w:lang w:eastAsia="zh-CN"/>
        </w:rPr>
        <w:t xml:space="preserve">条 </w:t>
      </w:r>
      <w:r>
        <w:rPr>
          <w:rFonts w:hint="eastAsia" w:ascii="仿宋" w:hAnsi="仿宋" w:eastAsia="仿宋" w:cs="仿宋"/>
          <w:sz w:val="24"/>
          <w:szCs w:val="24"/>
          <w:highlight w:val="none"/>
          <w:lang w:val="en-US" w:eastAsia="zh-CN"/>
        </w:rPr>
        <w:t>履约</w:t>
      </w:r>
      <w:r>
        <w:rPr>
          <w:rFonts w:hint="eastAsia" w:ascii="仿宋" w:hAnsi="仿宋" w:eastAsia="仿宋" w:cs="仿宋"/>
          <w:sz w:val="24"/>
          <w:szCs w:val="24"/>
          <w:highlight w:val="none"/>
          <w:lang w:eastAsia="zh-CN"/>
        </w:rPr>
        <w:t>期限、地点</w:t>
      </w:r>
    </w:p>
    <w:p w14:paraId="2BED48FC">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履约</w:t>
      </w:r>
      <w:r>
        <w:rPr>
          <w:rFonts w:hint="eastAsia" w:ascii="仿宋" w:hAnsi="仿宋" w:eastAsia="仿宋" w:cs="仿宋"/>
          <w:sz w:val="24"/>
          <w:szCs w:val="24"/>
          <w:highlight w:val="none"/>
          <w:lang w:eastAsia="zh-CN"/>
        </w:rPr>
        <w:t>期</w:t>
      </w:r>
      <w:r>
        <w:rPr>
          <w:rFonts w:hint="eastAsia" w:ascii="仿宋" w:hAnsi="仿宋" w:eastAsia="仿宋" w:cs="仿宋"/>
          <w:sz w:val="24"/>
          <w:szCs w:val="24"/>
          <w:highlight w:val="none"/>
          <w:lang w:val="en-US" w:eastAsia="zh-CN"/>
        </w:rPr>
        <w:t>限</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u w:val="single"/>
          <w:lang w:eastAsia="zh-CN"/>
        </w:rPr>
        <w:t xml:space="preserve">                     </w:t>
      </w:r>
    </w:p>
    <w:p w14:paraId="56123C86">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履约</w:t>
      </w:r>
      <w:r>
        <w:rPr>
          <w:rFonts w:hint="eastAsia" w:ascii="仿宋" w:hAnsi="仿宋" w:eastAsia="仿宋" w:cs="仿宋"/>
          <w:sz w:val="24"/>
          <w:szCs w:val="24"/>
          <w:highlight w:val="none"/>
          <w:lang w:eastAsia="zh-CN"/>
        </w:rPr>
        <w:t>地点：</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w:t>
      </w:r>
    </w:p>
    <w:p w14:paraId="66CE167E">
      <w:pPr>
        <w:pStyle w:val="2"/>
        <w:spacing w:line="360" w:lineRule="auto"/>
        <w:ind w:left="0" w:leftChars="0" w:firstLine="0" w:firstLineChars="0"/>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 xml:space="preserve">第五条履约保证金及缴纳形式： </w:t>
      </w:r>
    </w:p>
    <w:p w14:paraId="793C1514">
      <w:pPr>
        <w:keepNext w:val="0"/>
        <w:keepLines w:val="0"/>
        <w:widowControl/>
        <w:suppressLineNumbers w:val="0"/>
        <w:spacing w:line="360" w:lineRule="auto"/>
        <w:ind w:firstLine="480" w:firstLineChars="200"/>
        <w:jc w:val="left"/>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1、中标供应商无需缴纳履约保证金。</w:t>
      </w:r>
    </w:p>
    <w:p w14:paraId="31450D9D">
      <w:pPr>
        <w:keepNext w:val="0"/>
        <w:keepLines w:val="0"/>
        <w:widowControl/>
        <w:suppressLineNumbers w:val="0"/>
        <w:spacing w:line="360" w:lineRule="auto"/>
        <w:ind w:firstLine="480" w:firstLineChars="200"/>
        <w:jc w:val="left"/>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2、缴纳方式：银行转账，支票</w:t>
      </w:r>
      <w:r>
        <w:rPr>
          <w:rFonts w:hint="default" w:ascii="仿宋" w:hAnsi="仿宋" w:eastAsia="仿宋" w:cs="仿宋"/>
          <w:sz w:val="24"/>
          <w:szCs w:val="24"/>
          <w:highlight w:val="none"/>
          <w:lang w:val="en-US" w:eastAsia="zh-CN" w:bidi="ar-SA"/>
        </w:rPr>
        <w:t>/</w:t>
      </w:r>
      <w:r>
        <w:rPr>
          <w:rFonts w:hint="eastAsia" w:ascii="仿宋" w:hAnsi="仿宋" w:eastAsia="仿宋" w:cs="仿宋"/>
          <w:sz w:val="24"/>
          <w:szCs w:val="24"/>
          <w:highlight w:val="none"/>
          <w:lang w:val="en-US" w:eastAsia="zh-CN" w:bidi="ar-SA"/>
        </w:rPr>
        <w:t>汇票</w:t>
      </w:r>
      <w:r>
        <w:rPr>
          <w:rFonts w:hint="default" w:ascii="仿宋" w:hAnsi="仿宋" w:eastAsia="仿宋" w:cs="仿宋"/>
          <w:sz w:val="24"/>
          <w:szCs w:val="24"/>
          <w:highlight w:val="none"/>
          <w:lang w:val="en-US" w:eastAsia="zh-CN" w:bidi="ar-SA"/>
        </w:rPr>
        <w:t>/</w:t>
      </w:r>
      <w:r>
        <w:rPr>
          <w:rFonts w:hint="eastAsia" w:ascii="仿宋" w:hAnsi="仿宋" w:eastAsia="仿宋" w:cs="仿宋"/>
          <w:sz w:val="24"/>
          <w:szCs w:val="24"/>
          <w:highlight w:val="none"/>
          <w:lang w:val="en-US" w:eastAsia="zh-CN" w:bidi="ar-SA"/>
        </w:rPr>
        <w:t>本票，保函</w:t>
      </w:r>
      <w:r>
        <w:rPr>
          <w:rFonts w:hint="default" w:ascii="仿宋" w:hAnsi="仿宋" w:eastAsia="仿宋" w:cs="仿宋"/>
          <w:sz w:val="24"/>
          <w:szCs w:val="24"/>
          <w:highlight w:val="none"/>
          <w:lang w:val="en-US" w:eastAsia="zh-CN" w:bidi="ar-SA"/>
        </w:rPr>
        <w:t>/</w:t>
      </w:r>
      <w:r>
        <w:rPr>
          <w:rFonts w:hint="eastAsia" w:ascii="仿宋" w:hAnsi="仿宋" w:eastAsia="仿宋" w:cs="仿宋"/>
          <w:sz w:val="24"/>
          <w:szCs w:val="24"/>
          <w:highlight w:val="none"/>
          <w:lang w:val="en-US" w:eastAsia="zh-CN" w:bidi="ar-SA"/>
        </w:rPr>
        <w:t>保险 。</w:t>
      </w:r>
    </w:p>
    <w:p w14:paraId="6DC53A4B">
      <w:pPr>
        <w:keepNext w:val="0"/>
        <w:keepLines w:val="0"/>
        <w:widowControl/>
        <w:suppressLineNumbers w:val="0"/>
        <w:spacing w:line="360" w:lineRule="auto"/>
        <w:ind w:firstLine="480" w:firstLineChars="200"/>
        <w:jc w:val="left"/>
        <w:rPr>
          <w:rFonts w:hint="default"/>
          <w:highlight w:val="none"/>
          <w:lang w:val="en-US" w:eastAsia="zh-CN"/>
        </w:rPr>
      </w:pPr>
      <w:r>
        <w:rPr>
          <w:rFonts w:hint="eastAsia" w:ascii="仿宋" w:hAnsi="仿宋" w:eastAsia="仿宋" w:cs="仿宋"/>
          <w:sz w:val="24"/>
          <w:szCs w:val="24"/>
          <w:highlight w:val="none"/>
          <w:lang w:val="en-US" w:eastAsia="zh-CN" w:bidi="ar-SA"/>
        </w:rPr>
        <w:t>3、缴纳说明：/</w:t>
      </w:r>
    </w:p>
    <w:p w14:paraId="1CDF1610">
      <w:pPr>
        <w:spacing w:line="360" w:lineRule="auto"/>
        <w:rPr>
          <w:rFonts w:hint="eastAsia" w:ascii="仿宋" w:hAnsi="仿宋" w:eastAsia="仿宋" w:cs="仿宋"/>
          <w:sz w:val="24"/>
          <w:szCs w:val="24"/>
          <w:highlight w:val="none"/>
          <w:lang w:val="en-US" w:eastAsia="zh-CN"/>
        </w:rPr>
      </w:pPr>
      <w:r>
        <w:rPr>
          <w:rFonts w:hint="default" w:ascii="仿宋" w:hAnsi="仿宋" w:eastAsia="仿宋" w:cs="仿宋"/>
          <w:sz w:val="24"/>
          <w:szCs w:val="24"/>
          <w:highlight w:val="none"/>
          <w:lang w:eastAsia="zh-CN"/>
        </w:rPr>
        <w:t>第</w:t>
      </w:r>
      <w:r>
        <w:rPr>
          <w:rFonts w:hint="eastAsia" w:ascii="仿宋" w:hAnsi="仿宋" w:eastAsia="仿宋" w:cs="仿宋"/>
          <w:sz w:val="24"/>
          <w:szCs w:val="24"/>
          <w:highlight w:val="none"/>
          <w:lang w:val="en-US" w:eastAsia="zh-CN"/>
        </w:rPr>
        <w:t>六</w:t>
      </w:r>
      <w:r>
        <w:rPr>
          <w:rFonts w:hint="default" w:ascii="仿宋" w:hAnsi="仿宋" w:eastAsia="仿宋" w:cs="仿宋"/>
          <w:sz w:val="24"/>
          <w:szCs w:val="24"/>
          <w:highlight w:val="none"/>
          <w:lang w:eastAsia="zh-CN"/>
        </w:rPr>
        <w:t>条</w:t>
      </w:r>
      <w:r>
        <w:rPr>
          <w:rFonts w:hint="eastAsia" w:ascii="仿宋" w:hAnsi="仿宋" w:eastAsia="仿宋" w:cs="仿宋"/>
          <w:sz w:val="24"/>
          <w:szCs w:val="24"/>
          <w:highlight w:val="none"/>
          <w:lang w:val="en-US" w:eastAsia="zh-CN"/>
        </w:rPr>
        <w:t>、验收</w:t>
      </w:r>
    </w:p>
    <w:p w14:paraId="22D88EA8">
      <w:pPr>
        <w:spacing w:line="360" w:lineRule="auto"/>
        <w:ind w:firstLine="480" w:firstLineChars="20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1、验收标准：</w:t>
      </w:r>
    </w:p>
    <w:p w14:paraId="798CF960">
      <w:pPr>
        <w:spacing w:line="360" w:lineRule="auto"/>
        <w:ind w:firstLine="480" w:firstLineChars="20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符合现⾏的国家标准或国家⾏政部⻔颁布的法律法规、规章制度等。</w:t>
      </w:r>
    </w:p>
    <w:p w14:paraId="33763F8A">
      <w:pPr>
        <w:spacing w:line="360" w:lineRule="auto"/>
        <w:ind w:firstLine="480" w:firstLineChars="20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2.保密工作要求</w:t>
      </w:r>
    </w:p>
    <w:p w14:paraId="1E303AE8">
      <w:pPr>
        <w:spacing w:line="360" w:lineRule="auto"/>
        <w:ind w:firstLine="480" w:firstLineChars="20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中标单位应为本项目所配备的人员须与采购方签订由采购方制定的保密协议，并遵照执行</w:t>
      </w:r>
    </w:p>
    <w:p w14:paraId="016774F8">
      <w:pPr>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3、验收依据:</w:t>
      </w:r>
    </w:p>
    <w:p w14:paraId="08A73B57">
      <w:pPr>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3-1、合同文本、合同附件、</w:t>
      </w:r>
      <w:r>
        <w:rPr>
          <w:rFonts w:hint="eastAsia" w:ascii="仿宋" w:hAnsi="仿宋" w:eastAsia="仿宋" w:cs="仿宋"/>
          <w:sz w:val="24"/>
          <w:szCs w:val="24"/>
          <w:highlight w:val="none"/>
          <w:lang w:val="en-US" w:eastAsia="zh-CN"/>
        </w:rPr>
        <w:t>竞争性磋商</w:t>
      </w:r>
      <w:r>
        <w:rPr>
          <w:rFonts w:hint="eastAsia" w:ascii="仿宋" w:hAnsi="仿宋" w:eastAsia="仿宋" w:cs="仿宋"/>
          <w:sz w:val="24"/>
          <w:szCs w:val="24"/>
          <w:highlight w:val="none"/>
          <w:lang w:eastAsia="zh-CN"/>
        </w:rPr>
        <w:t>文件、</w:t>
      </w:r>
      <w:r>
        <w:rPr>
          <w:rFonts w:hint="eastAsia" w:ascii="仿宋" w:hAnsi="仿宋" w:eastAsia="仿宋" w:cs="仿宋"/>
          <w:sz w:val="24"/>
          <w:szCs w:val="24"/>
          <w:highlight w:val="none"/>
          <w:lang w:val="en-US" w:eastAsia="zh-CN"/>
        </w:rPr>
        <w:t>竞争性磋商响应</w:t>
      </w:r>
      <w:r>
        <w:rPr>
          <w:rFonts w:hint="eastAsia" w:ascii="仿宋" w:hAnsi="仿宋" w:eastAsia="仿宋" w:cs="仿宋"/>
          <w:sz w:val="24"/>
          <w:szCs w:val="24"/>
          <w:highlight w:val="none"/>
          <w:lang w:eastAsia="zh-CN"/>
        </w:rPr>
        <w:t>文件。</w:t>
      </w:r>
    </w:p>
    <w:p w14:paraId="3774F9C4">
      <w:pPr>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3-2、国内相应的标准、规范。</w:t>
      </w:r>
    </w:p>
    <w:p w14:paraId="3732886C">
      <w:pP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七、违约责任</w:t>
      </w:r>
    </w:p>
    <w:p w14:paraId="77272B8C">
      <w:pPr>
        <w:spacing w:line="360" w:lineRule="auto"/>
        <w:ind w:firstLine="480" w:firstLineChars="200"/>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（一）违约责任</w:t>
      </w:r>
    </w:p>
    <w:p w14:paraId="74767CE9">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1.按《中华⼈⺠共和国⺠法典》中的相关条款执⾏。 </w:t>
      </w:r>
    </w:p>
    <w:p w14:paraId="5A9568B9">
      <w:pPr>
        <w:spacing w:line="360" w:lineRule="auto"/>
        <w:ind w:firstLine="480" w:firstLineChars="200"/>
        <w:rPr>
          <w:rFonts w:hint="default" w:ascii="仿宋" w:hAnsi="仿宋" w:eastAsia="仿宋" w:cs="仿宋"/>
          <w:sz w:val="24"/>
          <w:szCs w:val="24"/>
          <w:highlight w:val="none"/>
          <w:lang w:val="en-US" w:eastAsia="zh-CN"/>
        </w:rPr>
      </w:pPr>
      <w:r>
        <w:rPr>
          <w:rFonts w:hint="default" w:ascii="仿宋" w:hAnsi="仿宋" w:eastAsia="仿宋" w:cs="仿宋"/>
          <w:sz w:val="24"/>
          <w:szCs w:val="24"/>
          <w:highlight w:val="none"/>
          <w:lang w:val="en-US" w:eastAsia="zh-CN"/>
        </w:rPr>
        <w:t xml:space="preserve">2.未按合同要求提供，质量不能满⾜技术要求的，甲⽅会同政府采购机构有权终⽌合同（合同⾃书⾯通知送达⼄⽅之⽇解除），⼄⽅赔偿甲⽅解除合同的全部损失（包括但不限于重新采购产⽣ 的费⽤及其它由此造成的甲⽅对第三⽅的违约损失），并按照合同总价的30%⽀付违约⾦。同时按《政府采购法》有关处罚 条款报监管机构进⾏相应的处罚。 </w:t>
      </w:r>
    </w:p>
    <w:p w14:paraId="01FC59D3">
      <w:pPr>
        <w:spacing w:line="360" w:lineRule="auto"/>
        <w:ind w:firstLine="480" w:firstLineChars="200"/>
        <w:rPr>
          <w:rFonts w:hint="default" w:ascii="仿宋" w:hAnsi="仿宋" w:eastAsia="仿宋" w:cs="仿宋"/>
          <w:sz w:val="24"/>
          <w:szCs w:val="24"/>
          <w:highlight w:val="none"/>
          <w:lang w:val="en-US" w:eastAsia="zh-CN"/>
        </w:rPr>
      </w:pPr>
      <w:r>
        <w:rPr>
          <w:rFonts w:hint="default" w:ascii="仿宋" w:hAnsi="仿宋" w:eastAsia="仿宋" w:cs="仿宋"/>
          <w:sz w:val="24"/>
          <w:szCs w:val="24"/>
          <w:highlight w:val="none"/>
          <w:lang w:val="en-US" w:eastAsia="zh-CN"/>
        </w:rPr>
        <w:t>（⼆）合同争议解决的⽅式：本合同在履⾏过程中发⽣的争议，由甲、⼄双⽅当事⼈协商 解决，协商不成的按下列第2种⽅式解决；</w:t>
      </w:r>
    </w:p>
    <w:p w14:paraId="50A88DE4">
      <w:pPr>
        <w:numPr>
          <w:numId w:val="0"/>
        </w:numPr>
        <w:spacing w:line="360" w:lineRule="auto"/>
        <w:ind w:left="600" w:leftChars="0" w:right="0" w:rightChars="0" w:firstLine="240" w:firstLineChars="100"/>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w:t>
      </w:r>
      <w:r>
        <w:rPr>
          <w:rFonts w:hint="default" w:ascii="仿宋" w:hAnsi="仿宋" w:eastAsia="仿宋" w:cs="仿宋"/>
          <w:sz w:val="24"/>
          <w:szCs w:val="24"/>
          <w:highlight w:val="none"/>
          <w:lang w:val="en-US" w:eastAsia="zh-CN"/>
        </w:rPr>
        <w:t>提交西安仲裁委员会仲裁；</w:t>
      </w:r>
    </w:p>
    <w:p w14:paraId="12C7E643">
      <w:pPr>
        <w:numPr>
          <w:numId w:val="0"/>
        </w:numPr>
        <w:spacing w:line="360" w:lineRule="auto"/>
        <w:ind w:left="600" w:leftChars="0" w:right="0" w:rightChars="0"/>
        <w:rPr>
          <w:rFonts w:hint="eastAsia" w:ascii="仿宋" w:hAnsi="仿宋" w:eastAsia="仿宋" w:cs="仿宋"/>
          <w:sz w:val="24"/>
          <w:szCs w:val="24"/>
          <w:highlight w:val="none"/>
          <w:lang w:val="en-US" w:eastAsia="zh-CN"/>
        </w:rPr>
      </w:pPr>
      <w:r>
        <w:rPr>
          <w:rFonts w:hint="default"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lang w:val="en-US" w:eastAsia="zh-CN"/>
        </w:rPr>
        <w:t xml:space="preserve"> </w:t>
      </w:r>
      <w:r>
        <w:rPr>
          <w:rFonts w:hint="default" w:ascii="仿宋" w:hAnsi="仿宋" w:eastAsia="仿宋" w:cs="仿宋"/>
          <w:sz w:val="24"/>
          <w:szCs w:val="24"/>
          <w:highlight w:val="none"/>
          <w:lang w:val="en-US" w:eastAsia="zh-CN"/>
        </w:rPr>
        <w:t>2.依法向甲⽅所在地⼈⺠法院起诉。</w:t>
      </w:r>
    </w:p>
    <w:p w14:paraId="40591A8C">
      <w:pPr>
        <w:pStyle w:val="7"/>
        <w:numPr>
          <w:ilvl w:val="0"/>
          <w:numId w:val="0"/>
        </w:numPr>
        <w:spacing w:line="360" w:lineRule="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eastAsia="zh-CN" w:bidi="ar-SA"/>
        </w:rPr>
        <w:t>第八条：</w:t>
      </w:r>
      <w:r>
        <w:rPr>
          <w:rFonts w:hint="eastAsia" w:ascii="仿宋" w:hAnsi="仿宋" w:eastAsia="仿宋" w:cs="仿宋"/>
          <w:sz w:val="24"/>
          <w:szCs w:val="24"/>
          <w:highlight w:val="none"/>
          <w:lang w:val="en-US" w:eastAsia="zh-CN" w:bidi="ar-SA"/>
        </w:rPr>
        <w:t>知识产权归属和处理方式：</w:t>
      </w:r>
    </w:p>
    <w:p w14:paraId="06B7B481">
      <w:pPr>
        <w:pStyle w:val="7"/>
        <w:numPr>
          <w:ilvl w:val="0"/>
          <w:numId w:val="1"/>
        </w:numPr>
        <w:spacing w:line="360" w:lineRule="auto"/>
        <w:ind w:firstLine="480" w:firstLineChars="20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 xml:space="preserve">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 有相关责任。采购人享有本项目实施过程中产生的知识成果及知识产权。 </w:t>
      </w:r>
    </w:p>
    <w:p w14:paraId="36171411">
      <w:pPr>
        <w:pStyle w:val="7"/>
        <w:numPr>
          <w:ilvl w:val="0"/>
          <w:numId w:val="1"/>
        </w:numPr>
        <w:spacing w:line="360" w:lineRule="auto"/>
        <w:ind w:left="0" w:leftChars="0" w:firstLine="480" w:firstLineChars="20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 xml:space="preserve">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w:t>
      </w:r>
    </w:p>
    <w:p w14:paraId="19BAB7C6">
      <w:pPr>
        <w:pStyle w:val="7"/>
        <w:numPr>
          <w:ilvl w:val="0"/>
          <w:numId w:val="1"/>
        </w:numPr>
        <w:spacing w:line="360" w:lineRule="auto"/>
        <w:ind w:left="0" w:leftChars="0" w:firstLine="480" w:firstLineChars="20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如采用供应商所不拥有的知识产权，则在报价中必须包括合法使用该知识产权的相关费用。</w:t>
      </w:r>
    </w:p>
    <w:p w14:paraId="7D33211B">
      <w:pPr>
        <w:pStyle w:val="7"/>
        <w:numPr>
          <w:ilvl w:val="0"/>
          <w:numId w:val="0"/>
        </w:numPr>
        <w:spacing w:line="360" w:lineRule="auto"/>
        <w:ind w:leftChars="20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 xml:space="preserve"> 4、构成本磋商文件的各组成部分，未经采购人书面同意，供应商不得擅自复印或用于非本招标项目所需的其他目的。</w:t>
      </w:r>
    </w:p>
    <w:p w14:paraId="08844E99">
      <w:pPr>
        <w:pStyle w:val="7"/>
        <w:spacing w:line="360" w:lineRule="auto"/>
        <w:ind w:firstLine="480" w:firstLineChars="200"/>
        <w:rPr>
          <w:rFonts w:hint="eastAsia" w:ascii="仿宋" w:hAnsi="仿宋" w:eastAsia="仿宋" w:cs="仿宋"/>
          <w:sz w:val="24"/>
          <w:szCs w:val="24"/>
          <w:highlight w:val="none"/>
          <w:lang w:val="en-US" w:eastAsia="zh-CN" w:bidi="ar-SA"/>
        </w:rPr>
      </w:pPr>
      <w:r>
        <w:rPr>
          <w:rFonts w:hint="default" w:ascii="仿宋" w:hAnsi="仿宋" w:eastAsia="仿宋" w:cs="仿宋"/>
          <w:sz w:val="24"/>
          <w:szCs w:val="24"/>
          <w:highlight w:val="none"/>
          <w:lang w:eastAsia="zh-CN" w:bidi="ar-SA"/>
        </w:rPr>
        <w:t>第</w:t>
      </w:r>
      <w:r>
        <w:rPr>
          <w:rFonts w:hint="eastAsia" w:ascii="仿宋" w:hAnsi="仿宋" w:eastAsia="仿宋" w:cs="仿宋"/>
          <w:sz w:val="24"/>
          <w:szCs w:val="24"/>
          <w:highlight w:val="none"/>
          <w:lang w:val="en-US" w:eastAsia="zh-CN" w:bidi="ar-SA"/>
        </w:rPr>
        <w:t>九</w:t>
      </w:r>
      <w:r>
        <w:rPr>
          <w:rFonts w:hint="default" w:ascii="仿宋" w:hAnsi="仿宋" w:eastAsia="仿宋" w:cs="仿宋"/>
          <w:sz w:val="24"/>
          <w:szCs w:val="24"/>
          <w:highlight w:val="none"/>
          <w:lang w:eastAsia="zh-CN" w:bidi="ar-SA"/>
        </w:rPr>
        <w:t>条</w:t>
      </w:r>
      <w:r>
        <w:rPr>
          <w:rFonts w:hint="eastAsia" w:ascii="仿宋" w:hAnsi="仿宋" w:eastAsia="仿宋" w:cs="仿宋"/>
          <w:sz w:val="24"/>
          <w:szCs w:val="24"/>
          <w:highlight w:val="none"/>
          <w:lang w:val="en-US" w:eastAsia="zh-CN" w:bidi="ar-SA"/>
        </w:rPr>
        <w:t>、合同组成</w:t>
      </w:r>
    </w:p>
    <w:p w14:paraId="4230C635">
      <w:pPr>
        <w:pStyle w:val="7"/>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1、成交通知书</w:t>
      </w:r>
    </w:p>
    <w:p w14:paraId="0F64ACE5">
      <w:pPr>
        <w:pStyle w:val="7"/>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2、合同文件</w:t>
      </w:r>
    </w:p>
    <w:p w14:paraId="5675BDE2">
      <w:pPr>
        <w:pStyle w:val="7"/>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3、国家相关规范及标准</w:t>
      </w:r>
    </w:p>
    <w:p w14:paraId="3AB870B5">
      <w:pPr>
        <w:pStyle w:val="7"/>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4、竞争性磋商文件</w:t>
      </w:r>
    </w:p>
    <w:p w14:paraId="1BE94191">
      <w:pPr>
        <w:pStyle w:val="7"/>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5、竞争性磋商响应文件</w:t>
      </w:r>
    </w:p>
    <w:p w14:paraId="1BD601C4">
      <w:pPr>
        <w:pStyle w:val="7"/>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6、配置清单</w:t>
      </w:r>
    </w:p>
    <w:p w14:paraId="66D0D7F3">
      <w:pPr>
        <w:pStyle w:val="7"/>
        <w:spacing w:line="360" w:lineRule="auto"/>
        <w:ind w:firstLine="840"/>
        <w:rPr>
          <w:rFonts w:hint="eastAsia" w:ascii="仿宋" w:hAnsi="仿宋" w:eastAsia="仿宋" w:cs="仿宋"/>
          <w:sz w:val="24"/>
          <w:szCs w:val="24"/>
          <w:highlight w:val="none"/>
          <w:lang w:val="en-US" w:eastAsia="zh-CN" w:bidi="ar-SA"/>
        </w:rPr>
      </w:pPr>
      <w:r>
        <w:rPr>
          <w:rFonts w:hint="default" w:ascii="仿宋" w:hAnsi="仿宋" w:eastAsia="仿宋" w:cs="仿宋"/>
          <w:sz w:val="24"/>
          <w:szCs w:val="24"/>
          <w:highlight w:val="none"/>
          <w:lang w:eastAsia="zh-CN" w:bidi="ar-SA"/>
        </w:rPr>
        <w:t>第十条：</w:t>
      </w:r>
      <w:r>
        <w:rPr>
          <w:rFonts w:hint="eastAsia" w:ascii="仿宋" w:hAnsi="仿宋" w:eastAsia="仿宋" w:cs="仿宋"/>
          <w:sz w:val="24"/>
          <w:szCs w:val="24"/>
          <w:highlight w:val="none"/>
          <w:lang w:val="en-US" w:eastAsia="zh-CN" w:bidi="ar-SA"/>
        </w:rPr>
        <w:t>违约责任与解决争议的方法：</w:t>
      </w:r>
    </w:p>
    <w:p w14:paraId="57E84271">
      <w:pPr>
        <w:pStyle w:val="7"/>
        <w:spacing w:line="360" w:lineRule="auto"/>
        <w:ind w:left="240" w:leftChars="109" w:firstLine="674" w:firstLineChars="281"/>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按《中华人民共和国民法典》中的相关条款执行。 凡因本合同引起的或与本合同有关的争议，双方应友好协商解决。协商不成时，双方均同意采用以下第</w:t>
      </w:r>
      <w:r>
        <w:rPr>
          <w:rFonts w:hint="eastAsia" w:ascii="仿宋" w:hAnsi="仿宋" w:eastAsia="仿宋" w:cs="仿宋"/>
          <w:sz w:val="24"/>
          <w:szCs w:val="24"/>
          <w:highlight w:val="none"/>
          <w:u w:val="single"/>
          <w:lang w:val="en-US" w:eastAsia="zh-CN" w:bidi="ar-SA"/>
        </w:rPr>
        <w:t>（ 1）</w:t>
      </w:r>
      <w:r>
        <w:rPr>
          <w:rFonts w:hint="eastAsia" w:ascii="仿宋" w:hAnsi="仿宋" w:eastAsia="仿宋" w:cs="仿宋"/>
          <w:sz w:val="24"/>
          <w:szCs w:val="24"/>
          <w:highlight w:val="none"/>
          <w:lang w:val="en-US" w:eastAsia="zh-CN" w:bidi="ar-SA"/>
        </w:rPr>
        <w:t xml:space="preserve">种争议解决方式： </w:t>
      </w:r>
    </w:p>
    <w:p w14:paraId="56DE29BC">
      <w:pPr>
        <w:pStyle w:val="7"/>
        <w:numPr>
          <w:ilvl w:val="0"/>
          <w:numId w:val="2"/>
        </w:numPr>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 xml:space="preserve">、甲、乙双方均同意向（甲方所在地人民法院）提起诉讼。 </w:t>
      </w:r>
    </w:p>
    <w:p w14:paraId="1AA05136">
      <w:pPr>
        <w:pStyle w:val="7"/>
        <w:numPr>
          <w:ilvl w:val="0"/>
          <w:numId w:val="2"/>
        </w:numPr>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、甲、乙双方均同意向（仲裁委员会）提起仲裁。</w:t>
      </w:r>
    </w:p>
    <w:p w14:paraId="5280D38C">
      <w:pPr>
        <w:pStyle w:val="7"/>
        <w:numPr>
          <w:ilvl w:val="0"/>
          <w:numId w:val="0"/>
        </w:numPr>
        <w:spacing w:line="360" w:lineRule="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十一、合同生效及其它</w:t>
      </w:r>
    </w:p>
    <w:p w14:paraId="33B5AE43">
      <w:pPr>
        <w:pStyle w:val="7"/>
        <w:numPr>
          <w:ilvl w:val="0"/>
          <w:numId w:val="0"/>
        </w:numPr>
        <w:spacing w:line="360" w:lineRule="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1、合同未尽事宜、由甲、乙双方协商，作为合同补充，与原合同具有同等法律效力。</w:t>
      </w:r>
    </w:p>
    <w:p w14:paraId="69FC92A2">
      <w:pPr>
        <w:pStyle w:val="7"/>
        <w:numPr>
          <w:ilvl w:val="0"/>
          <w:numId w:val="0"/>
        </w:numPr>
        <w:spacing w:line="360" w:lineRule="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2、本合同正</w:t>
      </w:r>
      <w:r>
        <w:rPr>
          <w:rFonts w:hint="eastAsia" w:ascii="仿宋" w:hAnsi="仿宋" w:eastAsia="仿宋" w:cs="仿宋"/>
          <w:sz w:val="24"/>
          <w:szCs w:val="24"/>
          <w:highlight w:val="none"/>
          <w:u w:val="single"/>
          <w:lang w:val="en-US" w:eastAsia="zh-CN" w:bidi="ar-SA"/>
        </w:rPr>
        <w:t>本一式</w:t>
      </w:r>
      <w:r>
        <w:rPr>
          <w:rFonts w:hint="default" w:ascii="仿宋" w:hAnsi="仿宋" w:eastAsia="仿宋" w:cs="仿宋"/>
          <w:sz w:val="24"/>
          <w:szCs w:val="24"/>
          <w:highlight w:val="none"/>
          <w:u w:val="single"/>
          <w:lang w:eastAsia="zh-CN" w:bidi="ar-SA"/>
        </w:rPr>
        <w:t xml:space="preserve">    </w:t>
      </w:r>
      <w:r>
        <w:rPr>
          <w:rFonts w:hint="eastAsia" w:ascii="仿宋" w:hAnsi="仿宋" w:eastAsia="仿宋" w:cs="仿宋"/>
          <w:sz w:val="24"/>
          <w:szCs w:val="24"/>
          <w:highlight w:val="none"/>
          <w:u w:val="single"/>
          <w:lang w:val="en-US" w:eastAsia="zh-CN" w:bidi="ar-SA"/>
        </w:rPr>
        <w:t>份，甲方执</w:t>
      </w:r>
      <w:r>
        <w:rPr>
          <w:rFonts w:hint="default" w:ascii="仿宋" w:hAnsi="仿宋" w:eastAsia="仿宋" w:cs="仿宋"/>
          <w:sz w:val="24"/>
          <w:szCs w:val="24"/>
          <w:highlight w:val="none"/>
          <w:u w:val="single"/>
          <w:lang w:eastAsia="zh-CN" w:bidi="ar-SA"/>
        </w:rPr>
        <w:t xml:space="preserve">   </w:t>
      </w:r>
      <w:r>
        <w:rPr>
          <w:rFonts w:hint="eastAsia" w:ascii="仿宋" w:hAnsi="仿宋" w:eastAsia="仿宋" w:cs="仿宋"/>
          <w:sz w:val="24"/>
          <w:szCs w:val="24"/>
          <w:highlight w:val="none"/>
          <w:u w:val="single"/>
          <w:lang w:val="en-US" w:eastAsia="zh-CN" w:bidi="ar-SA"/>
        </w:rPr>
        <w:t xml:space="preserve">份，乙方 </w:t>
      </w:r>
      <w:r>
        <w:rPr>
          <w:rFonts w:hint="default" w:ascii="仿宋" w:hAnsi="仿宋" w:eastAsia="仿宋" w:cs="仿宋"/>
          <w:sz w:val="24"/>
          <w:szCs w:val="24"/>
          <w:highlight w:val="none"/>
          <w:u w:val="single"/>
          <w:lang w:eastAsia="zh-CN" w:bidi="ar-SA"/>
        </w:rPr>
        <w:t xml:space="preserve">  </w:t>
      </w:r>
      <w:r>
        <w:rPr>
          <w:rFonts w:hint="eastAsia" w:ascii="仿宋" w:hAnsi="仿宋" w:eastAsia="仿宋" w:cs="仿宋"/>
          <w:sz w:val="24"/>
          <w:szCs w:val="24"/>
          <w:highlight w:val="none"/>
          <w:u w:val="single"/>
          <w:lang w:val="en-US" w:eastAsia="zh-CN" w:bidi="ar-SA"/>
        </w:rPr>
        <w:t>份，财政备案</w:t>
      </w:r>
      <w:r>
        <w:rPr>
          <w:rFonts w:hint="default" w:ascii="仿宋" w:hAnsi="仿宋" w:eastAsia="仿宋" w:cs="仿宋"/>
          <w:sz w:val="24"/>
          <w:szCs w:val="24"/>
          <w:highlight w:val="none"/>
          <w:u w:val="single"/>
          <w:lang w:eastAsia="zh-CN" w:bidi="ar-SA"/>
        </w:rPr>
        <w:t xml:space="preserve">  </w:t>
      </w:r>
      <w:r>
        <w:rPr>
          <w:rFonts w:hint="eastAsia" w:ascii="仿宋" w:hAnsi="仿宋" w:eastAsia="仿宋" w:cs="仿宋"/>
          <w:sz w:val="24"/>
          <w:szCs w:val="24"/>
          <w:highlight w:val="none"/>
          <w:u w:val="single"/>
          <w:lang w:val="en-US" w:eastAsia="zh-CN" w:bidi="ar-SA"/>
        </w:rPr>
        <w:t>份</w:t>
      </w:r>
      <w:r>
        <w:rPr>
          <w:rFonts w:hint="eastAsia" w:ascii="仿宋" w:hAnsi="仿宋" w:eastAsia="仿宋" w:cs="仿宋"/>
          <w:sz w:val="24"/>
          <w:szCs w:val="24"/>
          <w:highlight w:val="none"/>
          <w:lang w:val="en-US" w:eastAsia="zh-CN" w:bidi="ar-SA"/>
        </w:rPr>
        <w:t>。</w:t>
      </w:r>
    </w:p>
    <w:p w14:paraId="45301A88">
      <w:pPr>
        <w:pStyle w:val="7"/>
        <w:numPr>
          <w:ilvl w:val="0"/>
          <w:numId w:val="0"/>
        </w:numPr>
        <w:spacing w:line="360" w:lineRule="auto"/>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3、合同经甲乙双方盖章、签字后生效，合同签订地点为</w:t>
      </w:r>
      <w:r>
        <w:rPr>
          <w:rFonts w:hint="eastAsia" w:ascii="仿宋" w:hAnsi="仿宋" w:eastAsia="仿宋" w:cs="仿宋"/>
          <w:sz w:val="24"/>
          <w:szCs w:val="24"/>
          <w:highlight w:val="none"/>
          <w:u w:val="single"/>
          <w:lang w:val="en-US" w:eastAsia="zh-CN" w:bidi="ar-SA"/>
        </w:rPr>
        <w:t xml:space="preserve">            </w:t>
      </w:r>
    </w:p>
    <w:p w14:paraId="02FC0316">
      <w:pPr>
        <w:pStyle w:val="7"/>
        <w:numPr>
          <w:ilvl w:val="0"/>
          <w:numId w:val="0"/>
        </w:numPr>
        <w:spacing w:line="360" w:lineRule="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4、生效时间:</w:t>
      </w:r>
      <w:r>
        <w:rPr>
          <w:rFonts w:hint="default" w:ascii="仿宋" w:hAnsi="仿宋" w:eastAsia="仿宋" w:cs="仿宋"/>
          <w:sz w:val="24"/>
          <w:szCs w:val="24"/>
          <w:highlight w:val="none"/>
          <w:u w:val="single"/>
          <w:lang w:eastAsia="zh-CN" w:bidi="ar-SA"/>
        </w:rPr>
        <w:t xml:space="preserve">    </w:t>
      </w:r>
      <w:r>
        <w:rPr>
          <w:rFonts w:hint="eastAsia" w:ascii="仿宋" w:hAnsi="仿宋" w:eastAsia="仿宋" w:cs="仿宋"/>
          <w:sz w:val="24"/>
          <w:szCs w:val="24"/>
          <w:highlight w:val="none"/>
          <w:u w:val="single"/>
          <w:lang w:val="en-US" w:eastAsia="zh-CN" w:bidi="ar-SA"/>
        </w:rPr>
        <w:t xml:space="preserve"> 年</w:t>
      </w:r>
      <w:r>
        <w:rPr>
          <w:rFonts w:hint="default" w:ascii="仿宋" w:hAnsi="仿宋" w:eastAsia="仿宋" w:cs="仿宋"/>
          <w:sz w:val="24"/>
          <w:szCs w:val="24"/>
          <w:highlight w:val="none"/>
          <w:u w:val="single"/>
          <w:lang w:eastAsia="zh-CN" w:bidi="ar-SA"/>
        </w:rPr>
        <w:t xml:space="preserve">   </w:t>
      </w:r>
      <w:r>
        <w:rPr>
          <w:rFonts w:hint="eastAsia" w:ascii="仿宋" w:hAnsi="仿宋" w:eastAsia="仿宋" w:cs="仿宋"/>
          <w:sz w:val="24"/>
          <w:szCs w:val="24"/>
          <w:highlight w:val="none"/>
          <w:u w:val="single"/>
          <w:lang w:val="en-US" w:eastAsia="zh-CN" w:bidi="ar-SA"/>
        </w:rPr>
        <w:t>月</w:t>
      </w:r>
      <w:r>
        <w:rPr>
          <w:rFonts w:hint="default" w:ascii="仿宋" w:hAnsi="仿宋" w:eastAsia="仿宋" w:cs="仿宋"/>
          <w:sz w:val="24"/>
          <w:szCs w:val="24"/>
          <w:highlight w:val="none"/>
          <w:u w:val="single"/>
          <w:lang w:eastAsia="zh-CN" w:bidi="ar-SA"/>
        </w:rPr>
        <w:t xml:space="preserve">     </w:t>
      </w:r>
      <w:r>
        <w:rPr>
          <w:rFonts w:hint="eastAsia" w:ascii="仿宋" w:hAnsi="仿宋" w:eastAsia="仿宋" w:cs="仿宋"/>
          <w:sz w:val="24"/>
          <w:szCs w:val="24"/>
          <w:highlight w:val="none"/>
          <w:u w:val="single"/>
          <w:lang w:val="en-US" w:eastAsia="zh-CN" w:bidi="ar-SA"/>
        </w:rPr>
        <w:t>日</w:t>
      </w:r>
    </w:p>
    <w:p w14:paraId="16E92C61">
      <w:pPr>
        <w:spacing w:line="360" w:lineRule="auto"/>
        <w:ind w:firstLine="480" w:firstLineChars="200"/>
        <w:rPr>
          <w:rFonts w:hint="eastAsia" w:ascii="仿宋" w:hAnsi="仿宋" w:eastAsia="仿宋" w:cs="仿宋"/>
          <w:sz w:val="24"/>
          <w:szCs w:val="24"/>
          <w:highlight w:val="none"/>
          <w:lang w:val="en-US" w:eastAsia="zh-CN" w:bidi="ar-SA"/>
        </w:rPr>
      </w:pPr>
    </w:p>
    <w:p w14:paraId="7F4F3FB1">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u w:val="single"/>
          <w:lang w:eastAsia="zh-CN"/>
        </w:rPr>
        <w:t xml:space="preserve">   （盖章）        </w:t>
      </w:r>
      <w:r>
        <w:rPr>
          <w:rFonts w:hint="eastAsia" w:ascii="仿宋" w:hAnsi="仿宋" w:eastAsia="仿宋" w:cs="仿宋"/>
          <w:sz w:val="24"/>
          <w:szCs w:val="24"/>
          <w:highlight w:val="none"/>
          <w:lang w:eastAsia="zh-CN"/>
        </w:rPr>
        <w:t xml:space="preserve">          供应商：</w:t>
      </w:r>
      <w:r>
        <w:rPr>
          <w:rFonts w:hint="eastAsia" w:ascii="仿宋" w:hAnsi="仿宋" w:eastAsia="仿宋" w:cs="仿宋"/>
          <w:sz w:val="24"/>
          <w:szCs w:val="24"/>
          <w:highlight w:val="none"/>
          <w:u w:val="single"/>
          <w:lang w:eastAsia="zh-CN"/>
        </w:rPr>
        <w:t xml:space="preserve">   （盖章）         </w:t>
      </w:r>
    </w:p>
    <w:p w14:paraId="74F37FA0">
      <w:pPr>
        <w:adjustRightInd w:val="0"/>
        <w:snapToGrid w:val="0"/>
        <w:spacing w:line="360" w:lineRule="auto"/>
        <w:ind w:firstLine="480" w:firstLineChars="200"/>
        <w:rPr>
          <w:rFonts w:hint="eastAsia" w:ascii="仿宋" w:hAnsi="仿宋" w:eastAsia="仿宋" w:cs="仿宋"/>
          <w:sz w:val="24"/>
          <w:szCs w:val="24"/>
          <w:highlight w:val="none"/>
          <w:u w:val="single"/>
          <w:lang w:eastAsia="zh-CN"/>
        </w:rPr>
      </w:pPr>
      <w:r>
        <w:rPr>
          <w:rFonts w:hint="eastAsia" w:ascii="仿宋" w:hAnsi="仿宋" w:eastAsia="仿宋" w:cs="仿宋"/>
          <w:sz w:val="24"/>
          <w:szCs w:val="24"/>
          <w:highlight w:val="none"/>
          <w:lang w:eastAsia="zh-CN"/>
        </w:rPr>
        <w:t xml:space="preserve">地 址： </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地  址：</w:t>
      </w:r>
      <w:r>
        <w:rPr>
          <w:rFonts w:hint="eastAsia" w:ascii="仿宋" w:hAnsi="仿宋" w:eastAsia="仿宋" w:cs="仿宋"/>
          <w:sz w:val="24"/>
          <w:szCs w:val="24"/>
          <w:highlight w:val="none"/>
          <w:u w:val="single"/>
          <w:lang w:eastAsia="zh-CN"/>
        </w:rPr>
        <w:t xml:space="preserve">                     </w:t>
      </w:r>
    </w:p>
    <w:p w14:paraId="6B00925F">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邮政编码：</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邮政编码：</w:t>
      </w:r>
      <w:r>
        <w:rPr>
          <w:rFonts w:hint="eastAsia" w:ascii="仿宋" w:hAnsi="仿宋" w:eastAsia="仿宋" w:cs="仿宋"/>
          <w:sz w:val="24"/>
          <w:szCs w:val="24"/>
          <w:highlight w:val="none"/>
          <w:u w:val="single"/>
          <w:lang w:eastAsia="zh-CN"/>
        </w:rPr>
        <w:t xml:space="preserve">                    </w:t>
      </w:r>
    </w:p>
    <w:p w14:paraId="340683AE">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法定代表人或其授权                   法定代表人或其授权 </w:t>
      </w:r>
    </w:p>
    <w:p w14:paraId="15A8123F">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的代理人：</w:t>
      </w:r>
      <w:r>
        <w:rPr>
          <w:rFonts w:hint="eastAsia" w:ascii="仿宋" w:hAnsi="仿宋" w:eastAsia="仿宋" w:cs="仿宋"/>
          <w:sz w:val="24"/>
          <w:szCs w:val="24"/>
          <w:highlight w:val="none"/>
          <w:u w:val="single"/>
          <w:lang w:eastAsia="zh-CN"/>
        </w:rPr>
        <w:t xml:space="preserve">（签字）        </w:t>
      </w:r>
      <w:r>
        <w:rPr>
          <w:rFonts w:hint="eastAsia" w:ascii="仿宋" w:hAnsi="仿宋" w:eastAsia="仿宋" w:cs="仿宋"/>
          <w:sz w:val="24"/>
          <w:szCs w:val="24"/>
          <w:highlight w:val="none"/>
          <w:lang w:eastAsia="zh-CN"/>
        </w:rPr>
        <w:t xml:space="preserve">           的代理人：</w:t>
      </w:r>
      <w:r>
        <w:rPr>
          <w:rFonts w:hint="eastAsia" w:ascii="仿宋" w:hAnsi="仿宋" w:eastAsia="仿宋" w:cs="仿宋"/>
          <w:sz w:val="24"/>
          <w:szCs w:val="24"/>
          <w:highlight w:val="none"/>
          <w:u w:val="single"/>
          <w:lang w:eastAsia="zh-CN"/>
        </w:rPr>
        <w:t xml:space="preserve">（签字）           </w:t>
      </w:r>
    </w:p>
    <w:p w14:paraId="2773A747">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开户银行：</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开户银行：</w:t>
      </w:r>
      <w:r>
        <w:rPr>
          <w:rFonts w:hint="eastAsia" w:ascii="仿宋" w:hAnsi="仿宋" w:eastAsia="仿宋" w:cs="仿宋"/>
          <w:sz w:val="24"/>
          <w:szCs w:val="24"/>
          <w:highlight w:val="none"/>
          <w:u w:val="single"/>
          <w:lang w:eastAsia="zh-CN"/>
        </w:rPr>
        <w:t xml:space="preserve">                   </w:t>
      </w:r>
    </w:p>
    <w:p w14:paraId="53A04639">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账号：</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账号：</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w:t>
      </w:r>
    </w:p>
    <w:p w14:paraId="461A05F1">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电话：</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电话：</w:t>
      </w:r>
      <w:r>
        <w:rPr>
          <w:rFonts w:hint="eastAsia" w:ascii="仿宋" w:hAnsi="仿宋" w:eastAsia="仿宋" w:cs="仿宋"/>
          <w:sz w:val="24"/>
          <w:szCs w:val="24"/>
          <w:highlight w:val="none"/>
          <w:u w:val="single"/>
          <w:lang w:eastAsia="zh-CN"/>
        </w:rPr>
        <w:t xml:space="preserve">                       </w:t>
      </w:r>
    </w:p>
    <w:p w14:paraId="3710A868">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传真：</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传真：</w:t>
      </w:r>
      <w:r>
        <w:rPr>
          <w:rFonts w:hint="eastAsia" w:ascii="仿宋" w:hAnsi="仿宋" w:eastAsia="仿宋" w:cs="仿宋"/>
          <w:sz w:val="24"/>
          <w:szCs w:val="24"/>
          <w:highlight w:val="none"/>
          <w:u w:val="single"/>
          <w:lang w:eastAsia="zh-CN"/>
        </w:rPr>
        <w:t xml:space="preserve">                       </w:t>
      </w:r>
    </w:p>
    <w:p w14:paraId="327EA2B4">
      <w:pPr>
        <w:adjustRightInd w:val="0"/>
        <w:snapToGrid w:val="0"/>
        <w:spacing w:line="360" w:lineRule="auto"/>
        <w:ind w:firstLine="480" w:firstLineChars="200"/>
        <w:rPr>
          <w:rFonts w:hint="eastAsia" w:ascii="仿宋" w:hAnsi="仿宋" w:eastAsia="仿宋" w:cs="仿宋"/>
          <w:sz w:val="24"/>
          <w:szCs w:val="24"/>
          <w:highlight w:val="none"/>
          <w:u w:val="single"/>
          <w:lang w:eastAsia="zh-CN"/>
        </w:rPr>
      </w:pPr>
      <w:r>
        <w:rPr>
          <w:rFonts w:hint="eastAsia" w:ascii="仿宋" w:hAnsi="仿宋" w:eastAsia="仿宋" w:cs="仿宋"/>
          <w:sz w:val="24"/>
          <w:szCs w:val="24"/>
          <w:highlight w:val="none"/>
          <w:lang w:eastAsia="zh-CN"/>
        </w:rPr>
        <w:t>电子邮箱：</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eastAsia="zh-CN"/>
        </w:rPr>
        <w:t xml:space="preserve">          电子邮箱：</w:t>
      </w:r>
      <w:r>
        <w:rPr>
          <w:rFonts w:hint="eastAsia" w:ascii="仿宋" w:hAnsi="仿宋" w:eastAsia="仿宋" w:cs="仿宋"/>
          <w:sz w:val="24"/>
          <w:szCs w:val="24"/>
          <w:highlight w:val="none"/>
          <w:u w:val="single"/>
          <w:lang w:eastAsia="zh-CN"/>
        </w:rPr>
        <w:t xml:space="preserve">                   </w:t>
      </w:r>
    </w:p>
    <w:p w14:paraId="7FC98A4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DejaVuSans">
    <w:altName w:val="Segoe Print"/>
    <w:panose1 w:val="00000000000000000000"/>
    <w:charset w:val="00"/>
    <w:family w:val="auto"/>
    <w:pitch w:val="default"/>
    <w:sig w:usb0="00000000" w:usb1="00000000" w:usb2="00000000" w:usb3="00000000" w:csb0="00000000" w:csb1="00000000"/>
  </w:font>
  <w:font w:name="SourceHanSerifCNVF-Mediu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A86CD6"/>
    <w:multiLevelType w:val="singleLevel"/>
    <w:tmpl w:val="FAA86CD6"/>
    <w:lvl w:ilvl="0" w:tentative="0">
      <w:start w:val="1"/>
      <w:numFmt w:val="decimal"/>
      <w:suff w:val="nothing"/>
      <w:lvlText w:val="（%1）"/>
      <w:lvlJc w:val="left"/>
    </w:lvl>
  </w:abstractNum>
  <w:abstractNum w:abstractNumId="1">
    <w:nsid w:val="4153D092"/>
    <w:multiLevelType w:val="singleLevel"/>
    <w:tmpl w:val="4153D092"/>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C9527B"/>
    <w:rsid w:val="1ABB39B4"/>
    <w:rsid w:val="1CD67968"/>
    <w:rsid w:val="264E1EE8"/>
    <w:rsid w:val="2A4E26AA"/>
    <w:rsid w:val="4F497568"/>
    <w:rsid w:val="66D435C2"/>
    <w:rsid w:val="743052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spacing w:before="0" w:after="0" w:line="240" w:lineRule="auto"/>
      <w:ind w:left="0" w:right="0"/>
      <w:jc w:val="left"/>
    </w:pPr>
    <w:rPr>
      <w:rFonts w:ascii="宋体" w:hAnsi="宋体" w:eastAsia="宋体" w:cs="宋体"/>
      <w:sz w:val="22"/>
      <w:szCs w:val="22"/>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1"/>
    <w:pPr>
      <w:spacing w:line="272" w:lineRule="exact"/>
      <w:ind w:left="100"/>
    </w:pPr>
    <w:rPr>
      <w:rFonts w:ascii="宋体" w:hAnsi="宋体" w:eastAsia="宋体" w:cs="宋体"/>
      <w:sz w:val="21"/>
      <w:szCs w:val="21"/>
    </w:rPr>
  </w:style>
  <w:style w:type="table" w:styleId="4">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
    <w:name w:val="Table Text"/>
    <w:basedOn w:val="1"/>
    <w:semiHidden/>
    <w:qFormat/>
    <w:uiPriority w:val="0"/>
    <w:rPr>
      <w:rFonts w:ascii="宋体" w:hAnsi="宋体" w:eastAsia="宋体" w:cs="宋体"/>
      <w:sz w:val="21"/>
      <w:szCs w:val="21"/>
      <w:lang w:val="en-US" w:eastAsia="en-US"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2265</Words>
  <Characters>2316</Characters>
  <Lines>0</Lines>
  <Paragraphs>0</Paragraphs>
  <TotalTime>5</TotalTime>
  <ScaleCrop>false</ScaleCrop>
  <LinksUpToDate>false</LinksUpToDate>
  <CharactersWithSpaces>2940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2025-06-24T02:08:00Z</dcterms:created>
  <dc:creator>静游</dc:creator>
  <cp:lastModifiedBy>静游</cp:lastModifiedBy>
  <dcterms:modified xsi:type="dcterms:W3CDTF">2026-08-10T09:09:33Z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1FE591E19BF74857BCFC295E1C29CC16_13</vt:lpwstr>
  </property>
  <property fmtid="{D5CDD505-2E9C-101B-9397-08002B2CF9AE}" pid="4" name="KSOTemplateDocerSaveRecord">
    <vt:lpwstr>eyJoZGlkIjoiYzNkMjk0YzE2MzcwZWYyNDcwNzZmMzFkYTUyMGQxOTMiLCJ1c2VySWQiOiIzMDAyOTMwODQifQ==</vt:lpwstr>
  </property>
</Properties>
</file>