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版本号：GXCZ-A1-2657033720260727001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真空压力衰减检漏仪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GXCZ-A1-26570337</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国信国际工程咨询集团股份有限公司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国信国际工程咨询集团股份有限公司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真空压力衰减检漏仪</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GXCZ-A1-26570337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真空压力衰减检漏仪</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是西安石油大学极端条件下天然气管道输送与流动安全保障实验子平台的重要部分，旨在搭建专业、高精度的真空检测检测平台，针对国内尤其储运领域前沿的低温能源储运管道、容器真空保冷结构的研究和测试，实现传统检漏方法无法满足高精度、高速、宽范围的检测需求。该平台可检测LNG、液氢、液氦等介质存储输送装置保冷结构的真空程度，以及真空衰减速率，为油气储运相关领域的科研工作、产业安全标准制定提供核心的试验数据与技术支撑，同时满足相关科研项目的试验需求，全面提升在输气安全领域的科研能力与技术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1、法定代表人身份证或法定代表人授权书及授权代表身份证：法定代表人参加投标的，须提供法定代表人身份证明；法定代表人授权他人参加投标的，须提供法定代表人授权委托书。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国信国际工程咨询集团股份有限公司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第五鹏飞、肖君玲、贾天佼、崔震宇、杜静、刘洋、张海飞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15029601084、15637780510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开户名称：国信国际工程咨询集团股份有限公司陕西分公司</w:t>
            </w:r>
          </w:p>
          <w:p>
            <w:pPr>
              <w:pStyle w:val="null3"/>
            </w:pPr>
            <w:r>
              <w:rPr>
                <w:rFonts w:ascii="仿宋_GB2312" w:hAnsi="仿宋_GB2312" w:cs="仿宋_GB2312" w:eastAsia="仿宋_GB2312"/>
              </w:rPr>
              <w:t>开户银行：招商银行西安城南支行</w:t>
            </w:r>
          </w:p>
          <w:p>
            <w:pPr>
              <w:pStyle w:val="null3"/>
            </w:pPr>
            <w:r>
              <w:rPr>
                <w:rFonts w:ascii="仿宋_GB2312" w:hAnsi="仿宋_GB2312" w:cs="仿宋_GB2312" w:eastAsia="仿宋_GB2312"/>
              </w:rPr>
              <w:t>银行账号：1299054558101012600016283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待合同执行完毕、验收合格后凭验收单和缴款收据，合同履约保证金予以无息退还。如遇下列情况之一者，合同履约保证金不予退还，作为对采购人的赔偿，且采购人有权解除本合同：（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号）和（发改办价格[2011]534号）货物类收费标准的90%，按照成交金额差额定率累进法计算。服务费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国信国际工程咨询集团股份有限公司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国信国际工程咨询集团股份有限公司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国信国际工程咨询集团股份有限公司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国信国际工程咨询集团股份有限公司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联系人：第五鹏飞、肖君玲</w:t>
      </w:r>
    </w:p>
    <w:p>
      <w:pPr>
        <w:pStyle w:val="null3"/>
      </w:pPr>
      <w:r>
        <w:rPr>
          <w:rFonts w:ascii="仿宋_GB2312" w:hAnsi="仿宋_GB2312" w:cs="仿宋_GB2312" w:eastAsia="仿宋_GB2312"/>
        </w:rPr>
        <w:t>联系电话：15029601084</w:t>
      </w:r>
    </w:p>
    <w:p>
      <w:pPr>
        <w:pStyle w:val="null3"/>
      </w:pPr>
      <w:r>
        <w:rPr>
          <w:rFonts w:ascii="仿宋_GB2312" w:hAnsi="仿宋_GB2312" w:cs="仿宋_GB2312" w:eastAsia="仿宋_GB2312"/>
        </w:rPr>
        <w:t>地址：陕西省西安市雁塔区南二环西段成长大厦20层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本项目主要用于西安石油大学极端条件下天然气管道输送与流动安全保障实验子平台建设，是其重要组成部分。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真空压力衰减检漏仪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标的名称：真空压力衰减检漏仪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测量装置</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1"/>
                <w:color w:val="000000"/>
              </w:rPr>
              <w:t>★</w:t>
            </w:r>
            <w:r>
              <w:rPr>
                <w:rFonts w:ascii="仿宋_GB2312" w:hAnsi="仿宋_GB2312" w:cs="仿宋_GB2312" w:eastAsia="仿宋_GB2312"/>
                <w:sz w:val="20"/>
                <w:color w:val="000000"/>
              </w:rPr>
              <w:t>可实现真空模式下的泄漏检测，氦气</w:t>
            </w:r>
            <w:r>
              <w:rPr>
                <w:rFonts w:ascii="仿宋_GB2312" w:hAnsi="仿宋_GB2312" w:cs="仿宋_GB2312" w:eastAsia="仿宋_GB2312"/>
                <w:sz w:val="20"/>
                <w:color w:val="000000"/>
              </w:rPr>
              <w:t>的</w:t>
            </w:r>
            <w:r>
              <w:rPr>
                <w:rFonts w:ascii="仿宋_GB2312" w:hAnsi="仿宋_GB2312" w:cs="仿宋_GB2312" w:eastAsia="仿宋_GB2312"/>
                <w:sz w:val="20"/>
                <w:color w:val="000000"/>
              </w:rPr>
              <w:t>最低可检测泄漏率（喷枪测试）</w:t>
            </w:r>
            <w:r>
              <w:rPr>
                <w:rFonts w:ascii="仿宋_GB2312" w:hAnsi="仿宋_GB2312" w:cs="仿宋_GB2312" w:eastAsia="仿宋_GB2312"/>
                <w:sz w:val="20"/>
                <w:color w:val="000000"/>
              </w:rPr>
              <w:t>≤</w:t>
            </w:r>
            <w:r>
              <w:rPr>
                <w:rFonts w:ascii="仿宋_GB2312" w:hAnsi="仿宋_GB2312" w:cs="仿宋_GB2312" w:eastAsia="仿宋_GB2312"/>
                <w:sz w:val="20"/>
                <w:color w:val="000000"/>
              </w:rPr>
              <w:t>5×10</w:t>
            </w:r>
            <w:r>
              <w:rPr>
                <w:rFonts w:ascii="仿宋_GB2312" w:hAnsi="仿宋_GB2312" w:cs="仿宋_GB2312" w:eastAsia="仿宋_GB2312"/>
                <w:sz w:val="20"/>
                <w:color w:val="000000"/>
                <w:vertAlign w:val="superscript"/>
              </w:rPr>
              <w:t>-13</w:t>
            </w:r>
            <w:r>
              <w:rPr>
                <w:rFonts w:ascii="仿宋_GB2312" w:hAnsi="仿宋_GB2312" w:cs="仿宋_GB2312" w:eastAsia="仿宋_GB2312"/>
                <w:sz w:val="20"/>
                <w:color w:val="000000"/>
              </w:rPr>
              <w:t>Pa·m³/s</w:t>
            </w:r>
            <w:r>
              <w:rPr>
                <w:rFonts w:ascii="仿宋_GB2312" w:hAnsi="仿宋_GB2312" w:cs="仿宋_GB2312" w:eastAsia="仿宋_GB2312"/>
                <w:sz w:val="20"/>
                <w:color w:val="000000"/>
              </w:rPr>
              <w:t>，</w:t>
            </w:r>
            <w:r>
              <w:rPr>
                <w:rFonts w:ascii="仿宋_GB2312" w:hAnsi="仿宋_GB2312" w:cs="仿宋_GB2312" w:eastAsia="仿宋_GB2312"/>
                <w:sz w:val="20"/>
                <w:color w:val="000000"/>
              </w:rPr>
              <w:t>氢气的最低可检测泄漏率（吸枪检测）</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10⁻¹⁰Pa.m³/s。</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1"/>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1"/>
                <w:color w:val="000000"/>
              </w:rPr>
              <w:t>⁴He</w:t>
            </w:r>
            <w:r>
              <w:rPr>
                <w:rFonts w:ascii="仿宋_GB2312" w:hAnsi="仿宋_GB2312" w:cs="仿宋_GB2312" w:eastAsia="仿宋_GB2312"/>
                <w:sz w:val="21"/>
                <w:color w:val="000000"/>
              </w:rPr>
              <w:t>、</w:t>
            </w:r>
            <w:r>
              <w:rPr>
                <w:rFonts w:ascii="仿宋_GB2312" w:hAnsi="仿宋_GB2312" w:cs="仿宋_GB2312" w:eastAsia="仿宋_GB2312"/>
                <w:sz w:val="21"/>
                <w:color w:val="000000"/>
              </w:rPr>
              <w:t>³He</w:t>
            </w:r>
            <w:r>
              <w:rPr>
                <w:rFonts w:ascii="仿宋_GB2312" w:hAnsi="仿宋_GB2312" w:cs="仿宋_GB2312" w:eastAsia="仿宋_GB2312"/>
                <w:sz w:val="21"/>
                <w:color w:val="000000"/>
              </w:rPr>
              <w:t>、</w:t>
            </w:r>
            <w:r>
              <w:rPr>
                <w:rFonts w:ascii="仿宋_GB2312" w:hAnsi="仿宋_GB2312" w:cs="仿宋_GB2312" w:eastAsia="仿宋_GB2312"/>
                <w:sz w:val="21"/>
                <w:color w:val="000000"/>
              </w:rPr>
              <w:t>H₂</w:t>
            </w:r>
            <w:r>
              <w:rPr>
                <w:rFonts w:ascii="仿宋_GB2312" w:hAnsi="仿宋_GB2312" w:cs="仿宋_GB2312" w:eastAsia="仿宋_GB2312"/>
                <w:sz w:val="20"/>
                <w:color w:val="000000"/>
              </w:rPr>
              <w:t>等气体，检测量程基于最高真空度</w:t>
            </w:r>
            <w:r>
              <w:rPr>
                <w:rFonts w:ascii="仿宋_GB2312" w:hAnsi="仿宋_GB2312" w:cs="仿宋_GB2312" w:eastAsia="仿宋_GB2312"/>
                <w:sz w:val="20"/>
                <w:color w:val="000000"/>
              </w:rPr>
              <w:t>（</w:t>
            </w:r>
            <w:r>
              <w:rPr>
                <w:rFonts w:ascii="仿宋_GB2312" w:hAnsi="仿宋_GB2312" w:cs="仿宋_GB2312" w:eastAsia="仿宋_GB2312"/>
                <w:sz w:val="20"/>
                <w:color w:val="000000"/>
              </w:rPr>
              <w:t>≤0.1Pa）</w:t>
            </w:r>
            <w:r>
              <w:rPr>
                <w:rFonts w:ascii="仿宋_GB2312" w:hAnsi="仿宋_GB2312" w:cs="仿宋_GB2312" w:eastAsia="仿宋_GB2312"/>
                <w:sz w:val="20"/>
                <w:color w:val="000000"/>
              </w:rPr>
              <w:t>可调。</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检漏压强</w:t>
            </w:r>
            <w:r>
              <w:rPr>
                <w:rFonts w:ascii="仿宋_GB2312" w:hAnsi="仿宋_GB2312" w:cs="仿宋_GB2312" w:eastAsia="仿宋_GB2312"/>
                <w:sz w:val="20"/>
                <w:color w:val="000000"/>
              </w:rPr>
              <w:t>≥</w:t>
            </w:r>
            <w:r>
              <w:rPr>
                <w:rFonts w:ascii="仿宋_GB2312" w:hAnsi="仿宋_GB2312" w:cs="仿宋_GB2312" w:eastAsia="仿宋_GB2312"/>
                <w:sz w:val="20"/>
                <w:color w:val="000000"/>
              </w:rPr>
              <w:t>2500Pa，耐压</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10000Pa，抽气速率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2.5L/s，响应时间≤1s。</w:t>
            </w:r>
          </w:p>
          <w:p>
            <w:pPr>
              <w:pStyle w:val="null3"/>
            </w:pPr>
            <w:r>
              <w:rPr>
                <w:rFonts w:ascii="仿宋_GB2312" w:hAnsi="仿宋_GB2312" w:cs="仿宋_GB2312" w:eastAsia="仿宋_GB2312"/>
                <w:sz w:val="20"/>
                <w:color w:val="000000"/>
              </w:rPr>
              <w:t>1.4</w:t>
            </w:r>
            <w:r>
              <w:rPr>
                <w:rFonts w:ascii="仿宋_GB2312" w:hAnsi="仿宋_GB2312" w:cs="仿宋_GB2312" w:eastAsia="仿宋_GB2312"/>
                <w:sz w:val="20"/>
                <w:color w:val="000000"/>
              </w:rPr>
              <w:t>具备旁抽功能，可独立控制电磁阀</w:t>
            </w:r>
            <w:r>
              <w:rPr>
                <w:rFonts w:ascii="仿宋_GB2312" w:hAnsi="仿宋_GB2312" w:cs="仿宋_GB2312" w:eastAsia="仿宋_GB2312"/>
                <w:sz w:val="20"/>
                <w:color w:val="000000"/>
              </w:rPr>
              <w:t>、</w:t>
            </w:r>
            <w:r>
              <w:rPr>
                <w:rFonts w:ascii="仿宋_GB2312" w:hAnsi="仿宋_GB2312" w:cs="仿宋_GB2312" w:eastAsia="仿宋_GB2312"/>
                <w:sz w:val="20"/>
                <w:color w:val="000000"/>
              </w:rPr>
              <w:t>分子泵</w:t>
            </w:r>
            <w:r>
              <w:rPr>
                <w:rFonts w:ascii="仿宋_GB2312" w:hAnsi="仿宋_GB2312" w:cs="仿宋_GB2312" w:eastAsia="仿宋_GB2312"/>
                <w:sz w:val="20"/>
                <w:color w:val="000000"/>
              </w:rPr>
              <w:t>、</w:t>
            </w:r>
            <w:r>
              <w:rPr>
                <w:rFonts w:ascii="仿宋_GB2312" w:hAnsi="仿宋_GB2312" w:cs="仿宋_GB2312" w:eastAsia="仿宋_GB2312"/>
                <w:sz w:val="20"/>
                <w:color w:val="000000"/>
              </w:rPr>
              <w:t>质谱室运转。</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能够监测分子泵、机械泵的运行时间，监测灯丝工作时间，自动提示润滑油、灯丝更换</w:t>
            </w:r>
            <w:r>
              <w:rPr>
                <w:rFonts w:ascii="仿宋_GB2312" w:hAnsi="仿宋_GB2312" w:cs="仿宋_GB2312" w:eastAsia="仿宋_GB2312"/>
                <w:sz w:val="20"/>
                <w:color w:val="000000"/>
              </w:rPr>
              <w:t>等功能</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1.6</w:t>
            </w:r>
            <w:r>
              <w:rPr>
                <w:rFonts w:ascii="仿宋_GB2312" w:hAnsi="仿宋_GB2312" w:cs="仿宋_GB2312" w:eastAsia="仿宋_GB2312"/>
                <w:sz w:val="20"/>
                <w:color w:val="000000"/>
              </w:rPr>
              <w:t>配备检漏盘、喷枪、真空脂、球胆、密封圈、泵润滑油、灯丝等配件和耗材（至少</w:t>
            </w:r>
            <w:r>
              <w:rPr>
                <w:rFonts w:ascii="仿宋_GB2312" w:hAnsi="仿宋_GB2312" w:cs="仿宋_GB2312" w:eastAsia="仿宋_GB2312"/>
                <w:sz w:val="20"/>
                <w:color w:val="000000"/>
              </w:rPr>
              <w:t>3套）。配备不少于2套检漏接管、管嘴、阀门。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数据分析处理</w:t>
            </w:r>
          </w:p>
          <w:p>
            <w:pPr>
              <w:pStyle w:val="null3"/>
            </w:pPr>
            <w:r>
              <w:rPr>
                <w:rFonts w:ascii="仿宋_GB2312" w:hAnsi="仿宋_GB2312" w:cs="仿宋_GB2312" w:eastAsia="仿宋_GB2312"/>
                <w:sz w:val="20"/>
                <w:color w:val="000000"/>
              </w:rPr>
              <w:t>2.1</w:t>
            </w:r>
            <w:r>
              <w:rPr>
                <w:rFonts w:ascii="仿宋_GB2312" w:hAnsi="仿宋_GB2312" w:cs="仿宋_GB2312" w:eastAsia="仿宋_GB2312"/>
                <w:sz w:val="20"/>
                <w:color w:val="000000"/>
              </w:rPr>
              <w:t>专用分析、处理、显示终端（</w:t>
            </w:r>
            <w:r>
              <w:rPr>
                <w:rFonts w:ascii="仿宋_GB2312" w:hAnsi="仿宋_GB2312" w:cs="仿宋_GB2312" w:eastAsia="仿宋_GB2312"/>
                <w:sz w:val="20"/>
                <w:color w:val="000000"/>
              </w:rPr>
              <w:t>计算能力</w:t>
            </w:r>
            <w:r>
              <w:rPr>
                <w:rFonts w:ascii="仿宋_GB2312" w:hAnsi="仿宋_GB2312" w:cs="仿宋_GB2312" w:eastAsia="仿宋_GB2312"/>
                <w:sz w:val="20"/>
                <w:color w:val="000000"/>
              </w:rPr>
              <w:t>FP32峰值</w:t>
            </w:r>
            <w:r>
              <w:rPr>
                <w:rFonts w:ascii="仿宋_GB2312" w:hAnsi="仿宋_GB2312" w:cs="仿宋_GB2312" w:eastAsia="仿宋_GB2312"/>
                <w:sz w:val="20"/>
                <w:color w:val="000000"/>
              </w:rPr>
              <w:t>≥</w:t>
            </w:r>
            <w:r>
              <w:rPr>
                <w:rFonts w:ascii="仿宋_GB2312" w:hAnsi="仿宋_GB2312" w:cs="仿宋_GB2312" w:eastAsia="仿宋_GB2312"/>
                <w:sz w:val="20"/>
                <w:color w:val="000000"/>
              </w:rPr>
              <w:t>15TFlops,计算能力FP64峰值≥2Tflops，内存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64G</w:t>
            </w:r>
            <w:r>
              <w:rPr>
                <w:rFonts w:ascii="仿宋_GB2312" w:hAnsi="仿宋_GB2312" w:cs="仿宋_GB2312" w:eastAsia="仿宋_GB2312"/>
                <w:sz w:val="20"/>
                <w:color w:val="000000"/>
              </w:rPr>
              <w:t>，</w:t>
            </w:r>
            <w:r>
              <w:rPr>
                <w:rFonts w:ascii="仿宋_GB2312" w:hAnsi="仿宋_GB2312" w:cs="仿宋_GB2312" w:eastAsia="仿宋_GB2312"/>
                <w:sz w:val="20"/>
                <w:color w:val="000000"/>
              </w:rPr>
              <w:t>数据储存能力</w:t>
            </w:r>
            <w:r>
              <w:rPr>
                <w:rFonts w:ascii="仿宋_GB2312" w:hAnsi="仿宋_GB2312" w:cs="仿宋_GB2312" w:eastAsia="仿宋_GB2312"/>
                <w:sz w:val="20"/>
                <w:color w:val="000000"/>
              </w:rPr>
              <w:t>≥</w:t>
            </w:r>
            <w:r>
              <w:rPr>
                <w:rFonts w:ascii="仿宋_GB2312" w:hAnsi="仿宋_GB2312" w:cs="仿宋_GB2312" w:eastAsia="仿宋_GB2312"/>
                <w:sz w:val="20"/>
                <w:color w:val="000000"/>
              </w:rPr>
              <w:t>8T</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I/O、</w:t>
            </w:r>
            <w:r>
              <w:rPr>
                <w:rFonts w:ascii="仿宋_GB2312" w:hAnsi="仿宋_GB2312" w:cs="仿宋_GB2312" w:eastAsia="仿宋_GB2312"/>
                <w:sz w:val="20"/>
                <w:color w:val="000000"/>
              </w:rPr>
              <w:t>RS</w:t>
            </w:r>
            <w:r>
              <w:rPr>
                <w:rFonts w:ascii="仿宋_GB2312" w:hAnsi="仿宋_GB2312" w:cs="仿宋_GB2312" w:eastAsia="仿宋_GB2312"/>
                <w:sz w:val="20"/>
                <w:color w:val="000000"/>
              </w:rPr>
              <w:t>232、USB等通讯接口，可实现数据的实时采集、存储、传输与分析。具有自动、手动调零、调峰和校准功能。</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1"/>
                <w:color w:val="000000"/>
              </w:rPr>
              <w:t>★</w:t>
            </w:r>
            <w:r>
              <w:rPr>
                <w:rFonts w:ascii="仿宋_GB2312" w:hAnsi="仿宋_GB2312" w:cs="仿宋_GB2312" w:eastAsia="仿宋_GB2312"/>
                <w:sz w:val="20"/>
                <w:color w:val="000000"/>
              </w:rPr>
              <w:t>具备容器本体真空绝热</w:t>
            </w:r>
            <w:r>
              <w:rPr>
                <w:rFonts w:ascii="仿宋_GB2312" w:hAnsi="仿宋_GB2312" w:cs="仿宋_GB2312" w:eastAsia="仿宋_GB2312"/>
                <w:sz w:val="20"/>
                <w:color w:val="000000"/>
              </w:rPr>
              <w:t>/保冷层自动参数建模功能，根据泄漏率/真空度测量结果开展保温能力计算，考虑导热、辐射作用，分析被测对象总热阻。具备分析含冷屏容器的保冷能力计算功能，分析被测对象总热阻，自动输出计算结果、温度分布。</w:t>
            </w:r>
            <w:r>
              <w:rPr>
                <w:rFonts w:ascii="仿宋_GB2312" w:hAnsi="仿宋_GB2312" w:cs="仿宋_GB2312" w:eastAsia="仿宋_GB2312"/>
                <w:sz w:val="20"/>
                <w:color w:val="000000"/>
              </w:rPr>
              <w:t>具备容器接管保温层自动参数建模功能，根据温度、流量测量结果开展保温能力计算，考虑导热、对流作用，分析被测对象总热阻，自动输出计算结果、温度分布。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0"/>
                <w:color w:val="000000"/>
              </w:rPr>
              <w:t>氢气探测器</w:t>
            </w:r>
          </w:p>
          <w:p>
            <w:pPr>
              <w:pStyle w:val="null3"/>
            </w:pPr>
            <w:r>
              <w:rPr>
                <w:rFonts w:ascii="仿宋_GB2312" w:hAnsi="仿宋_GB2312" w:cs="仿宋_GB2312" w:eastAsia="仿宋_GB2312"/>
                <w:sz w:val="20"/>
                <w:color w:val="000000"/>
              </w:rPr>
              <w:t>含探测、报警、信号输出功能，数量</w:t>
            </w:r>
            <w:r>
              <w:rPr>
                <w:rFonts w:ascii="仿宋_GB2312" w:hAnsi="仿宋_GB2312" w:cs="仿宋_GB2312" w:eastAsia="仿宋_GB2312"/>
                <w:sz w:val="20"/>
                <w:color w:val="000000"/>
              </w:rPr>
              <w:t>≥2套；当局部环境氢气体积浓度达到200ppm时触发报警机制。</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color w:val="000000"/>
              </w:rPr>
              <w:t>供应商拟投产品必须满足所有技术参数要求，提供相关证明材料。</w:t>
            </w:r>
            <w:r>
              <w:br/>
            </w:r>
            <w:r>
              <w:rPr>
                <w:rFonts w:ascii="仿宋_GB2312" w:hAnsi="仿宋_GB2312" w:cs="仿宋_GB2312" w:eastAsia="仿宋_GB2312"/>
                <w:sz w:val="20"/>
                <w:color w:val="000000"/>
              </w:rPr>
              <w:t xml:space="preserve"> 其中，标注“★”的参数提供的证明材料包括但不限于产品规格表、产品宣传彩页、技术白皮书、制造商官方网站发布的产品信息、说明书或检测机构出具的检测报告等，至少提供以上一项证明材料予以证明其技术参数的响应性；</w:t>
            </w:r>
            <w:r>
              <w:br/>
            </w:r>
            <w:r>
              <w:rPr>
                <w:rFonts w:ascii="仿宋_GB2312" w:hAnsi="仿宋_GB2312" w:cs="仿宋_GB2312" w:eastAsia="仿宋_GB2312"/>
                <w:sz w:val="20"/>
                <w:color w:val="000000"/>
              </w:rPr>
              <w:t xml:space="preserve"> 未标注“★”的参数提供的证明材料包括但不限于技术方案、产品规格表、产品宣传彩页、技术白皮书、制造商官方网站发布的产品信息、技术偏离表、说明书或检测机构出具的检测报告等，至少提供以上一项证明材料予以证明其技术参数的响应性。</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一次性付清”为系统固定推送内容，具体付款方式以下列内容为准：合同签订后，供应商开具预付款等额银行保函，采购人收到银行保函正本后10个工作日内支付预付款，最多支付至40万，剩余款项待验收合格后，并出具增值税专用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（1）验收以最终验收为准；（2）货物安装调试运行正常后，采购人按学校相关业务部门规定提交验收申请，学校根据采购单位技术验收结果，组织有关专家进行货物的最终验收。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供应商自行选择，但包装必须符合国家标准或行业标准，满足航空、铁路或公路运输以及货物装卸要求，保证采购人收到的是无任何损伤的货物。否则，因此造成的损失由供应商自行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质保期：自学校验收合格之日起3年。保修期：供应商提供1年的免费保修,保修期自仪器验收签字之日起计算。保修期间维修及零件更换费用由供应商负担。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交付货物不符合其投标承诺，存在偷工减料、以次充好情形的，采购人要求更换一次后仍不符合约定的，采购人有权解除采购合同，没收履约保证金，供应商退还预付款，并将有关情况上报政府采购监管部门处理。其他内容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1、培训要求：在采购人所在地对采购人进行为期1周的培训。培训内容包括仪器的技术原理、操作、数据处理、基本维护等。验收后半年内组织买方相关人员2人参加举办的相关应用培训班。 2、报价要求：响应报价是指到达使用地点、验收合格达到正常使用条件前的所有费用，包括但不限于以下费用：货物价值、安装调试费、运杂费（含保险）、仓储保管费、技术培训费、检测费、施工费、人工费等全部相关费用。 3、谈判保证金注意事项： （1）谈判保证金缴纳截止时间：同响应文件递交截止时间一致； （2）谈判保证金须从投标人户名支付，如从个人户名或非供应商户名支付，将被拒绝，视为自动放弃响应权利（该个人是供应商的情形除外）；以保函形式交纳谈判保证金的，供应商应在响应文件递交截止时间前将保函扫描成清晰的PDF文件，发送至邮箱gx86533155@163.com（邮件命名：项目编号）。保函必须由具有开具投标保函资格的单位开具；若供应商违约，开具保函单位承担连带责任。 4、成交供应商应在中标结果发布后2日内提供与电子化交易平台上传一致的纸质投标文件2份。5、场地基础承载要求（如涉及）：供货方需根据本次重型仪器整机自重、设备重心分布、配套附属构件总荷载，提供完整设备基础施工图纸、地面荷载验算报告及地面加固技术方案；设备放置区域地面均布承载力不得低于仪器满载总重量1.5倍，局部集中承重点位需满足设备支脚单点承重需求，地面平整度误差≤2mm/m，地面无沉降、空鼓、开裂缺陷；若现场原有地面承载力不满足安装条件，成交供应商须免费提供地面加固、承重基座制作全套施工方案并完成施工，所有施工材料、人工、检测费用全部包含在投标总价内。 6、整机就位、调平与减震安装要求（如涉及）：设备进场就位后，成交供应商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7、质保期内成交供应商提供免费搬迁和安装调试1次，本次搬迁和安装调试过程中所产生的一切费用由成交供应商承担；本次搬迁和安装调试过程中仪器出现的一切故障和损坏由成交供应商免费修复。 8、售后服务效率要求：7*24 即时响应（包括电话响应）；电话响应无法解决时，24小时内到达现场。修复时间48小时内；如48小时内无法修复，成交供应商应提供相应解决方案。 9、售后服务标准要求：技术服务：（1）设备安装、调试和验收。（2）成交供应商应在合同生效后的1个月内向用户提供详细的安装要求并提供技术咨询。（3)仪器到达用户所在地，在接到用户通知后一周内进行安装调试，直至通过验收。（4）维修响应时间：成交供应商应在24小时内对采购人的服务要求作出响应，维修服务包括电话指导和现场维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其他资格证明材料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企业提供会计师事务所出具的完整的2025年度审计报告（成立时间至投标截止时间不足一年的可提供成立后任意时段的资产负债表)，或投标截止时间前6个月内（2025年12月1日后）其基本账户银行出具的资信证明（附开户许可证或基本银行证明以证明该户为基本户），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其他资格证明材料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法定代表人身份证或法定代表人授权书及授权代表身份证</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w:t>
            </w:r>
          </w:p>
        </w:tc>
        <w:tc>
          <w:tcPr>
            <w:tcW w:type="dxa" w:w="1661"/>
          </w:tcPr>
          <w:p>
            <w:pPr>
              <w:pStyle w:val="null3"/>
            </w:pPr>
            <w:r>
              <w:rPr>
                <w:rFonts w:ascii="仿宋_GB2312" w:hAnsi="仿宋_GB2312" w:cs="仿宋_GB2312" w:eastAsia="仿宋_GB2312"/>
              </w:rPr>
              <w:t>法定代表人负责人授权委托书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交货时间为本合同生效后90天内到货并安装调试交付使用</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预付款等额银行保函，采购人收到银行保函正本后10个工作日内支付预付款，最多支付至40万，剩余款项待验收合格后，并出具增值税专用发票，达到付款条件起10个工作日内，支付合同总金额的100.0%。</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投标保证金缴纳凭证或电子保函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不超过项目最高限价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标注“★”的参数为实质性要求，须提供符合要求的证明材料，未提供或虽提供但不符合的按无效文件处理。</w:t>
            </w:r>
          </w:p>
        </w:tc>
        <w:tc>
          <w:tcPr>
            <w:tcW w:type="dxa" w:w="1661"/>
          </w:tcPr>
          <w:p>
            <w:pPr>
              <w:pStyle w:val="null3"/>
            </w:pPr>
            <w:r>
              <w:rPr>
                <w:rFonts w:ascii="仿宋_GB2312" w:hAnsi="仿宋_GB2312" w:cs="仿宋_GB2312" w:eastAsia="仿宋_GB2312"/>
              </w:rPr>
              <w:t>技术偏离表 供货服务方案 本国产品说明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其他未实质响应招标文件内容或违反法律法规的行为</w:t>
            </w:r>
          </w:p>
        </w:tc>
        <w:tc>
          <w:tcPr>
            <w:tcW w:type="dxa" w:w="1661"/>
          </w:tcPr>
          <w:p>
            <w:pPr>
              <w:pStyle w:val="null3"/>
            </w:pPr>
            <w:r>
              <w:rPr>
                <w:rFonts w:ascii="仿宋_GB2312" w:hAnsi="仿宋_GB2312" w:cs="仿宋_GB2312" w:eastAsia="仿宋_GB2312"/>
              </w:rPr>
              <w:t>法定代表人负责人授权委托书 技术偏离表 响应承诺书 本国产品说明 供货服务方案 中小企业声明函 供应商拒绝政府采购领域商业贿赂承诺书 其他资格证明材料 报价表 中国境内生产的组件成本核算基本规则 响应文件封面 残疾人福利性单位声明函 标的清单 关于符合本国产品标准的声明函 商务要求应答表 响应函 监狱企业的证明文件 投标保证金缴纳凭证或电子保函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按照最后报价由低到高的顺序推荐，最后报价相同的，按照技术指标优劣顺序推荐，最后报价且技术指标均相同的，成交候选供应商并列。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详见附件：法定代表人负责人授权委托书</w:t>
      </w:r>
    </w:p>
    <w:p>
      <w:pPr>
        <w:pStyle w:val="null3"/>
        <w:ind w:firstLine="960"/>
      </w:pPr>
      <w:r>
        <w:rPr>
          <w:rFonts w:ascii="仿宋_GB2312" w:hAnsi="仿宋_GB2312" w:cs="仿宋_GB2312" w:eastAsia="仿宋_GB2312"/>
        </w:rPr>
        <w:t>详见附件：供货服务方案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详见附件：其他资格证明材料</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详见附件：投标保证金缴纳凭证或电子保函</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详见附件：技术偏离表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