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2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技术偏离表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 xml:space="preserve">}                     </w:t>
      </w:r>
    </w:p>
    <w:tbl>
      <w:tblPr>
        <w:tblStyle w:val="8"/>
        <w:tblW w:w="879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5612"/>
        <w:gridCol w:w="809"/>
        <w:gridCol w:w="851"/>
        <w:gridCol w:w="942"/>
      </w:tblGrid>
      <w:tr w14:paraId="64DC6F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7666D945">
            <w:pPr>
              <w:pStyle w:val="1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612" w:type="dxa"/>
            <w:vAlign w:val="center"/>
          </w:tcPr>
          <w:p w14:paraId="4F20410E">
            <w:pPr>
              <w:pStyle w:val="1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谈判文件要求</w:t>
            </w:r>
          </w:p>
        </w:tc>
        <w:tc>
          <w:tcPr>
            <w:tcW w:w="809" w:type="dxa"/>
            <w:vAlign w:val="center"/>
          </w:tcPr>
          <w:p w14:paraId="19EFA644">
            <w:pPr>
              <w:pStyle w:val="1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响应</w:t>
            </w:r>
          </w:p>
        </w:tc>
        <w:tc>
          <w:tcPr>
            <w:tcW w:w="851" w:type="dxa"/>
            <w:vAlign w:val="center"/>
          </w:tcPr>
          <w:p w14:paraId="792935B1">
            <w:pPr>
              <w:pStyle w:val="15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偏离情况</w:t>
            </w:r>
          </w:p>
        </w:tc>
        <w:tc>
          <w:tcPr>
            <w:tcW w:w="942" w:type="dxa"/>
            <w:vAlign w:val="center"/>
          </w:tcPr>
          <w:p w14:paraId="5802B81A">
            <w:pPr>
              <w:pStyle w:val="15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支撑材料对应页码</w:t>
            </w:r>
          </w:p>
        </w:tc>
      </w:tr>
      <w:tr w14:paraId="66CFBB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3592A1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037EC3C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测量装置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79E4788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9257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20A0E2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DAFF8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45E8F8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1.1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2BC698A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可实现真空模式下的泄漏检测，氦气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最低可检测泄漏率（喷枪测试）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5×10-13Pa·m³/s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氢气的最低可检测泄漏率（吸枪检测）≤5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10⁻¹⁰Pa.m³/s。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270C02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1670E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28B5B24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1B2265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12F444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1.2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0D91827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支持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⁴He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³He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H₂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等气体，检测量程基于最高真空度（≤0.1Pa）可调。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59D2D3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B20534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7B02E3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09D2A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576" w:type="dxa"/>
            <w:shd w:val="clear" w:color="auto" w:fill="auto"/>
            <w:vAlign w:val="center"/>
          </w:tcPr>
          <w:p w14:paraId="50D875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1.3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561C191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检漏压强≥2500Pa，耐压≥10000Pa，抽气速率≥2.5L/s，响应时间≤1s。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7FFB2A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82E42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6BA4D7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3EFBA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627C24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1.4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41CC5E6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具备旁抽功能，可独立控制电磁阀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分子泵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质谱室运转。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4BEDC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540D6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1FFF97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D9814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1F238EC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1.5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2B8A9EA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能够监测分子泵、机械泵的运行时间，监测灯丝工作时间，自动提示润滑油、灯丝更换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等功能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7EC5E6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7A553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3B28F7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0BEB5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6" w:type="dxa"/>
            <w:shd w:val="clear" w:color="auto" w:fill="auto"/>
            <w:vAlign w:val="center"/>
          </w:tcPr>
          <w:p w14:paraId="153BC9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1.6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30322DB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配备检漏盘、喷枪、真空脂、球胆、密封圈、泵润滑油、灯丝等配件和耗材（至少3套）。配备不少于2套检漏接管、管嘴、阀门。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F8001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1EA3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7F2DA8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774ABB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5532ED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26D54F0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数据分析处理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64DF6D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A980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562BDF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664C5F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4AFFE811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2.1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6CD7BFA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2.1专用分析、处理、显示终端（计算能力FP32峰值≥15TFlops,计算能力FP64峰值≥2Tflops，内存≥64G，数据储存能力≥8T）。具备I/O、RS232、USB等通讯接口，可实现数据的实时采集、存储、传输与分析。具有自动、手动调零、调峰和校准功能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14AEA34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25B2A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101FA2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ECB7E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77B6AF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2.2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1845D7F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具备容器本体真空绝热/保冷层自动参数建模功能，根据泄漏率/真空度测量结果开展保温能力计算，考虑导热、辐射作用，分析被测对象总热阻。具备分析含冷屏容器的保冷能力计算功能，分析被测对象总热阻，自动输出计算结果、温度分布。</w:t>
            </w:r>
          </w:p>
          <w:p w14:paraId="2903AFD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具备容器接管保温层自动参数建模功能，根据温度、流量测量结果开展保温能力计算，考虑导热、对流作用，分析被测对象总热阻，自动输出计算结果、温度分布。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589214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5644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6D750A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7421B0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22D422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54646228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氢气探测器</w:t>
            </w:r>
          </w:p>
          <w:p w14:paraId="764D272F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含探测、报警、信号输出功能，数量≥2套；当局部环境氢气体积浓度达到200ppm时触发报警机制。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7AC2D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DD9F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51CB7C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22C95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  <w:vAlign w:val="center"/>
          </w:tcPr>
          <w:p w14:paraId="65BD28C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42B7A9D1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供应商拟投产品必须满足所有技术参数要求，提供相关证明材料。</w:t>
            </w:r>
          </w:p>
          <w:p w14:paraId="1D629A2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其中，标注“★”的参数提供的证明材料包括但不限于产品规格表、产品宣传彩页、技术白皮书、制造商官方网站发布的产品信息、说明书或检测机构出具的检测报告等，至少提供以上一项证明材料予以证明其技术参数的响应性；</w:t>
            </w:r>
          </w:p>
          <w:p w14:paraId="0FDE378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未标注“★”的参数提供的证明材料包括但不限于技术方案、产品规格表、产品宣传彩页、技术白皮书、制造商官方网站发布的产品信息、技术偏离表、说明书或检测机构出具的检测报告等，至少提供以上一项证明材料予以证明其技术参数的响应性。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53495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C700F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647F4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6A07608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注：1.供应商根据采购项目的全部技术参数逐条填写此表，并按谈判文件要求提供相应的证明材料。</w:t>
      </w:r>
    </w:p>
    <w:p w14:paraId="1465E3B5">
      <w:pPr>
        <w:keepNext w:val="0"/>
        <w:keepLines w:val="0"/>
        <w:widowControl/>
        <w:suppressLineNumbers w:val="0"/>
        <w:jc w:val="left"/>
      </w:pPr>
      <w:r>
        <w:rPr>
          <w:rFonts w:ascii="Calibri" w:hAnsi="Calibri" w:eastAsia="宋体" w:cs="Calibri"/>
          <w:color w:val="000000"/>
          <w:kern w:val="0"/>
          <w:sz w:val="28"/>
          <w:szCs w:val="28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供应商需把响应产品的制造商家、规格型号、数量进行在此表中明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确响应。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02023E98"/>
    <w:rsid w:val="190B50EC"/>
    <w:rsid w:val="29954C89"/>
    <w:rsid w:val="2E0F62EA"/>
    <w:rsid w:val="483C3CCA"/>
    <w:rsid w:val="593E51BF"/>
    <w:rsid w:val="654939E3"/>
    <w:rsid w:val="67299E01"/>
    <w:rsid w:val="68420F3E"/>
    <w:rsid w:val="6D791AF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标题 3 字符"/>
    <w:basedOn w:val="9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974</Words>
  <Characters>1074</Characters>
  <Lines>1</Lines>
  <Paragraphs>1</Paragraphs>
  <TotalTime>0</TotalTime>
  <ScaleCrop>false</ScaleCrop>
  <LinksUpToDate>false</LinksUpToDate>
  <CharactersWithSpaces>1096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孟孟孟</cp:lastModifiedBy>
  <dcterms:modified xsi:type="dcterms:W3CDTF">2026-07-28T08:59:15Z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eyJoZGlkIjoiOGUxMzE0NGNmY2MxMzc5YjE0OGE4ZjViMzEwODdkNzMiLCJ1c2VySWQiOiIzMDY5OTEwMDEifQ==</vt:lpwstr>
  </property>
  <property fmtid="{D5CDD505-2E9C-101B-9397-08002B2CF9AE}" pid="4" name="ICV">
    <vt:lpwstr>82488466BEED4641B3485CEEB0627AA9_13</vt:lpwstr>
  </property>
</Properties>
</file>