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版本号：JZZB-【2026】-3820260723001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2026年图书馆中国知网系列数据库采购项目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JZZB-【2026】-38</w:t>
      </w:r>
      <w:r>
        <w:br/>
      </w:r>
      <w:r>
        <w:br/>
      </w:r>
      <w:r>
        <w:br/>
      </w:r>
    </w:p>
    <w:p>
      <w:pPr>
        <w:pStyle w:val="null3"/>
        <w:jc w:val="center"/>
        <w:outlineLvl w:val="5"/>
      </w:pPr>
      <w:r>
        <w:rPr>
          <w:rFonts w:ascii="仿宋_GB2312" w:hAnsi="仿宋_GB2312" w:cs="仿宋_GB2312" w:eastAsia="仿宋_GB2312"/>
          <w:sz w:val="15"/>
          <w:b/>
        </w:rPr>
        <w:t>西安石油大学</w:t>
      </w:r>
    </w:p>
    <w:p>
      <w:pPr>
        <w:pStyle w:val="null3"/>
        <w:jc w:val="center"/>
        <w:outlineLvl w:val="5"/>
      </w:pPr>
      <w:r>
        <w:rPr>
          <w:rFonts w:ascii="仿宋_GB2312" w:hAnsi="仿宋_GB2312" w:cs="仿宋_GB2312" w:eastAsia="仿宋_GB2312"/>
          <w:sz w:val="15"/>
          <w:b/>
        </w:rPr>
        <w:t>陕西金泽盛业项目管理有限公司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陕西金泽盛业项目管理有限公司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2026年图书馆中国知网系列数据库采购项目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JZZB-【2026】-38</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2026年图书馆中国知网系列数据库采购项目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CNKI系列数据库”产品为一系列大规模集成整合传播我国期刊、博硕士学位论文、工具书、会议论文、报纸、年鉴、专利、标准、科技成果、古籍等各类文献资源的大型全文数据库和二次文献数据库，以及由文献内容挖掘产生的知识元数据库。</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1、有效的主体资格证明：应提供合法有效的标识有统一社会信用代码的营业执照；事业法人应提供事业单位法人证书；其他组织应提供合法登记证明文件；自然人应提供身份证；并进行电子签章。</w:t>
      </w:r>
    </w:p>
    <w:p>
      <w:pPr>
        <w:pStyle w:val="null3"/>
      </w:pPr>
      <w:r>
        <w:rPr>
          <w:rFonts w:ascii="仿宋_GB2312" w:hAnsi="仿宋_GB2312" w:cs="仿宋_GB2312" w:eastAsia="仿宋_GB2312"/>
        </w:rPr>
        <w:t>2、法定代表人身份证明/授权委托书：法定代表人/负责人直接参加的，只须递交《法定代表人/负责人身份证明》；法定代表人/负责人授权代表参加的，须递交《法定代表人/负责人授权书》，并提供被授权人自2026年1月以来至少一个月在本公司的社会保障资金缴纳证明；并进行电子签章。</w:t>
      </w:r>
    </w:p>
    <w:p>
      <w:pPr>
        <w:pStyle w:val="null3"/>
      </w:pPr>
      <w:r>
        <w:rPr>
          <w:rFonts w:ascii="仿宋_GB2312" w:hAnsi="仿宋_GB2312" w:cs="仿宋_GB2312" w:eastAsia="仿宋_GB2312"/>
        </w:rPr>
        <w:t>3、税收缴纳证明：提供自2025年7月以来至少一个月的纳税证明或完税证明，纳税证明或完税证明上应有代收机构或税务机关的公章或业务专用章；其他组织和自然人提供自2025年7月以来至少一个月缴纳税收的凭据；依法免税的供应商应提供相关文件证明；并进行电子签章。</w:t>
      </w:r>
    </w:p>
    <w:p>
      <w:pPr>
        <w:pStyle w:val="null3"/>
      </w:pPr>
      <w:r>
        <w:rPr>
          <w:rFonts w:ascii="仿宋_GB2312" w:hAnsi="仿宋_GB2312" w:cs="仿宋_GB2312" w:eastAsia="仿宋_GB2312"/>
        </w:rPr>
        <w:t>4、社会保障资金缴纳证明：提供自2025年7月以来至少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5、财务审计报告或资信证明：提供会计师事务所出具的完整的2024年度或2025年度审计报告（成立时间至提交磋商响应文件截止时间不足一年的可提供成立后任意时段的资产负债表)，或开标前3个月内其开户银行出具的资信证明，或信用担保机构出具的投标担保函（以上三种形式的资料提供任何一种即可)；其他组织和自然人提供银行出具的资信证明或财务报表；并进行电子签章。</w:t>
      </w:r>
    </w:p>
    <w:p>
      <w:pPr>
        <w:pStyle w:val="null3"/>
      </w:pPr>
      <w:r>
        <w:rPr>
          <w:rFonts w:ascii="仿宋_GB2312" w:hAnsi="仿宋_GB2312" w:cs="仿宋_GB2312" w:eastAsia="仿宋_GB2312"/>
        </w:rPr>
        <w:t>6、无重大违法记录声明：供应商需提供《无重大违法记录声明》完成承诺；并进行电子签章。</w:t>
      </w:r>
    </w:p>
    <w:p>
      <w:pPr>
        <w:pStyle w:val="null3"/>
      </w:pPr>
      <w:r>
        <w:rPr>
          <w:rFonts w:ascii="仿宋_GB2312" w:hAnsi="仿宋_GB2312" w:cs="仿宋_GB2312" w:eastAsia="仿宋_GB2312"/>
        </w:rPr>
        <w:t>7、承诺函：供应商需提供《具有履行合同所必需的设备和专业技术能力的承诺书》完成承诺；并进行电子签章。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陕西金泽盛业项目管理有限公司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西安市经济技术开发区凤城五路123号秦创原软科中心A座20层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高翠翠、张磊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15129916640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采购包成交价为基数，按国家计委关于印发《招标代理服务收费管理暂行办法》的通知（计价格【2002】1980号）《国家发展改革委关于降低部分建设项目收费标准规范收费行为等有关问题的通知》（发改价格[2011]534号）规定的90%计取招标代理服务费。2、支付方式：成交供应商在领取通知书的同时，支付本项目代理服务费。 收款单位：陕西金泽盛业项目管理有限公司 开户行：北京银行股份有限公司西安大明宫支行 账号： 200000 430482 000331 80933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陕西金泽盛业项目管理有限公司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陕西金泽盛业项目管理有限公司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陕西金泽盛业项目管理有限公司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目使用的任何产品和服务（包括部分使用）时，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根据单一来源文件要求，响应文件及合同约定执行。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联系人：张磊</w:t>
      </w:r>
    </w:p>
    <w:p>
      <w:pPr>
        <w:pStyle w:val="null3"/>
      </w:pPr>
      <w:r>
        <w:rPr>
          <w:rFonts w:ascii="仿宋_GB2312" w:hAnsi="仿宋_GB2312" w:cs="仿宋_GB2312" w:eastAsia="仿宋_GB2312"/>
        </w:rPr>
        <w:t>联系电话：15129916640</w:t>
      </w:r>
    </w:p>
    <w:p>
      <w:pPr>
        <w:pStyle w:val="null3"/>
      </w:pPr>
      <w:r>
        <w:rPr>
          <w:rFonts w:ascii="仿宋_GB2312" w:hAnsi="仿宋_GB2312" w:cs="仿宋_GB2312" w:eastAsia="仿宋_GB2312"/>
        </w:rPr>
        <w:t>地址：西安市经济技术开发区凤城五路123号秦创原软科中心A座20层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CNKI系列数据库”产品为一系列大规模集成整合传播我国期刊、博硕士学位论文、工具书、会议论文、报纸、年鉴、专利、标准、科技成果、古籍等各类文献资源的大型全文数据库和二次文献数据库，以及由文献内容挖掘产生的知识元数据库。</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2026年图书馆中国知网系列数据库采购项目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标的名称：2026年图书馆中国知网系列数据库采购项目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技术要求</w:t>
            </w:r>
          </w:p>
          <w:p>
            <w:pPr>
              <w:pStyle w:val="null3"/>
            </w:pPr>
            <w:r>
              <w:rPr>
                <w:rFonts w:ascii="仿宋_GB2312" w:hAnsi="仿宋_GB2312" w:cs="仿宋_GB2312" w:eastAsia="仿宋_GB2312"/>
              </w:rPr>
              <w:t>1．《中国学术期刊（网络版）》：包括基础与应用基础研究、技术研究、工程研究、工程与项目管理、技术开发、实用工程技术、行业技术发展与评论、高级科普、学科教育教学类期刊。</w:t>
            </w:r>
          </w:p>
          <w:p>
            <w:pPr>
              <w:pStyle w:val="null3"/>
            </w:pPr>
            <w:r>
              <w:rPr>
                <w:rFonts w:ascii="仿宋_GB2312" w:hAnsi="仿宋_GB2312" w:cs="仿宋_GB2312" w:eastAsia="仿宋_GB2312"/>
              </w:rPr>
              <w:t>2．《中国博士学位论文全文数据库》：覆盖基础科学、工程技术、农业、医学、哲学、人文、社会科学等各个领域。</w:t>
            </w:r>
          </w:p>
          <w:p>
            <w:pPr>
              <w:pStyle w:val="null3"/>
            </w:pPr>
            <w:r>
              <w:rPr>
                <w:rFonts w:ascii="仿宋_GB2312" w:hAnsi="仿宋_GB2312" w:cs="仿宋_GB2312" w:eastAsia="仿宋_GB2312"/>
              </w:rPr>
              <w:t>3．《中国优秀硕士学位论文全文数据库》：覆盖基础科学、工程技术、农业、医学、哲学、人文、社会科学等各个领域。</w:t>
            </w:r>
          </w:p>
          <w:p>
            <w:pPr>
              <w:pStyle w:val="null3"/>
            </w:pPr>
            <w:r>
              <w:rPr>
                <w:rFonts w:ascii="仿宋_GB2312" w:hAnsi="仿宋_GB2312" w:cs="仿宋_GB2312" w:eastAsia="仿宋_GB2312"/>
              </w:rPr>
              <w:t>4．《中国重要会议论文全文数据库》：基本囊括了我国各学科重要会议论文，是我国连续出版重要会议论文的全文数据库。</w:t>
            </w:r>
          </w:p>
          <w:p>
            <w:pPr>
              <w:pStyle w:val="null3"/>
            </w:pPr>
            <w:r>
              <w:rPr>
                <w:rFonts w:ascii="仿宋_GB2312" w:hAnsi="仿宋_GB2312" w:cs="仿宋_GB2312" w:eastAsia="仿宋_GB2312"/>
              </w:rPr>
              <w:t>5．《中国重要报纸全文数据库》：以重要报纸刊载的学术性、资料性文献为收录对象的连续动态更新的报纸全文数据库。</w:t>
            </w:r>
          </w:p>
          <w:p>
            <w:pPr>
              <w:pStyle w:val="null3"/>
            </w:pPr>
            <w:r>
              <w:rPr>
                <w:rFonts w:ascii="仿宋_GB2312" w:hAnsi="仿宋_GB2312" w:cs="仿宋_GB2312" w:eastAsia="仿宋_GB2312"/>
                <w:sz w:val="21"/>
              </w:rPr>
              <w:t>6．以上五个数据库要求提供中国知网联合认证访问服务和中国知网移动端APP（全球学术快报）服务。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服务要求</w:t>
            </w:r>
          </w:p>
          <w:p>
            <w:pPr>
              <w:pStyle w:val="null3"/>
            </w:pPr>
            <w:r>
              <w:rPr>
                <w:rFonts w:ascii="仿宋_GB2312" w:hAnsi="仿宋_GB2312" w:cs="仿宋_GB2312" w:eastAsia="仿宋_GB2312"/>
              </w:rPr>
              <w:t>1．供应商/代理商在收到数字资源订单后，按需方提出的项目及使用要求，开通数字资源访问网站或安装到需方的数据服务器。</w:t>
            </w:r>
          </w:p>
          <w:p>
            <w:pPr>
              <w:pStyle w:val="null3"/>
            </w:pPr>
            <w:r>
              <w:rPr>
                <w:rFonts w:ascii="仿宋_GB2312" w:hAnsi="仿宋_GB2312" w:cs="仿宋_GB2312" w:eastAsia="仿宋_GB2312"/>
              </w:rPr>
              <w:t>2．供应商/代理商应承担需方所订数字资源正常使用后需要进行的安装、培训等费用。</w:t>
            </w:r>
          </w:p>
          <w:p>
            <w:pPr>
              <w:pStyle w:val="null3"/>
            </w:pPr>
            <w:r>
              <w:rPr>
                <w:rFonts w:ascii="仿宋_GB2312" w:hAnsi="仿宋_GB2312" w:cs="仿宋_GB2312" w:eastAsia="仿宋_GB2312"/>
              </w:rPr>
              <w:t>3．凡送交到需方的数字资源，以数字资源中标定价作为计算订购款的依据。</w:t>
            </w:r>
          </w:p>
          <w:p>
            <w:pPr>
              <w:pStyle w:val="null3"/>
            </w:pPr>
            <w:r>
              <w:rPr>
                <w:rFonts w:ascii="仿宋_GB2312" w:hAnsi="仿宋_GB2312" w:cs="仿宋_GB2312" w:eastAsia="仿宋_GB2312"/>
              </w:rPr>
              <w:t>4．供应商/代理商应根据需方的实际工作运行程序，提供高效，优质的服务保障。</w:t>
            </w:r>
          </w:p>
          <w:p>
            <w:pPr>
              <w:pStyle w:val="null3"/>
            </w:pPr>
            <w:r>
              <w:rPr>
                <w:rFonts w:ascii="仿宋_GB2312" w:hAnsi="仿宋_GB2312" w:cs="仿宋_GB2312" w:eastAsia="仿宋_GB2312"/>
              </w:rPr>
              <w:t>5．供应商/代理商应根据需方需要提供该数据库资源的使用统计情况。</w:t>
            </w:r>
          </w:p>
          <w:p>
            <w:pPr>
              <w:pStyle w:val="null3"/>
            </w:pPr>
            <w:r>
              <w:rPr>
                <w:rFonts w:ascii="仿宋_GB2312" w:hAnsi="仿宋_GB2312" w:cs="仿宋_GB2312" w:eastAsia="仿宋_GB2312"/>
              </w:rPr>
              <w:t>6．当采购人（西安石油大学）经费周转困难时，投标单位要有一定的垫资能力，以保证数字资源采购的正常进行。</w:t>
            </w:r>
          </w:p>
          <w:p>
            <w:pPr>
              <w:pStyle w:val="null3"/>
            </w:pPr>
            <w:r>
              <w:rPr>
                <w:rFonts w:ascii="仿宋_GB2312" w:hAnsi="仿宋_GB2312" w:cs="仿宋_GB2312" w:eastAsia="仿宋_GB2312"/>
              </w:rPr>
              <w:t>7．供应商/代理商需保证知识产权合法性及内容合规性。所有资源内容符合社会主义核心价值观，且保证采购人不因版权、税务、思想内容等原因产生法律纠纷。如出现违背社会主义核心价值观的情形或发生法律纠纷，供应商将负全部法律责任。</w:t>
            </w:r>
          </w:p>
          <w:p>
            <w:pPr>
              <w:pStyle w:val="null3"/>
            </w:pPr>
            <w:r>
              <w:rPr>
                <w:rFonts w:ascii="仿宋_GB2312" w:hAnsi="仿宋_GB2312" w:cs="仿宋_GB2312" w:eastAsia="仿宋_GB2312"/>
                <w:sz w:val="21"/>
              </w:rPr>
              <w:t>8．供应商/代理商需配合采购人（西安石油大学）完成上级部门要求的数字资源内容清理和清查工作。</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具有履行合同所必需的专业技术能力</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2026年8月1日—2027年8月31日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进度款，合同生效后服务期结束之前支付。支付时乙方需提供全额增值税专用发票 ，达到付款条件起30个工作日内，支付合同总金额的100.0%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达到使用条件时由采购人负责组织验收或者邀请有关专家、质检机构、采购代理机构共同进行验收,验收费用由成交供应商支付；验收合格须交接项目实施的全部资料。验收须以合同、谈判及响应文件、澄清、及国家相应的标准、规范等为依据。</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（2）乙方提供服务或产品质量不能满足采购文件、响应文件或合同载明的，采购人有权终止合同，并对乙方违约行为进行追究。 （3）如有纠纷，双方友好协商解决，协商不成时可诉讼到甲方所在地人民法院解决。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本次采购、投标报价、评审和合同授予均以采购包为单位，响应供应商必须就一个完整的采购包进行响应。本项目严禁中标后另行转包或者分包。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会计师事务所出具的完整的2024年度或2025年度审计报告（成立时间至提交磋商响应文件截止时间不足一年的可提供成立后任意时段的资产负债表)，或开标前3个月内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提供被授权人自2026年1月以来至少一个月在本公司的社会保障资金缴纳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7月以来至少一个月的纳税证明或完税证明，纳税证明或完税证明上应有代收机构或税务机关的公章或业务专用章；其他组织和自然人提供自2025年7月以来至少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自2025年7月以来至少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会计师事务所出具的完整的2024年度或2025年度审计报告（成立时间至提交磋商响应文件截止时间不足一年的可提供成立后任意时段的资产负债表)，或开标前3个月内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供应商需提供《无重大违法记录声明》完成承诺；并进行电子签章。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供应商需提供《具有履行合同所必需的设备和专业技术能力的承诺书》完成承诺；并进行电子签章。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服务要求及商务要求偏离表 服务方案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响应文件封面 中小企业声明函 残疾人福利性单位声明函 服务要求及商务要求偏离表 陕西省政府采购供应商拒绝政府采购领域商业贿赂承诺书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对响应文件响应程度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服务要求及商务要求偏离表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满足采购文件中要求的服务期、服务地点</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应满足采购文件中的规定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详见附件：服务要求及商务要求偏离表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