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9B12B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实施方案（</w:t>
      </w:r>
      <w:r>
        <w:rPr>
          <w:rFonts w:hint="eastAsia" w:ascii="宋体" w:hAnsi="宋体" w:cs="宋体"/>
          <w:b/>
          <w:bCs/>
          <w:sz w:val="28"/>
          <w:szCs w:val="28"/>
        </w:rPr>
        <w:t>软件硬件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实施</w:t>
      </w:r>
      <w:r>
        <w:rPr>
          <w:rFonts w:hint="eastAsia" w:ascii="宋体" w:hAnsi="宋体" w:cs="宋体"/>
          <w:b/>
          <w:bCs/>
          <w:sz w:val="28"/>
          <w:szCs w:val="28"/>
        </w:rPr>
        <w:t>部署及适配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措施方案）</w:t>
      </w:r>
    </w:p>
    <w:p w14:paraId="40365E85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4C072712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D6166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8BD145F"/>
    <w:rsid w:val="1CB0789D"/>
    <w:rsid w:val="4592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2026-04-22T01:30:08Z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