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772FF0">
      <w:pPr>
        <w:pStyle w:val="3"/>
        <w:bidi w:val="0"/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采购合同</w:t>
      </w:r>
    </w:p>
    <w:p w14:paraId="1AFA10F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 w14:paraId="0F87301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甲方（采购单位）：</w:t>
      </w:r>
    </w:p>
    <w:p w14:paraId="733F524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名称：</w:t>
      </w:r>
    </w:p>
    <w:p w14:paraId="56DBFB99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地址：</w:t>
      </w:r>
    </w:p>
    <w:p w14:paraId="29CBD345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法定代表人：</w:t>
      </w:r>
    </w:p>
    <w:p w14:paraId="2AB5DFF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联系方式： </w:t>
      </w:r>
    </w:p>
    <w:p w14:paraId="6CE97D5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乙方（供货单位）：</w:t>
      </w:r>
    </w:p>
    <w:p w14:paraId="16CCA261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名称：</w:t>
      </w:r>
    </w:p>
    <w:p w14:paraId="25C96FCC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地址：</w:t>
      </w:r>
    </w:p>
    <w:p w14:paraId="5DC36B40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法定代表人：</w:t>
      </w:r>
    </w:p>
    <w:p w14:paraId="709EFD6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联系方式： </w:t>
      </w:r>
    </w:p>
    <w:p w14:paraId="7EF2CF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双方根据《中华人民共和国民典法》及国家有关法律、法规，遵循平等、自愿和诚实信用的原则，双发就 </w:t>
      </w:r>
      <w:r>
        <w:rPr>
          <w:rFonts w:hint="eastAsia"/>
          <w:sz w:val="28"/>
          <w:szCs w:val="28"/>
          <w:u w:val="single"/>
          <w:lang w:val="en-US" w:eastAsia="zh-CN"/>
        </w:rPr>
        <w:t>项目名称</w:t>
      </w:r>
      <w:r>
        <w:rPr>
          <w:rFonts w:hint="eastAsia"/>
          <w:sz w:val="28"/>
          <w:szCs w:val="28"/>
          <w:lang w:val="en-US" w:eastAsia="zh-CN"/>
        </w:rPr>
        <w:t xml:space="preserve">（项目编号：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/>
          <w:sz w:val="28"/>
          <w:szCs w:val="28"/>
          <w:lang w:val="en-US" w:eastAsia="zh-CN"/>
        </w:rPr>
        <w:t>）服务事项协商一致，订立本合同。</w:t>
      </w:r>
    </w:p>
    <w:p w14:paraId="0004EFDE">
      <w:pPr>
        <w:pStyle w:val="4"/>
        <w:bidi w:val="0"/>
        <w:rPr>
          <w:rFonts w:hint="eastAsia"/>
        </w:rPr>
      </w:pPr>
      <w:r>
        <w:rPr>
          <w:rFonts w:hint="eastAsia"/>
        </w:rPr>
        <w:t>一、合同目的与范围</w:t>
      </w:r>
    </w:p>
    <w:p w14:paraId="69F83D2B">
      <w:pPr>
        <w:pStyle w:val="10"/>
        <w:ind w:firstLine="480"/>
        <w:rPr>
          <w:rFonts w:hint="eastAsia"/>
          <w:sz w:val="28"/>
          <w:szCs w:val="28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甲方为满足儿童福利院儿童每日饮食及奶粉需求，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需向乙方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采购各种儿童食用的乳制品。包括：儿童普通奶粉、无乳糖奶粉、早产奶粉、羊奶粉、婴幼儿辅食（果泥、米粉、乳铁蛋白、儿童益生菌等）。</w:t>
      </w:r>
    </w:p>
    <w:p w14:paraId="5016191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本合同涵盖奶粉的规格、数量、质量、价格、交货、验收、售后服务等相关事项 ，旨在规范双方在采购过程中的权利和义务，确保交易顺利进行。</w:t>
      </w:r>
    </w:p>
    <w:p w14:paraId="17270287">
      <w:pPr>
        <w:pStyle w:val="4"/>
        <w:bidi w:val="0"/>
        <w:rPr>
          <w:rFonts w:hint="eastAsia"/>
          <w:sz w:val="28"/>
          <w:szCs w:val="28"/>
          <w:vertAlign w:val="baseline"/>
        </w:rPr>
      </w:pPr>
      <w:r>
        <w:rPr>
          <w:rFonts w:hint="eastAsia"/>
          <w:b/>
        </w:rPr>
        <w:t>二、产品明细</w:t>
      </w:r>
    </w:p>
    <w:tbl>
      <w:tblPr>
        <w:tblStyle w:val="8"/>
        <w:tblW w:w="9700" w:type="dxa"/>
        <w:tblInd w:w="-6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1300"/>
        <w:gridCol w:w="1027"/>
        <w:gridCol w:w="1073"/>
        <w:gridCol w:w="1209"/>
        <w:gridCol w:w="1336"/>
      </w:tblGrid>
      <w:tr w14:paraId="7B4B9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3755" w:type="dxa"/>
            <w:vAlign w:val="center"/>
          </w:tcPr>
          <w:p w14:paraId="4C7BF6B1">
            <w:pPr>
              <w:jc w:val="center"/>
              <w:rPr>
                <w:rFonts w:hint="default" w:eastAsia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商 品 名 称</w:t>
            </w:r>
          </w:p>
        </w:tc>
        <w:tc>
          <w:tcPr>
            <w:tcW w:w="1300" w:type="dxa"/>
            <w:vAlign w:val="center"/>
          </w:tcPr>
          <w:p w14:paraId="1F3348CC">
            <w:pPr>
              <w:jc w:val="center"/>
              <w:rPr>
                <w:rFonts w:hint="default" w:eastAsia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品牌</w:t>
            </w:r>
          </w:p>
        </w:tc>
        <w:tc>
          <w:tcPr>
            <w:tcW w:w="1027" w:type="dxa"/>
            <w:vAlign w:val="center"/>
          </w:tcPr>
          <w:p w14:paraId="4364A522">
            <w:pPr>
              <w:jc w:val="center"/>
              <w:rPr>
                <w:rFonts w:hint="eastAsia" w:eastAsia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规格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609A0F67">
            <w:p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中标单价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4BDFBA82">
            <w:p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中标合计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21E16DF4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 w14:paraId="59BF0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3755" w:type="dxa"/>
            <w:vAlign w:val="center"/>
          </w:tcPr>
          <w:p w14:paraId="5C1BD2ED">
            <w:pPr>
              <w:jc w:val="both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00" w:type="dxa"/>
            <w:vAlign w:val="center"/>
          </w:tcPr>
          <w:p w14:paraId="0802DB6E"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27" w:type="dxa"/>
            <w:vAlign w:val="center"/>
          </w:tcPr>
          <w:p w14:paraId="21017E1E"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73" w:type="dxa"/>
            <w:vAlign w:val="center"/>
          </w:tcPr>
          <w:p w14:paraId="2C8FAD53">
            <w:pPr>
              <w:jc w:val="righ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9" w:type="dxa"/>
            <w:vAlign w:val="center"/>
          </w:tcPr>
          <w:p w14:paraId="33816FA4">
            <w:pPr>
              <w:jc w:val="righ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6" w:type="dxa"/>
            <w:vAlign w:val="center"/>
          </w:tcPr>
          <w:p w14:paraId="617FA92E"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6E00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3755" w:type="dxa"/>
            <w:vAlign w:val="center"/>
          </w:tcPr>
          <w:p w14:paraId="0AFABE55">
            <w:pPr>
              <w:jc w:val="both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1300" w:type="dxa"/>
            <w:vAlign w:val="center"/>
          </w:tcPr>
          <w:p w14:paraId="39C28F37">
            <w:pPr>
              <w:jc w:val="center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1027" w:type="dxa"/>
            <w:vAlign w:val="center"/>
          </w:tcPr>
          <w:p w14:paraId="5C01D6D0">
            <w:pPr>
              <w:jc w:val="center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1073" w:type="dxa"/>
            <w:vAlign w:val="center"/>
          </w:tcPr>
          <w:p w14:paraId="419E8E8A">
            <w:pPr>
              <w:jc w:val="righ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9" w:type="dxa"/>
            <w:vAlign w:val="center"/>
          </w:tcPr>
          <w:p w14:paraId="4BB4DA45">
            <w:pPr>
              <w:jc w:val="righ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6" w:type="dxa"/>
            <w:vAlign w:val="center"/>
          </w:tcPr>
          <w:p w14:paraId="2EDC2C15">
            <w:pPr>
              <w:jc w:val="center"/>
              <w:rPr>
                <w:rFonts w:hint="eastAsia"/>
                <w:sz w:val="21"/>
                <w:szCs w:val="21"/>
                <w:vertAlign w:val="baseline"/>
              </w:rPr>
            </w:pPr>
          </w:p>
        </w:tc>
      </w:tr>
      <w:tr w14:paraId="20F8E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3755" w:type="dxa"/>
            <w:vAlign w:val="center"/>
          </w:tcPr>
          <w:p w14:paraId="7195955B">
            <w:pPr>
              <w:jc w:val="both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1300" w:type="dxa"/>
            <w:vAlign w:val="center"/>
          </w:tcPr>
          <w:p w14:paraId="2A083201">
            <w:pPr>
              <w:jc w:val="center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1027" w:type="dxa"/>
            <w:vAlign w:val="center"/>
          </w:tcPr>
          <w:p w14:paraId="0A910F8F">
            <w:pPr>
              <w:jc w:val="center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1073" w:type="dxa"/>
            <w:vAlign w:val="center"/>
          </w:tcPr>
          <w:p w14:paraId="651CC284">
            <w:pPr>
              <w:jc w:val="righ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9" w:type="dxa"/>
            <w:vAlign w:val="center"/>
          </w:tcPr>
          <w:p w14:paraId="7667ABE5">
            <w:pPr>
              <w:jc w:val="righ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6" w:type="dxa"/>
            <w:vAlign w:val="center"/>
          </w:tcPr>
          <w:p w14:paraId="6F5153FF">
            <w:pPr>
              <w:jc w:val="center"/>
              <w:rPr>
                <w:rFonts w:hint="eastAsia"/>
                <w:sz w:val="21"/>
                <w:szCs w:val="21"/>
                <w:vertAlign w:val="baseline"/>
              </w:rPr>
            </w:pPr>
          </w:p>
        </w:tc>
      </w:tr>
      <w:tr w14:paraId="4DD2A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755" w:type="dxa"/>
            <w:shd w:val="clear" w:color="auto" w:fill="auto"/>
            <w:vAlign w:val="center"/>
          </w:tcPr>
          <w:p w14:paraId="7F30B036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021722A7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027" w:type="dxa"/>
            <w:vAlign w:val="center"/>
          </w:tcPr>
          <w:p w14:paraId="4B42CD94">
            <w:pPr>
              <w:jc w:val="center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1073" w:type="dxa"/>
            <w:vAlign w:val="center"/>
          </w:tcPr>
          <w:p w14:paraId="3B7EAACF">
            <w:pPr>
              <w:jc w:val="righ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9" w:type="dxa"/>
            <w:vAlign w:val="center"/>
          </w:tcPr>
          <w:p w14:paraId="6491A385">
            <w:pPr>
              <w:jc w:val="righ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6" w:type="dxa"/>
            <w:vAlign w:val="center"/>
          </w:tcPr>
          <w:p w14:paraId="536CD8EE">
            <w:pPr>
              <w:jc w:val="center"/>
              <w:rPr>
                <w:rFonts w:hint="eastAsia"/>
                <w:sz w:val="21"/>
                <w:szCs w:val="21"/>
                <w:vertAlign w:val="baseline"/>
              </w:rPr>
            </w:pPr>
          </w:p>
        </w:tc>
      </w:tr>
      <w:tr w14:paraId="580F2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755" w:type="dxa"/>
            <w:shd w:val="clear" w:color="auto" w:fill="auto"/>
            <w:vAlign w:val="center"/>
          </w:tcPr>
          <w:p w14:paraId="2FB8A961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F4D282E">
            <w:pPr>
              <w:jc w:val="center"/>
              <w:rPr>
                <w:rFonts w:hint="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027" w:type="dxa"/>
            <w:vAlign w:val="center"/>
          </w:tcPr>
          <w:p w14:paraId="43988B02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73" w:type="dxa"/>
            <w:vAlign w:val="center"/>
          </w:tcPr>
          <w:p w14:paraId="2D12CEE7">
            <w:pPr>
              <w:jc w:val="righ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9" w:type="dxa"/>
            <w:vAlign w:val="center"/>
          </w:tcPr>
          <w:p w14:paraId="7BD1A8E5">
            <w:pPr>
              <w:jc w:val="righ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6" w:type="dxa"/>
            <w:vAlign w:val="center"/>
          </w:tcPr>
          <w:p w14:paraId="095453E6">
            <w:pPr>
              <w:jc w:val="center"/>
              <w:rPr>
                <w:rFonts w:hint="eastAsia"/>
                <w:sz w:val="21"/>
                <w:szCs w:val="21"/>
                <w:vertAlign w:val="baseline"/>
              </w:rPr>
            </w:pPr>
          </w:p>
        </w:tc>
      </w:tr>
      <w:tr w14:paraId="29CCD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755" w:type="dxa"/>
            <w:shd w:val="clear" w:color="auto" w:fill="auto"/>
            <w:vAlign w:val="center"/>
          </w:tcPr>
          <w:p w14:paraId="672737E1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17389AD4">
            <w:pPr>
              <w:jc w:val="center"/>
              <w:rPr>
                <w:rFonts w:hint="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027" w:type="dxa"/>
            <w:vAlign w:val="center"/>
          </w:tcPr>
          <w:p w14:paraId="687F45D8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73" w:type="dxa"/>
            <w:vAlign w:val="center"/>
          </w:tcPr>
          <w:p w14:paraId="1A5A0647">
            <w:pPr>
              <w:jc w:val="righ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9" w:type="dxa"/>
            <w:vAlign w:val="center"/>
          </w:tcPr>
          <w:p w14:paraId="56D200FC">
            <w:pPr>
              <w:jc w:val="righ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6" w:type="dxa"/>
            <w:vAlign w:val="center"/>
          </w:tcPr>
          <w:p w14:paraId="769C1D4A">
            <w:pPr>
              <w:jc w:val="center"/>
              <w:rPr>
                <w:rFonts w:hint="eastAsia"/>
                <w:sz w:val="21"/>
                <w:szCs w:val="21"/>
                <w:vertAlign w:val="baseline"/>
              </w:rPr>
            </w:pPr>
          </w:p>
        </w:tc>
      </w:tr>
      <w:tr w14:paraId="15949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755" w:type="dxa"/>
            <w:shd w:val="clear" w:color="auto" w:fill="auto"/>
            <w:vAlign w:val="center"/>
          </w:tcPr>
          <w:p w14:paraId="46FC0611">
            <w:pPr>
              <w:jc w:val="both"/>
              <w:rPr>
                <w:rFonts w:hint="default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3E16B1E9">
            <w:pPr>
              <w:jc w:val="center"/>
              <w:rPr>
                <w:rFonts w:hint="default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027" w:type="dxa"/>
            <w:vAlign w:val="center"/>
          </w:tcPr>
          <w:p w14:paraId="5363D5B3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73" w:type="dxa"/>
            <w:vAlign w:val="center"/>
          </w:tcPr>
          <w:p w14:paraId="59E6798B">
            <w:pPr>
              <w:jc w:val="righ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9" w:type="dxa"/>
            <w:vAlign w:val="center"/>
          </w:tcPr>
          <w:p w14:paraId="47AF6790">
            <w:pPr>
              <w:jc w:val="righ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6" w:type="dxa"/>
            <w:vAlign w:val="center"/>
          </w:tcPr>
          <w:p w14:paraId="1D538F01">
            <w:pPr>
              <w:jc w:val="center"/>
              <w:rPr>
                <w:rFonts w:hint="eastAsia"/>
                <w:sz w:val="21"/>
                <w:szCs w:val="21"/>
                <w:vertAlign w:val="baseline"/>
              </w:rPr>
            </w:pPr>
          </w:p>
        </w:tc>
      </w:tr>
      <w:tr w14:paraId="349B4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755" w:type="dxa"/>
            <w:shd w:val="clear" w:color="auto" w:fill="auto"/>
            <w:vAlign w:val="center"/>
          </w:tcPr>
          <w:p w14:paraId="57C77A0F">
            <w:pPr>
              <w:jc w:val="both"/>
              <w:rPr>
                <w:rFonts w:hint="default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65D5D1F">
            <w:pPr>
              <w:jc w:val="center"/>
              <w:rPr>
                <w:rFonts w:hint="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027" w:type="dxa"/>
            <w:vAlign w:val="center"/>
          </w:tcPr>
          <w:p w14:paraId="25366BFB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73" w:type="dxa"/>
            <w:vAlign w:val="center"/>
          </w:tcPr>
          <w:p w14:paraId="1059AE98">
            <w:pPr>
              <w:jc w:val="righ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9" w:type="dxa"/>
            <w:vAlign w:val="center"/>
          </w:tcPr>
          <w:p w14:paraId="674D3E39">
            <w:pPr>
              <w:jc w:val="righ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6" w:type="dxa"/>
            <w:vAlign w:val="center"/>
          </w:tcPr>
          <w:p w14:paraId="24743D79">
            <w:pPr>
              <w:jc w:val="center"/>
              <w:rPr>
                <w:rFonts w:hint="eastAsia"/>
                <w:sz w:val="21"/>
                <w:szCs w:val="21"/>
                <w:vertAlign w:val="baseline"/>
              </w:rPr>
            </w:pPr>
          </w:p>
        </w:tc>
      </w:tr>
      <w:tr w14:paraId="25198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755" w:type="dxa"/>
            <w:shd w:val="clear" w:color="auto" w:fill="auto"/>
            <w:vAlign w:val="center"/>
          </w:tcPr>
          <w:p w14:paraId="7408071E">
            <w:pPr>
              <w:jc w:val="both"/>
              <w:rPr>
                <w:rFonts w:hint="default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12437956">
            <w:pPr>
              <w:jc w:val="center"/>
              <w:rPr>
                <w:rFonts w:hint="default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027" w:type="dxa"/>
            <w:vAlign w:val="center"/>
          </w:tcPr>
          <w:p w14:paraId="2AD1EE6F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73" w:type="dxa"/>
            <w:vAlign w:val="center"/>
          </w:tcPr>
          <w:p w14:paraId="751BF50B">
            <w:pPr>
              <w:jc w:val="righ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9" w:type="dxa"/>
            <w:vAlign w:val="center"/>
          </w:tcPr>
          <w:p w14:paraId="004A1D55">
            <w:pPr>
              <w:jc w:val="righ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6" w:type="dxa"/>
            <w:vAlign w:val="center"/>
          </w:tcPr>
          <w:p w14:paraId="2680B25E">
            <w:pPr>
              <w:jc w:val="center"/>
              <w:rPr>
                <w:rFonts w:hint="eastAsia"/>
                <w:sz w:val="21"/>
                <w:szCs w:val="21"/>
                <w:vertAlign w:val="baseline"/>
              </w:rPr>
            </w:pPr>
          </w:p>
        </w:tc>
      </w:tr>
      <w:tr w14:paraId="044AC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755" w:type="dxa"/>
            <w:shd w:val="clear" w:color="auto" w:fill="auto"/>
            <w:vAlign w:val="center"/>
          </w:tcPr>
          <w:p w14:paraId="38EE70F7">
            <w:pPr>
              <w:jc w:val="both"/>
              <w:rPr>
                <w:rFonts w:hint="default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55B1F5F8">
            <w:pPr>
              <w:jc w:val="center"/>
              <w:rPr>
                <w:rFonts w:hint="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027" w:type="dxa"/>
            <w:vAlign w:val="center"/>
          </w:tcPr>
          <w:p w14:paraId="01E12B4A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73" w:type="dxa"/>
            <w:vAlign w:val="center"/>
          </w:tcPr>
          <w:p w14:paraId="1A3989F6">
            <w:pPr>
              <w:jc w:val="righ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9" w:type="dxa"/>
            <w:vAlign w:val="center"/>
          </w:tcPr>
          <w:p w14:paraId="065DA1FE">
            <w:pPr>
              <w:jc w:val="righ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6" w:type="dxa"/>
            <w:vAlign w:val="center"/>
          </w:tcPr>
          <w:p w14:paraId="3494C3A4">
            <w:pPr>
              <w:jc w:val="center"/>
              <w:rPr>
                <w:rFonts w:hint="eastAsia"/>
                <w:sz w:val="21"/>
                <w:szCs w:val="21"/>
                <w:vertAlign w:val="baseline"/>
              </w:rPr>
            </w:pPr>
          </w:p>
        </w:tc>
      </w:tr>
      <w:tr w14:paraId="3DED8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755" w:type="dxa"/>
            <w:shd w:val="clear" w:color="auto" w:fill="auto"/>
            <w:vAlign w:val="center"/>
          </w:tcPr>
          <w:p w14:paraId="0FECFAA3">
            <w:pPr>
              <w:jc w:val="both"/>
              <w:rPr>
                <w:rFonts w:hint="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7A970933">
            <w:pPr>
              <w:jc w:val="center"/>
              <w:rPr>
                <w:rFonts w:hint="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027" w:type="dxa"/>
            <w:vAlign w:val="center"/>
          </w:tcPr>
          <w:p w14:paraId="249583C2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73" w:type="dxa"/>
            <w:vAlign w:val="center"/>
          </w:tcPr>
          <w:p w14:paraId="44259EAA">
            <w:pPr>
              <w:jc w:val="righ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9" w:type="dxa"/>
            <w:vAlign w:val="center"/>
          </w:tcPr>
          <w:p w14:paraId="4DC506BA">
            <w:pPr>
              <w:jc w:val="right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1336" w:type="dxa"/>
            <w:vAlign w:val="center"/>
          </w:tcPr>
          <w:p w14:paraId="2E62B41C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/>
              </w:rPr>
            </w:pPr>
          </w:p>
        </w:tc>
      </w:tr>
      <w:tr w14:paraId="69CA9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755" w:type="dxa"/>
            <w:shd w:val="clear" w:color="auto" w:fill="auto"/>
            <w:vAlign w:val="center"/>
          </w:tcPr>
          <w:p w14:paraId="7AC2801F">
            <w:pPr>
              <w:jc w:val="both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42444433">
            <w:pPr>
              <w:jc w:val="center"/>
              <w:rPr>
                <w:rFonts w:hint="default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027" w:type="dxa"/>
            <w:vAlign w:val="center"/>
          </w:tcPr>
          <w:p w14:paraId="10FC1A02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73" w:type="dxa"/>
            <w:vAlign w:val="center"/>
          </w:tcPr>
          <w:p w14:paraId="40C130EF">
            <w:pPr>
              <w:jc w:val="righ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9" w:type="dxa"/>
            <w:vAlign w:val="center"/>
          </w:tcPr>
          <w:p w14:paraId="44879EBF">
            <w:pPr>
              <w:jc w:val="righ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6" w:type="dxa"/>
            <w:vAlign w:val="center"/>
          </w:tcPr>
          <w:p w14:paraId="142B2D93"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4196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755" w:type="dxa"/>
            <w:shd w:val="clear" w:color="auto" w:fill="auto"/>
            <w:vAlign w:val="center"/>
          </w:tcPr>
          <w:p w14:paraId="25855ECE">
            <w:pPr>
              <w:jc w:val="both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0DC87970">
            <w:pPr>
              <w:jc w:val="center"/>
              <w:rPr>
                <w:rFonts w:hint="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027" w:type="dxa"/>
            <w:vAlign w:val="center"/>
          </w:tcPr>
          <w:p w14:paraId="02C85924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73" w:type="dxa"/>
            <w:vAlign w:val="center"/>
          </w:tcPr>
          <w:p w14:paraId="4C46526E">
            <w:pPr>
              <w:jc w:val="righ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9" w:type="dxa"/>
            <w:vAlign w:val="center"/>
          </w:tcPr>
          <w:p w14:paraId="0E35BE5A">
            <w:pPr>
              <w:jc w:val="righ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6" w:type="dxa"/>
            <w:vAlign w:val="center"/>
          </w:tcPr>
          <w:p w14:paraId="2CE58BA2">
            <w:pPr>
              <w:jc w:val="center"/>
              <w:rPr>
                <w:rFonts w:hint="eastAsia"/>
                <w:sz w:val="21"/>
                <w:szCs w:val="21"/>
                <w:vertAlign w:val="baseline"/>
              </w:rPr>
            </w:pPr>
          </w:p>
        </w:tc>
      </w:tr>
      <w:tr w14:paraId="6DEEF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755" w:type="dxa"/>
            <w:shd w:val="clear" w:color="auto" w:fill="auto"/>
            <w:vAlign w:val="center"/>
          </w:tcPr>
          <w:p w14:paraId="163E78B6">
            <w:pPr>
              <w:jc w:val="both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05AA9526">
            <w:pPr>
              <w:jc w:val="center"/>
              <w:rPr>
                <w:rFonts w:hint="default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027" w:type="dxa"/>
            <w:vAlign w:val="center"/>
          </w:tcPr>
          <w:p w14:paraId="7DCED612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73" w:type="dxa"/>
            <w:vAlign w:val="center"/>
          </w:tcPr>
          <w:p w14:paraId="560947A5">
            <w:pPr>
              <w:jc w:val="righ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9" w:type="dxa"/>
            <w:vAlign w:val="center"/>
          </w:tcPr>
          <w:p w14:paraId="2428ACA2">
            <w:pPr>
              <w:jc w:val="righ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6" w:type="dxa"/>
            <w:vAlign w:val="center"/>
          </w:tcPr>
          <w:p w14:paraId="7D148F99">
            <w:pPr>
              <w:jc w:val="center"/>
              <w:rPr>
                <w:rFonts w:hint="eastAsia"/>
                <w:sz w:val="21"/>
                <w:szCs w:val="21"/>
                <w:vertAlign w:val="baseline"/>
              </w:rPr>
            </w:pPr>
          </w:p>
        </w:tc>
      </w:tr>
    </w:tbl>
    <w:p w14:paraId="7FCB00F7">
      <w:pPr>
        <w:rPr>
          <w:rFonts w:hint="eastAsia"/>
          <w:sz w:val="28"/>
          <w:szCs w:val="28"/>
        </w:rPr>
      </w:pPr>
    </w:p>
    <w:p w14:paraId="171A300B">
      <w:pPr>
        <w:pStyle w:val="4"/>
        <w:bidi w:val="0"/>
        <w:rPr>
          <w:rFonts w:hint="eastAsia"/>
          <w:b/>
        </w:rPr>
      </w:pPr>
      <w:r>
        <w:rPr>
          <w:rFonts w:hint="eastAsia"/>
          <w:b/>
        </w:rPr>
        <w:t xml:space="preserve"> 三、质量标准</w:t>
      </w:r>
    </w:p>
    <w:p w14:paraId="66BD3EA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 乙方提供的</w:t>
      </w:r>
      <w:r>
        <w:rPr>
          <w:rFonts w:hint="eastAsia"/>
          <w:sz w:val="28"/>
          <w:szCs w:val="28"/>
          <w:lang w:val="en-US" w:eastAsia="zh-CN"/>
        </w:rPr>
        <w:t>各类采购商品</w:t>
      </w:r>
      <w:r>
        <w:rPr>
          <w:rFonts w:hint="eastAsia"/>
          <w:sz w:val="28"/>
          <w:szCs w:val="28"/>
        </w:rPr>
        <w:t>必须符合国家食品安全标准以及相应的行业标准，同时需满足甲方提出的质量要求，保证</w:t>
      </w:r>
      <w:r>
        <w:rPr>
          <w:rFonts w:hint="eastAsia"/>
          <w:sz w:val="28"/>
          <w:szCs w:val="28"/>
          <w:lang w:val="en-US" w:eastAsia="zh-CN"/>
        </w:rPr>
        <w:t>商品</w:t>
      </w:r>
      <w:r>
        <w:rPr>
          <w:rFonts w:hint="eastAsia"/>
          <w:sz w:val="28"/>
          <w:szCs w:val="28"/>
        </w:rPr>
        <w:t>在保质期内质量稳定，无变质、无污染等问题。</w:t>
      </w:r>
    </w:p>
    <w:p w14:paraId="18FA50D4"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2. </w:t>
      </w:r>
      <w:r>
        <w:rPr>
          <w:rFonts w:hint="eastAsia"/>
          <w:sz w:val="28"/>
          <w:szCs w:val="28"/>
          <w:lang w:val="en-US" w:eastAsia="zh-CN"/>
        </w:rPr>
        <w:t>乙方提供的各类采购商品包装标签应符合《食品安全国家标准预包装食品标签通则》</w:t>
      </w:r>
    </w:p>
    <w:p w14:paraId="25A9A2A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每批次奶粉交付时，乙方需提供产品合格证明、质量检测报告等相关文件，证明产品质量符合标准。</w:t>
      </w:r>
    </w:p>
    <w:p w14:paraId="0E5EE55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 w14:paraId="4C6FCBD7">
      <w:pPr>
        <w:pStyle w:val="4"/>
        <w:bidi w:val="0"/>
        <w:rPr>
          <w:rFonts w:hint="eastAsia"/>
          <w:b/>
        </w:rPr>
      </w:pPr>
      <w:r>
        <w:rPr>
          <w:rFonts w:hint="eastAsia"/>
          <w:b/>
        </w:rPr>
        <w:t>四、交货条款</w:t>
      </w:r>
    </w:p>
    <w:p w14:paraId="0FDA5B5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 w14:paraId="7313F37B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1. 交货时间</w:t>
      </w:r>
      <w:r>
        <w:rPr>
          <w:rFonts w:hint="eastAsia"/>
          <w:sz w:val="28"/>
          <w:szCs w:val="28"/>
          <w:lang w:val="en-US" w:eastAsia="zh-CN"/>
        </w:rPr>
        <w:t>及结算方式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sz w:val="28"/>
          <w:szCs w:val="28"/>
        </w:rPr>
        <w:t>，以先到达者为准。（分批次配送，批次不定，</w:t>
      </w:r>
      <w:r>
        <w:rPr>
          <w:rFonts w:hint="eastAsia"/>
          <w:sz w:val="28"/>
          <w:szCs w:val="28"/>
          <w:lang w:val="en-US" w:eastAsia="zh-CN"/>
        </w:rPr>
        <w:t>乙方（供货单位）</w:t>
      </w:r>
      <w:r>
        <w:rPr>
          <w:rFonts w:hint="eastAsia"/>
          <w:sz w:val="28"/>
          <w:szCs w:val="28"/>
        </w:rPr>
        <w:t>每次接到</w:t>
      </w:r>
      <w:r>
        <w:rPr>
          <w:rFonts w:hint="eastAsia"/>
          <w:sz w:val="28"/>
          <w:szCs w:val="28"/>
          <w:lang w:val="en-US" w:eastAsia="zh-CN"/>
        </w:rPr>
        <w:t>甲方（采购单位）</w:t>
      </w:r>
      <w:r>
        <w:rPr>
          <w:rFonts w:hint="eastAsia"/>
          <w:sz w:val="28"/>
          <w:szCs w:val="28"/>
        </w:rPr>
        <w:t>要货通知后</w:t>
      </w:r>
      <w:r>
        <w:rPr>
          <w:rFonts w:hint="eastAsia"/>
          <w:sz w:val="28"/>
          <w:szCs w:val="28"/>
          <w:lang w:val="en-US" w:eastAsia="zh-CN"/>
        </w:rPr>
        <w:t>3-5个工作</w:t>
      </w:r>
      <w:r>
        <w:rPr>
          <w:rFonts w:hint="eastAsia"/>
          <w:sz w:val="28"/>
          <w:szCs w:val="28"/>
        </w:rPr>
        <w:t>日内完成供货</w:t>
      </w:r>
      <w:r>
        <w:rPr>
          <w:rFonts w:hint="eastAsia"/>
          <w:sz w:val="28"/>
          <w:szCs w:val="28"/>
          <w:lang w:eastAsia="zh-CN"/>
        </w:rPr>
        <w:t>。</w:t>
      </w:r>
    </w:p>
    <w:p w14:paraId="06CBDD6E">
      <w:pPr>
        <w:pStyle w:val="10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/>
          <w:sz w:val="28"/>
          <w:szCs w:val="28"/>
        </w:rPr>
        <w:t>2. 交货地点：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西安市儿童福利院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。</w:t>
      </w:r>
    </w:p>
    <w:p w14:paraId="2562C57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 运输方式及费用：乙方负责选择合适的运输方式将</w:t>
      </w:r>
      <w:r>
        <w:rPr>
          <w:rFonts w:hint="eastAsia"/>
          <w:sz w:val="28"/>
          <w:szCs w:val="28"/>
          <w:lang w:val="en-US" w:eastAsia="zh-CN"/>
        </w:rPr>
        <w:t>采购商品</w:t>
      </w:r>
      <w:r>
        <w:rPr>
          <w:rFonts w:hint="eastAsia"/>
          <w:sz w:val="28"/>
          <w:szCs w:val="28"/>
        </w:rPr>
        <w:t>安全运达交货地点，运输费用由乙方承担。在运输过程中，如发生货物损坏、丢失等情况，由乙方负责解决并承担相应损失。</w:t>
      </w:r>
    </w:p>
    <w:p w14:paraId="4256A967">
      <w:pPr>
        <w:pStyle w:val="4"/>
        <w:bidi w:val="0"/>
        <w:rPr>
          <w:rFonts w:hint="eastAsia"/>
          <w:sz w:val="28"/>
          <w:szCs w:val="28"/>
        </w:rPr>
      </w:pPr>
      <w:r>
        <w:rPr>
          <w:rFonts w:hint="eastAsia"/>
          <w:b/>
        </w:rPr>
        <w:t>五、验收方式</w:t>
      </w:r>
      <w:r>
        <w:rPr>
          <w:rFonts w:hint="eastAsia"/>
          <w:sz w:val="28"/>
          <w:szCs w:val="28"/>
        </w:rPr>
        <w:t xml:space="preserve"> </w:t>
      </w:r>
    </w:p>
    <w:p w14:paraId="34DABB7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 甲方在收到每批次</w:t>
      </w:r>
      <w:r>
        <w:rPr>
          <w:rFonts w:hint="eastAsia"/>
          <w:sz w:val="28"/>
          <w:szCs w:val="28"/>
          <w:lang w:val="en-US" w:eastAsia="zh-CN"/>
        </w:rPr>
        <w:t>采购商品当面</w:t>
      </w:r>
      <w:r>
        <w:rPr>
          <w:rFonts w:hint="eastAsia"/>
          <w:sz w:val="28"/>
          <w:szCs w:val="28"/>
        </w:rPr>
        <w:t>进行验收，验收内容包括</w:t>
      </w:r>
      <w:r>
        <w:rPr>
          <w:rFonts w:hint="eastAsia"/>
          <w:sz w:val="28"/>
          <w:szCs w:val="28"/>
          <w:lang w:val="en-US" w:eastAsia="zh-CN"/>
        </w:rPr>
        <w:t>采购商品</w:t>
      </w:r>
      <w:r>
        <w:rPr>
          <w:rFonts w:hint="eastAsia"/>
          <w:sz w:val="28"/>
          <w:szCs w:val="28"/>
        </w:rPr>
        <w:t>的数量、规格、包装、质量等方面。</w:t>
      </w:r>
    </w:p>
    <w:p w14:paraId="7F2162E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 如发现奶粉存在数量短缺、规格不符、包装破损或质量问题，甲方应及时</w:t>
      </w:r>
      <w:r>
        <w:rPr>
          <w:rFonts w:hint="eastAsia"/>
          <w:sz w:val="28"/>
          <w:szCs w:val="28"/>
          <w:lang w:val="en-US" w:eastAsia="zh-CN"/>
        </w:rPr>
        <w:t>当面与</w:t>
      </w:r>
      <w:r>
        <w:rPr>
          <w:rFonts w:hint="eastAsia"/>
          <w:sz w:val="28"/>
          <w:szCs w:val="28"/>
        </w:rPr>
        <w:t>乙方</w:t>
      </w:r>
      <w:r>
        <w:rPr>
          <w:rFonts w:hint="eastAsia"/>
          <w:sz w:val="28"/>
          <w:szCs w:val="28"/>
          <w:lang w:val="en-US" w:eastAsia="zh-CN"/>
        </w:rPr>
        <w:t>核对</w:t>
      </w:r>
      <w:r>
        <w:rPr>
          <w:rFonts w:hint="eastAsia"/>
          <w:sz w:val="28"/>
          <w:szCs w:val="28"/>
        </w:rPr>
        <w:t>，如</w:t>
      </w:r>
      <w:r>
        <w:rPr>
          <w:rFonts w:hint="eastAsia"/>
          <w:sz w:val="28"/>
          <w:szCs w:val="28"/>
          <w:lang w:val="en-US" w:eastAsia="zh-CN"/>
        </w:rPr>
        <w:t>经双方签字确认需要</w:t>
      </w:r>
      <w:r>
        <w:rPr>
          <w:rFonts w:hint="eastAsia"/>
          <w:sz w:val="28"/>
          <w:szCs w:val="28"/>
        </w:rPr>
        <w:t>更换合格产品、补足短缺数量等，由此产生的费用由乙方承担。</w:t>
      </w:r>
    </w:p>
    <w:p w14:paraId="19219AD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 若甲方对奶粉质量存在异议，可委托具有资质的第三方检测机构进行检测。如检测结果表明奶粉质量不符合合同约定，检测费用由乙方承担；如检测结果合格，检测费用由甲方承担。</w:t>
      </w:r>
    </w:p>
    <w:p w14:paraId="7D02F8E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 w14:paraId="07DAAD8C">
      <w:pPr>
        <w:pStyle w:val="4"/>
        <w:bidi w:val="0"/>
        <w:rPr>
          <w:rFonts w:hint="eastAsia"/>
          <w:sz w:val="28"/>
          <w:szCs w:val="28"/>
        </w:rPr>
      </w:pPr>
      <w:r>
        <w:rPr>
          <w:rFonts w:hint="eastAsia"/>
          <w:b/>
        </w:rPr>
        <w:t>六、价格及支付方式</w:t>
      </w:r>
    </w:p>
    <w:p w14:paraId="6021F02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 价格：</w:t>
      </w:r>
    </w:p>
    <w:p w14:paraId="504C14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本合同中的</w:t>
      </w:r>
      <w:r>
        <w:rPr>
          <w:rFonts w:hint="eastAsia"/>
          <w:sz w:val="28"/>
          <w:szCs w:val="28"/>
          <w:lang w:val="en-US" w:eastAsia="zh-CN"/>
        </w:rPr>
        <w:t>采购商品均</w:t>
      </w:r>
      <w:r>
        <w:rPr>
          <w:rFonts w:hint="eastAsia"/>
          <w:sz w:val="28"/>
          <w:szCs w:val="28"/>
        </w:rPr>
        <w:t>为</w:t>
      </w:r>
      <w:r>
        <w:rPr>
          <w:rFonts w:hint="eastAsia"/>
          <w:sz w:val="28"/>
          <w:szCs w:val="28"/>
          <w:lang w:val="en-US" w:eastAsia="zh-CN"/>
        </w:rPr>
        <w:t>中标</w:t>
      </w:r>
      <w:r>
        <w:rPr>
          <w:rFonts w:hint="eastAsia"/>
          <w:sz w:val="28"/>
          <w:szCs w:val="28"/>
        </w:rPr>
        <w:t>价格，在合同履行期间不受市场价格波动影响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具体价格见产品明细。</w:t>
      </w:r>
    </w:p>
    <w:p w14:paraId="3CC7A5F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 支付方式：</w:t>
      </w:r>
    </w:p>
    <w:p w14:paraId="450777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合同签订后，支付合同总金额的30%作为预付款，每月25日前，根据上月实际采购数量进行结算，结算款项先行抵扣预付款，支付抵扣后的金额。（预付款分五次进行抵扣；若五次付款总金额未达到预付款金额，在后续供货过程中继续抵扣；若服务期结束后付款总金额未达到预付款金额，供应商须将预付款多出部分原路返回） ，达到付款条件起 30 日内，支付合同总金额的 100.00%。</w:t>
      </w:r>
    </w:p>
    <w:p w14:paraId="318046E3">
      <w:pPr>
        <w:pStyle w:val="4"/>
        <w:bidi w:val="0"/>
        <w:rPr>
          <w:rFonts w:hint="eastAsia"/>
          <w:b/>
        </w:rPr>
      </w:pPr>
      <w:r>
        <w:rPr>
          <w:rFonts w:hint="eastAsia"/>
          <w:b/>
        </w:rPr>
        <w:t>七、售后服务</w:t>
      </w:r>
    </w:p>
    <w:p w14:paraId="7C29559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 乙方应提供完善的售后服务，包括但不限于解答甲方关于</w:t>
      </w:r>
      <w:r>
        <w:rPr>
          <w:rFonts w:hint="eastAsia"/>
          <w:sz w:val="28"/>
          <w:szCs w:val="28"/>
          <w:lang w:val="en-US" w:eastAsia="zh-CN"/>
        </w:rPr>
        <w:t>采购商品</w:t>
      </w:r>
      <w:r>
        <w:rPr>
          <w:rFonts w:hint="eastAsia"/>
          <w:sz w:val="28"/>
          <w:szCs w:val="28"/>
        </w:rPr>
        <w:t>使用、储存等方面的疑问，及时处理甲方反馈的问题。</w:t>
      </w:r>
    </w:p>
    <w:p w14:paraId="25F2E2C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 在保质期内，如因</w:t>
      </w:r>
      <w:r>
        <w:rPr>
          <w:rFonts w:hint="eastAsia"/>
          <w:sz w:val="28"/>
          <w:szCs w:val="28"/>
          <w:lang w:val="en-US" w:eastAsia="zh-CN"/>
        </w:rPr>
        <w:t>采购商品</w:t>
      </w:r>
      <w:r>
        <w:rPr>
          <w:rFonts w:hint="eastAsia"/>
          <w:sz w:val="28"/>
          <w:szCs w:val="28"/>
        </w:rPr>
        <w:t>质量问题导致甲方或第三方遭受损失，乙方应承担相应的赔偿责任。</w:t>
      </w:r>
    </w:p>
    <w:p w14:paraId="4192916F">
      <w:pPr>
        <w:pStyle w:val="4"/>
        <w:bidi w:val="0"/>
        <w:rPr>
          <w:rFonts w:hint="eastAsia"/>
          <w:sz w:val="28"/>
          <w:szCs w:val="28"/>
        </w:rPr>
      </w:pPr>
      <w:r>
        <w:rPr>
          <w:rFonts w:hint="eastAsia"/>
          <w:b/>
        </w:rPr>
        <w:t xml:space="preserve"> 八、违约责任</w:t>
      </w:r>
    </w:p>
    <w:p w14:paraId="57994B3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若乙方未按照合同约定的时间、数量、质量交货，每逾期一日，应按照该批次未交货金额的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%向甲方支付违约金。逾期超过</w:t>
      </w:r>
      <w:r>
        <w:rPr>
          <w:rFonts w:hint="eastAsia"/>
          <w:sz w:val="28"/>
          <w:szCs w:val="28"/>
          <w:lang w:val="en-US" w:eastAsia="zh-CN"/>
        </w:rPr>
        <w:t>5个工作</w:t>
      </w:r>
      <w:r>
        <w:rPr>
          <w:rFonts w:hint="eastAsia"/>
          <w:sz w:val="28"/>
          <w:szCs w:val="28"/>
        </w:rPr>
        <w:t>日的，甲方有权解除合同，并要求乙方返还已支付的货款，同时乙方应向甲方支付合同总金额</w:t>
      </w:r>
      <w:r>
        <w:rPr>
          <w:rFonts w:hint="eastAsia"/>
          <w:sz w:val="28"/>
          <w:szCs w:val="28"/>
          <w:lang w:val="en-US" w:eastAsia="zh-CN"/>
        </w:rPr>
        <w:t>2%</w:t>
      </w:r>
      <w:r>
        <w:rPr>
          <w:rFonts w:hint="eastAsia"/>
          <w:sz w:val="28"/>
          <w:szCs w:val="28"/>
        </w:rPr>
        <w:t>的违约金，并赔偿甲方因此遭受的损失。</w:t>
      </w:r>
    </w:p>
    <w:p w14:paraId="057E9C7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若乙方提供的</w:t>
      </w:r>
      <w:r>
        <w:rPr>
          <w:rFonts w:hint="eastAsia"/>
          <w:sz w:val="28"/>
          <w:szCs w:val="28"/>
          <w:lang w:val="en-US" w:eastAsia="zh-CN"/>
        </w:rPr>
        <w:t>采购商品</w:t>
      </w:r>
      <w:r>
        <w:rPr>
          <w:rFonts w:hint="eastAsia"/>
          <w:sz w:val="28"/>
          <w:szCs w:val="28"/>
        </w:rPr>
        <w:t>质量不符合合同约定，乙方应负责无条件更换合格产品，并承担由此给甲方造成的一切损失，包括但不限于退货费用、检测费用、第三方索赔等。</w:t>
      </w:r>
    </w:p>
    <w:p w14:paraId="7F188585">
      <w:pPr>
        <w:pStyle w:val="4"/>
        <w:bidi w:val="0"/>
        <w:rPr>
          <w:rFonts w:hint="eastAsia"/>
          <w:sz w:val="28"/>
          <w:szCs w:val="28"/>
        </w:rPr>
      </w:pPr>
      <w:r>
        <w:rPr>
          <w:rFonts w:hint="eastAsia"/>
          <w:b/>
        </w:rPr>
        <w:t>九、不可抗力</w:t>
      </w:r>
      <w:r>
        <w:rPr>
          <w:rFonts w:hint="eastAsia"/>
          <w:sz w:val="28"/>
          <w:szCs w:val="28"/>
        </w:rPr>
        <w:t xml:space="preserve"> </w:t>
      </w:r>
    </w:p>
    <w:p w14:paraId="7B7A771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 本合同所称不可抗力是指不能预见、不能避免并不能克服的客观情况，包括但不限于自然灾害、政府行为、社会异常事件等。</w:t>
      </w:r>
    </w:p>
    <w:p w14:paraId="5282D54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 因不可抗力事件导致一方无法履行合同义务的，该方不承担违约责任，但应在不可抗力事件发生后的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个工作日内书面通知对方，并提供相关证明文件。在不可抗力事件影响消除后的合理时间内，双方应协商恢复合同的履行。</w:t>
      </w:r>
    </w:p>
    <w:p w14:paraId="3D7D41A8">
      <w:pPr>
        <w:pStyle w:val="4"/>
        <w:bidi w:val="0"/>
        <w:rPr>
          <w:rFonts w:hint="eastAsia"/>
          <w:sz w:val="28"/>
          <w:szCs w:val="28"/>
        </w:rPr>
      </w:pPr>
      <w:r>
        <w:rPr>
          <w:rFonts w:hint="eastAsia"/>
          <w:b/>
        </w:rPr>
        <w:t>十、争议解决</w:t>
      </w:r>
    </w:p>
    <w:p w14:paraId="3EFF6DB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 本合同的签订、履行、解释及争议解决均适用中华人民共和国法律。</w:t>
      </w:r>
    </w:p>
    <w:p w14:paraId="2660E45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 双方在履行合同过程中如发生争议，应首先通过友好协商解决；协商不成的，任何一方均有权向合同签订地有管辖权的人民法院提起诉讼 。</w:t>
      </w:r>
    </w:p>
    <w:p w14:paraId="3A4422B4">
      <w:pPr>
        <w:pStyle w:val="4"/>
        <w:bidi w:val="0"/>
        <w:rPr>
          <w:rFonts w:hint="eastAsia"/>
          <w:sz w:val="28"/>
          <w:szCs w:val="28"/>
        </w:rPr>
      </w:pPr>
      <w:r>
        <w:rPr>
          <w:rFonts w:hint="eastAsia"/>
          <w:b/>
        </w:rPr>
        <w:t>十一、其他条款</w:t>
      </w:r>
    </w:p>
    <w:p w14:paraId="02F3249B"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1. 本合同自双方签字（或盖章）之日起生效，有效期为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年。合同期满后，</w:t>
      </w:r>
      <w:r>
        <w:rPr>
          <w:rFonts w:hint="eastAsia"/>
          <w:sz w:val="28"/>
          <w:szCs w:val="28"/>
          <w:lang w:val="en-US" w:eastAsia="zh-CN"/>
        </w:rPr>
        <w:t>合同自动解除。</w:t>
      </w:r>
    </w:p>
    <w:p w14:paraId="1B2D3405">
      <w:pPr>
        <w:rPr>
          <w:rFonts w:hint="eastAsia"/>
          <w:sz w:val="28"/>
          <w:szCs w:val="28"/>
        </w:rPr>
      </w:pPr>
    </w:p>
    <w:p w14:paraId="03909E3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 本合同一式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份，甲乙双方各执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份，具有同等法律效力。</w:t>
      </w:r>
    </w:p>
    <w:p w14:paraId="4511D05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 本合同未尽事宜，双方可另行协商并签订补充协议，补充协议与本合同具有同等法律效力。补充协议内容与本合同不一致的，以补充协议为准。</w:t>
      </w:r>
    </w:p>
    <w:p w14:paraId="47A28EC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 w14:paraId="098971F5">
      <w:pPr>
        <w:rPr>
          <w:rFonts w:hint="eastAsia"/>
          <w:sz w:val="28"/>
          <w:szCs w:val="28"/>
        </w:rPr>
      </w:pPr>
    </w:p>
    <w:p w14:paraId="62D2809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甲方（盖章）：__________________</w:t>
      </w:r>
    </w:p>
    <w:p w14:paraId="17283A6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法定代表人或授权代表（签字）：______</w:t>
      </w:r>
    </w:p>
    <w:p w14:paraId="4BF75FF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签订日期：______年____月____日</w:t>
      </w:r>
    </w:p>
    <w:p w14:paraId="142BAA10">
      <w:pPr>
        <w:rPr>
          <w:rFonts w:hint="eastAsia"/>
          <w:sz w:val="28"/>
          <w:szCs w:val="28"/>
        </w:rPr>
      </w:pPr>
    </w:p>
    <w:p w14:paraId="3292080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 w14:paraId="3F0E69B3">
      <w:pPr>
        <w:rPr>
          <w:rFonts w:hint="default"/>
          <w:sz w:val="28"/>
          <w:szCs w:val="28"/>
          <w:lang w:val="en-US"/>
        </w:rPr>
      </w:pPr>
      <w:r>
        <w:rPr>
          <w:rFonts w:hint="eastAsia"/>
          <w:sz w:val="28"/>
          <w:szCs w:val="28"/>
        </w:rPr>
        <w:t>乙方（盖章）：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</w:p>
    <w:p w14:paraId="6863989C">
      <w:pPr>
        <w:rPr>
          <w:rFonts w:hint="default" w:asciiTheme="minorAscii" w:hAnsiTheme="minorAscii" w:eastAsiaTheme="minorEastAsia"/>
          <w:b/>
          <w:sz w:val="28"/>
          <w:szCs w:val="28"/>
          <w:u w:val="single" w:color="auto"/>
          <w:lang w:val="en-US" w:eastAsia="zh-CN"/>
        </w:rPr>
      </w:pPr>
      <w:r>
        <w:rPr>
          <w:rFonts w:hint="eastAsia"/>
          <w:sz w:val="28"/>
          <w:szCs w:val="28"/>
        </w:rPr>
        <w:t>法定代表人或授权代表（签字）：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Ascii" w:hAnsiTheme="minorAscii"/>
          <w:b w:val="0"/>
          <w:bCs/>
          <w:sz w:val="28"/>
          <w:szCs w:val="28"/>
          <w:u w:val="single" w:color="auto"/>
          <w:lang w:val="en-US" w:eastAsia="zh-CN"/>
        </w:rPr>
        <w:t xml:space="preserve">        </w:t>
      </w:r>
      <w:bookmarkStart w:id="0" w:name="_GoBack"/>
      <w:bookmarkEnd w:id="0"/>
      <w:r>
        <w:rPr>
          <w:rFonts w:hint="eastAsia" w:asciiTheme="minorAscii" w:hAnsiTheme="minorAscii"/>
          <w:b/>
          <w:sz w:val="28"/>
          <w:szCs w:val="28"/>
          <w:u w:val="single" w:color="auto"/>
          <w:lang w:val="en-US" w:eastAsia="zh-CN"/>
        </w:rPr>
        <w:t xml:space="preserve"> </w:t>
      </w:r>
    </w:p>
    <w:p w14:paraId="7B411BC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签订日期：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日</w:t>
      </w:r>
    </w:p>
    <w:p w14:paraId="23C3C332">
      <w:pPr>
        <w:rPr>
          <w:rFonts w:hint="eastAsia"/>
          <w:sz w:val="28"/>
          <w:szCs w:val="28"/>
        </w:rPr>
      </w:pPr>
    </w:p>
    <w:p w14:paraId="7B4B61DA">
      <w:pPr>
        <w:rPr>
          <w:rFonts w:hint="eastAsia"/>
          <w:sz w:val="28"/>
          <w:szCs w:val="28"/>
        </w:rPr>
      </w:pPr>
    </w:p>
    <w:p w14:paraId="6FD4A378">
      <w:pPr>
        <w:rPr>
          <w:rFonts w:hint="eastAsia"/>
          <w:sz w:val="28"/>
          <w:szCs w:val="28"/>
        </w:rPr>
      </w:pPr>
    </w:p>
    <w:p w14:paraId="29116CBD">
      <w:pPr>
        <w:rPr>
          <w:rFonts w:hint="eastAsia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DE8B68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991601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4991601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07361"/>
    <w:rsid w:val="019915AF"/>
    <w:rsid w:val="07993651"/>
    <w:rsid w:val="206E043A"/>
    <w:rsid w:val="36567E7D"/>
    <w:rsid w:val="3D2C5F43"/>
    <w:rsid w:val="48BB0BE3"/>
    <w:rsid w:val="4FFA4F97"/>
    <w:rsid w:val="53B07361"/>
    <w:rsid w:val="5A5A3805"/>
    <w:rsid w:val="6A5B4F54"/>
    <w:rsid w:val="77C35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485</Words>
  <Characters>606</Characters>
  <Lines>0</Lines>
  <Paragraphs>0</Paragraphs>
  <TotalTime>7</TotalTime>
  <ScaleCrop>false</ScaleCrop>
  <LinksUpToDate>false</LinksUpToDate>
  <CharactersWithSpaces>613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2025-07-01T12:34:00Z</dcterms:created>
  <dc:creator>韩琨</dc:creator>
  <cp:lastModifiedBy>且听风吟</cp:lastModifiedBy>
  <dcterms:modified xsi:type="dcterms:W3CDTF">2026-04-16T07:12:43Z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1A4FDC576225456D83CAA9442B88C1A7_11</vt:lpwstr>
  </property>
  <property fmtid="{D5CDD505-2E9C-101B-9397-08002B2CF9AE}" pid="4" name="KSOTemplateDocerSaveRecord">
    <vt:lpwstr>eyJoZGlkIjoiY2Q3ZTliN2Y5N2Y1MTdkODZlOTIyYTE4ZGRjZmIwNmIiLCJ1c2VySWQiOiI0MjE0NDYxMDMifQ==</vt:lpwstr>
  </property>
</Properties>
</file>