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E806B">
      <w:pPr>
        <w:rPr>
          <w:rFonts w:hint="eastAsia" w:ascii="宋体" w:hAnsi="宋体" w:eastAsia="宋体" w:cs="宋体"/>
          <w:b/>
          <w:color w:val="auto"/>
          <w:sz w:val="36"/>
          <w:highlight w:val="none"/>
          <w:lang w:eastAsia="zh-CN"/>
        </w:rPr>
      </w:pPr>
      <w:r>
        <w:rPr>
          <w:rFonts w:hint="eastAsia" w:ascii="宋体" w:hAnsi="宋体" w:eastAsia="宋体" w:cs="宋体"/>
          <w:b/>
          <w:bCs/>
          <w:color w:val="auto"/>
          <w:kern w:val="2"/>
          <w:sz w:val="32"/>
          <w:szCs w:val="32"/>
          <w:highlight w:val="none"/>
        </w:rPr>
        <w:t>项目编号:</w:t>
      </w:r>
      <w:r>
        <w:rPr>
          <w:rFonts w:hint="eastAsia" w:hAnsi="宋体" w:cs="宋体"/>
          <w:b/>
          <w:bCs/>
          <w:color w:val="auto"/>
          <w:kern w:val="2"/>
          <w:sz w:val="32"/>
          <w:szCs w:val="32"/>
          <w:highlight w:val="none"/>
          <w:lang w:eastAsia="zh-CN"/>
        </w:rPr>
        <w:t>HYGH2026-ZCGK-0512</w:t>
      </w:r>
    </w:p>
    <w:p w14:paraId="10231E9D">
      <w:pPr>
        <w:rPr>
          <w:rFonts w:hint="eastAsia" w:ascii="宋体" w:hAnsi="宋体" w:eastAsia="宋体" w:cs="宋体"/>
          <w:b/>
          <w:color w:val="auto"/>
          <w:sz w:val="36"/>
          <w:highlight w:val="none"/>
        </w:rPr>
      </w:pPr>
    </w:p>
    <w:p w14:paraId="4B220CF7">
      <w:pPr>
        <w:jc w:val="center"/>
        <w:rPr>
          <w:rFonts w:hint="eastAsia" w:ascii="宋体" w:hAnsi="宋体" w:eastAsia="宋体" w:cs="宋体"/>
          <w:b/>
          <w:color w:val="auto"/>
          <w:sz w:val="52"/>
          <w:szCs w:val="52"/>
          <w:highlight w:val="none"/>
        </w:rPr>
      </w:pPr>
    </w:p>
    <w:p w14:paraId="6BFF8B53">
      <w:pPr>
        <w:jc w:val="center"/>
        <w:rPr>
          <w:rFonts w:hint="eastAsia" w:ascii="宋体" w:hAnsi="宋体" w:eastAsia="宋体" w:cs="宋体"/>
          <w:b/>
          <w:color w:val="auto"/>
          <w:sz w:val="72"/>
          <w:szCs w:val="72"/>
          <w:highlight w:val="none"/>
          <w:lang w:eastAsia="zh-CN"/>
        </w:rPr>
      </w:pPr>
    </w:p>
    <w:p w14:paraId="5C294BB1">
      <w:pPr>
        <w:jc w:val="center"/>
        <w:rPr>
          <w:rFonts w:hint="eastAsia" w:ascii="宋体" w:hAnsi="宋体" w:eastAsia="宋体" w:cs="宋体"/>
          <w:b/>
          <w:color w:val="auto"/>
          <w:sz w:val="56"/>
          <w:szCs w:val="56"/>
          <w:highlight w:val="none"/>
          <w:lang w:eastAsia="zh-CN"/>
        </w:rPr>
      </w:pPr>
      <w:r>
        <w:rPr>
          <w:rFonts w:hint="eastAsia" w:hAnsi="宋体" w:cs="宋体"/>
          <w:b/>
          <w:color w:val="auto"/>
          <w:sz w:val="56"/>
          <w:szCs w:val="56"/>
          <w:highlight w:val="none"/>
          <w:lang w:eastAsia="zh-CN"/>
        </w:rPr>
        <w:t>山阳县生活垃圾压缩站及环卫配套设施更新改造项目(二期)</w:t>
      </w:r>
    </w:p>
    <w:p w14:paraId="2D35AC63">
      <w:pPr>
        <w:pStyle w:val="10"/>
        <w:jc w:val="center"/>
        <w:rPr>
          <w:rFonts w:hint="eastAsia" w:ascii="宋体" w:hAnsi="宋体" w:eastAsia="宋体" w:cs="宋体"/>
          <w:b/>
          <w:color w:val="auto"/>
          <w:sz w:val="48"/>
          <w:szCs w:val="48"/>
          <w:highlight w:val="none"/>
          <w:lang w:val="en-US" w:eastAsia="zh-CN" w:bidi="ar-SA"/>
        </w:rPr>
      </w:pPr>
    </w:p>
    <w:p w14:paraId="03F305DD">
      <w:pPr>
        <w:spacing w:line="780" w:lineRule="auto"/>
        <w:jc w:val="center"/>
        <w:rPr>
          <w:rFonts w:hint="eastAsia" w:ascii="宋体" w:hAnsi="宋体" w:eastAsia="宋体" w:cs="宋体"/>
          <w:b/>
          <w:color w:val="auto"/>
          <w:sz w:val="88"/>
          <w:szCs w:val="88"/>
          <w:highlight w:val="none"/>
        </w:rPr>
      </w:pPr>
    </w:p>
    <w:p w14:paraId="1B144434">
      <w:pPr>
        <w:pStyle w:val="13"/>
        <w:rPr>
          <w:rFonts w:hint="eastAsia" w:ascii="宋体" w:hAnsi="宋体" w:eastAsia="宋体" w:cs="宋体"/>
          <w:color w:val="auto"/>
          <w:highlight w:val="none"/>
        </w:rPr>
      </w:pPr>
    </w:p>
    <w:p w14:paraId="38E0B56A">
      <w:pPr>
        <w:spacing w:line="780" w:lineRule="auto"/>
        <w:jc w:val="center"/>
        <w:rPr>
          <w:rFonts w:hint="eastAsia" w:ascii="宋体" w:hAnsi="宋体" w:eastAsia="宋体" w:cs="宋体"/>
          <w:b/>
          <w:color w:val="auto"/>
          <w:sz w:val="88"/>
          <w:szCs w:val="88"/>
          <w:highlight w:val="none"/>
        </w:rPr>
      </w:pPr>
      <w:r>
        <w:rPr>
          <w:rFonts w:hint="eastAsia" w:ascii="宋体" w:hAnsi="宋体" w:eastAsia="宋体" w:cs="宋体"/>
          <w:b/>
          <w:color w:val="auto"/>
          <w:sz w:val="88"/>
          <w:szCs w:val="88"/>
          <w:highlight w:val="none"/>
        </w:rPr>
        <w:t>招 标 文 件</w:t>
      </w:r>
    </w:p>
    <w:p w14:paraId="7BAFF50A">
      <w:pPr>
        <w:rPr>
          <w:rFonts w:hint="eastAsia" w:ascii="宋体" w:hAnsi="宋体" w:eastAsia="宋体" w:cs="宋体"/>
          <w:color w:val="auto"/>
          <w:highlight w:val="none"/>
        </w:rPr>
      </w:pPr>
      <w:bookmarkStart w:id="0" w:name="_Toc363463325"/>
    </w:p>
    <w:p w14:paraId="5BEA981C">
      <w:pPr>
        <w:rPr>
          <w:rFonts w:hint="eastAsia" w:ascii="宋体" w:hAnsi="宋体" w:eastAsia="宋体" w:cs="宋体"/>
          <w:color w:val="auto"/>
          <w:highlight w:val="none"/>
        </w:rPr>
      </w:pPr>
    </w:p>
    <w:bookmarkEnd w:id="0"/>
    <w:p w14:paraId="41D2A2D3">
      <w:pPr>
        <w:rPr>
          <w:rFonts w:hint="eastAsia" w:ascii="宋体" w:hAnsi="宋体" w:eastAsia="宋体" w:cs="宋体"/>
          <w:color w:val="auto"/>
          <w:sz w:val="18"/>
          <w:szCs w:val="18"/>
          <w:highlight w:val="none"/>
        </w:rPr>
      </w:pPr>
    </w:p>
    <w:p w14:paraId="2DBB35FC">
      <w:pPr>
        <w:rPr>
          <w:rFonts w:hint="eastAsia" w:ascii="宋体" w:hAnsi="宋体" w:eastAsia="宋体" w:cs="宋体"/>
          <w:color w:val="auto"/>
          <w:sz w:val="18"/>
          <w:szCs w:val="18"/>
          <w:highlight w:val="none"/>
        </w:rPr>
      </w:pPr>
    </w:p>
    <w:p w14:paraId="4C632A87">
      <w:pPr>
        <w:rPr>
          <w:rFonts w:hint="eastAsia" w:ascii="宋体" w:hAnsi="宋体" w:eastAsia="宋体" w:cs="宋体"/>
          <w:color w:val="auto"/>
          <w:sz w:val="18"/>
          <w:szCs w:val="18"/>
          <w:highlight w:val="none"/>
        </w:rPr>
      </w:pPr>
    </w:p>
    <w:p w14:paraId="6A388C2B">
      <w:pPr>
        <w:rPr>
          <w:rFonts w:hint="eastAsia" w:ascii="宋体" w:hAnsi="宋体" w:eastAsia="宋体" w:cs="宋体"/>
          <w:color w:val="auto"/>
          <w:sz w:val="18"/>
          <w:szCs w:val="18"/>
          <w:highlight w:val="none"/>
        </w:rPr>
      </w:pPr>
    </w:p>
    <w:p w14:paraId="5C8936FE">
      <w:pPr>
        <w:rPr>
          <w:rFonts w:hint="eastAsia" w:ascii="宋体" w:hAnsi="宋体" w:eastAsia="宋体" w:cs="宋体"/>
          <w:color w:val="auto"/>
          <w:sz w:val="18"/>
          <w:szCs w:val="18"/>
          <w:highlight w:val="none"/>
        </w:rPr>
      </w:pPr>
    </w:p>
    <w:p w14:paraId="6D8D8E2A">
      <w:pPr>
        <w:rPr>
          <w:rFonts w:hint="eastAsia" w:ascii="宋体" w:hAnsi="宋体" w:eastAsia="宋体" w:cs="宋体"/>
          <w:color w:val="auto"/>
          <w:sz w:val="18"/>
          <w:szCs w:val="18"/>
          <w:highlight w:val="none"/>
        </w:rPr>
      </w:pPr>
    </w:p>
    <w:p w14:paraId="35033040">
      <w:pPr>
        <w:pStyle w:val="7"/>
        <w:ind w:left="0" w:leftChars="0" w:firstLine="0" w:firstLineChars="0"/>
        <w:rPr>
          <w:rFonts w:hint="eastAsia" w:ascii="宋体" w:hAnsi="宋体" w:eastAsia="宋体" w:cs="宋体"/>
          <w:color w:val="auto"/>
          <w:sz w:val="18"/>
          <w:szCs w:val="18"/>
          <w:highlight w:val="none"/>
        </w:rPr>
      </w:pPr>
    </w:p>
    <w:p w14:paraId="4CDD99BF">
      <w:pPr>
        <w:tabs>
          <w:tab w:val="left" w:pos="525"/>
        </w:tabs>
        <w:ind w:left="-2" w:leftChars="-1" w:firstLine="1"/>
        <w:jc w:val="center"/>
        <w:rPr>
          <w:rFonts w:hint="eastAsia" w:ascii="宋体" w:hAnsi="宋体" w:eastAsia="宋体" w:cs="宋体"/>
          <w:b/>
          <w:bCs/>
          <w:color w:val="auto"/>
          <w:kern w:val="2"/>
          <w:sz w:val="32"/>
          <w:szCs w:val="32"/>
          <w:highlight w:val="none"/>
          <w:lang w:eastAsia="zh-CN"/>
        </w:rPr>
      </w:pPr>
      <w:r>
        <w:rPr>
          <w:rFonts w:hint="eastAsia" w:hAnsi="宋体" w:cs="宋体"/>
          <w:b/>
          <w:bCs/>
          <w:color w:val="auto"/>
          <w:kern w:val="2"/>
          <w:sz w:val="32"/>
          <w:szCs w:val="32"/>
          <w:highlight w:val="none"/>
          <w:lang w:eastAsia="zh-CN"/>
        </w:rPr>
        <w:t>陕西海源广合项目管理有限公司</w:t>
      </w:r>
    </w:p>
    <w:p w14:paraId="25A24451">
      <w:pPr>
        <w:tabs>
          <w:tab w:val="left" w:pos="525"/>
        </w:tabs>
        <w:ind w:left="-2" w:leftChars="-1" w:firstLine="1"/>
        <w:jc w:val="center"/>
        <w:rPr>
          <w:rFonts w:hint="eastAsia" w:ascii="宋体" w:hAnsi="宋体" w:eastAsia="宋体" w:cs="宋体"/>
          <w:b/>
          <w:color w:val="auto"/>
          <w:sz w:val="44"/>
          <w:szCs w:val="44"/>
          <w:highlight w:val="none"/>
        </w:rPr>
        <w:sectPr>
          <w:headerReference r:id="rId4" w:type="first"/>
          <w:footerReference r:id="rId6" w:type="first"/>
          <w:headerReference r:id="rId3" w:type="default"/>
          <w:footerReference r:id="rId5" w:type="default"/>
          <w:pgSz w:w="11906" w:h="16838"/>
          <w:pgMar w:top="1361" w:right="1417" w:bottom="1361" w:left="1417" w:header="1134" w:footer="992" w:gutter="0"/>
          <w:pgNumType w:start="1"/>
          <w:cols w:space="720" w:num="1"/>
          <w:titlePg/>
          <w:docGrid w:type="lines" w:linePitch="333" w:charSpace="0"/>
        </w:sectPr>
      </w:pPr>
      <w:r>
        <w:rPr>
          <w:rFonts w:hint="eastAsia" w:ascii="宋体" w:hAnsi="宋体" w:eastAsia="宋体" w:cs="宋体"/>
          <w:b/>
          <w:bCs/>
          <w:color w:val="auto"/>
          <w:kern w:val="2"/>
          <w:sz w:val="32"/>
          <w:szCs w:val="32"/>
          <w:highlight w:val="none"/>
          <w:lang w:eastAsia="zh-CN"/>
        </w:rPr>
        <w:t>二〇二</w:t>
      </w:r>
      <w:r>
        <w:rPr>
          <w:rFonts w:hint="eastAsia" w:hAnsi="宋体" w:cs="宋体"/>
          <w:b/>
          <w:bCs/>
          <w:color w:val="auto"/>
          <w:kern w:val="2"/>
          <w:sz w:val="32"/>
          <w:szCs w:val="32"/>
          <w:highlight w:val="none"/>
          <w:lang w:val="en-US" w:eastAsia="zh-CN"/>
        </w:rPr>
        <w:t>六</w:t>
      </w:r>
      <w:r>
        <w:rPr>
          <w:rFonts w:hint="eastAsia" w:ascii="宋体" w:hAnsi="宋体" w:eastAsia="宋体" w:cs="宋体"/>
          <w:b/>
          <w:bCs/>
          <w:color w:val="auto"/>
          <w:kern w:val="2"/>
          <w:sz w:val="32"/>
          <w:szCs w:val="32"/>
          <w:highlight w:val="none"/>
          <w:lang w:eastAsia="zh-CN"/>
        </w:rPr>
        <w:t>年</w:t>
      </w:r>
      <w:r>
        <w:rPr>
          <w:rFonts w:hint="eastAsia" w:hAnsi="宋体" w:cs="宋体"/>
          <w:b/>
          <w:bCs/>
          <w:color w:val="auto"/>
          <w:kern w:val="2"/>
          <w:sz w:val="32"/>
          <w:szCs w:val="32"/>
          <w:highlight w:val="none"/>
          <w:lang w:val="en-US" w:eastAsia="zh-CN"/>
        </w:rPr>
        <w:t>六</w:t>
      </w:r>
      <w:r>
        <w:rPr>
          <w:rFonts w:hint="eastAsia" w:ascii="宋体" w:hAnsi="宋体" w:eastAsia="宋体" w:cs="宋体"/>
          <w:b/>
          <w:bCs/>
          <w:color w:val="auto"/>
          <w:kern w:val="2"/>
          <w:sz w:val="32"/>
          <w:szCs w:val="32"/>
          <w:highlight w:val="none"/>
          <w:lang w:eastAsia="zh-CN"/>
        </w:rPr>
        <w:t>月</w:t>
      </w:r>
    </w:p>
    <w:p w14:paraId="47DC332D">
      <w:pPr>
        <w:spacing w:before="166" w:beforeLines="50"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00A89DC1">
      <w:pPr>
        <w:pStyle w:val="15"/>
        <w:keepNext w:val="0"/>
        <w:keepLines w:val="0"/>
        <w:pageBreakBefore w:val="0"/>
        <w:widowControl w:val="0"/>
        <w:tabs>
          <w:tab w:val="right" w:leader="dot" w:pos="9072"/>
          <w:tab w:val="clear" w:pos="1418"/>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bookmarkStart w:id="1" w:name="_Toc16218"/>
      <w:bookmarkStart w:id="2" w:name="_Toc5293"/>
      <w:bookmarkStart w:id="3" w:name="_Toc389582033"/>
      <w:bookmarkStart w:id="4" w:name="_Toc20858"/>
      <w:bookmarkStart w:id="5" w:name="_Toc20652"/>
      <w:bookmarkStart w:id="6" w:name="_Toc21518"/>
      <w:bookmarkStart w:id="7" w:name="_Toc19886"/>
      <w:bookmarkStart w:id="8" w:name="_Toc426457691"/>
      <w:bookmarkStart w:id="9" w:name="_Toc363474016"/>
      <w:bookmarkStart w:id="10" w:name="_Toc363473971"/>
      <w:bookmarkStart w:id="11" w:name="_Toc403077638"/>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"1-4"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_Toc19157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_Toc19157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CE3F11">
      <w:pPr>
        <w:pStyle w:val="15"/>
        <w:keepNext w:val="0"/>
        <w:keepLines w:val="0"/>
        <w:pageBreakBefore w:val="0"/>
        <w:widowControl w:val="0"/>
        <w:tabs>
          <w:tab w:val="right" w:leader="dot" w:pos="9072"/>
          <w:tab w:val="clear" w:pos="1418"/>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0BF1913">
      <w:pPr>
        <w:pStyle w:val="16"/>
        <w:keepNext w:val="0"/>
        <w:keepLines w:val="0"/>
        <w:pageBreakBefore w:val="0"/>
        <w:widowControl w:val="0"/>
        <w:tabs>
          <w:tab w:val="right" w:leader="dot" w:pos="9072"/>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_Toc12632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投标人须知前附表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_Toc12632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32376E">
      <w:pPr>
        <w:pStyle w:val="15"/>
        <w:keepNext w:val="0"/>
        <w:keepLines w:val="0"/>
        <w:pageBreakBefore w:val="0"/>
        <w:widowControl w:val="0"/>
        <w:tabs>
          <w:tab w:val="right" w:leader="dot" w:pos="9072"/>
          <w:tab w:val="clear" w:pos="1418"/>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_Toc4557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_Toc4557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A76BDE0">
      <w:pPr>
        <w:pStyle w:val="16"/>
        <w:keepNext w:val="0"/>
        <w:keepLines w:val="0"/>
        <w:pageBreakBefore w:val="0"/>
        <w:widowControl w:val="0"/>
        <w:tabs>
          <w:tab w:val="right" w:leader="dot" w:pos="9072"/>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_Toc30877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合同条款及格式前附表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_Toc30877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1E7A7E4">
      <w:pPr>
        <w:pStyle w:val="15"/>
        <w:keepNext w:val="0"/>
        <w:keepLines w:val="0"/>
        <w:pageBreakBefore w:val="0"/>
        <w:widowControl w:val="0"/>
        <w:tabs>
          <w:tab w:val="right" w:leader="dot" w:pos="9072"/>
          <w:tab w:val="clear" w:pos="1418"/>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_Toc9850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eastAsia="zh-CN"/>
        </w:rPr>
        <w:t>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采购内容及</w:t>
      </w:r>
      <w:r>
        <w:rPr>
          <w:rFonts w:hint="eastAsia" w:hAnsi="宋体" w:cs="宋体"/>
          <w:color w:val="auto"/>
          <w:sz w:val="28"/>
          <w:szCs w:val="28"/>
          <w:highlight w:val="none"/>
          <w:lang w:val="en-US" w:eastAsia="zh-CN"/>
        </w:rPr>
        <w:t>商务</w:t>
      </w:r>
      <w:r>
        <w:rPr>
          <w:rFonts w:hint="eastAsia" w:ascii="宋体" w:hAnsi="宋体" w:eastAsia="宋体" w:cs="宋体"/>
          <w:color w:val="auto"/>
          <w:sz w:val="28"/>
          <w:szCs w:val="28"/>
          <w:highlight w:val="none"/>
        </w:rPr>
        <w:t>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_Toc9850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A11B1AD">
      <w:pPr>
        <w:pStyle w:val="15"/>
        <w:keepNext w:val="0"/>
        <w:keepLines w:val="0"/>
        <w:pageBreakBefore w:val="0"/>
        <w:widowControl w:val="0"/>
        <w:tabs>
          <w:tab w:val="right" w:leader="dot" w:pos="9072"/>
          <w:tab w:val="clear" w:pos="1418"/>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_Toc20236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_Toc20236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B9D5BD">
      <w:pPr>
        <w:pStyle w:val="15"/>
        <w:keepNext w:val="0"/>
        <w:keepLines w:val="0"/>
        <w:pageBreakBefore w:val="0"/>
        <w:widowControl w:val="0"/>
        <w:tabs>
          <w:tab w:val="right" w:leader="dot" w:pos="9072"/>
          <w:tab w:val="clear" w:pos="1418"/>
          <w:tab w:val="clear" w:pos="83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_Toc16170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第六章</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投标文件构成及格式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F6237D">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1"/>
          <w:szCs w:val="21"/>
          <w:highlight w:val="none"/>
        </w:rPr>
        <w:sectPr>
          <w:headerReference r:id="rId8" w:type="first"/>
          <w:footerReference r:id="rId10" w:type="first"/>
          <w:headerReference r:id="rId7" w:type="default"/>
          <w:footerReference r:id="rId9" w:type="default"/>
          <w:pgSz w:w="11906" w:h="16838"/>
          <w:pgMar w:top="1361" w:right="1417" w:bottom="1361" w:left="1417" w:header="1134" w:footer="992" w:gutter="0"/>
          <w:pgNumType w:start="1"/>
          <w:cols w:space="720" w:num="1"/>
          <w:titlePg/>
          <w:docGrid w:type="lines" w:linePitch="333" w:charSpace="0"/>
        </w:sectPr>
      </w:pPr>
      <w:r>
        <w:rPr>
          <w:rFonts w:hint="eastAsia" w:ascii="宋体" w:hAnsi="宋体" w:eastAsia="宋体" w:cs="宋体"/>
          <w:color w:val="auto"/>
          <w:sz w:val="28"/>
          <w:szCs w:val="28"/>
          <w:highlight w:val="none"/>
        </w:rPr>
        <w:fldChar w:fldCharType="end"/>
      </w:r>
    </w:p>
    <w:p w14:paraId="1584FE13">
      <w:pPr>
        <w:pStyle w:val="2"/>
        <w:spacing w:after="333" w:afterLines="100" w:line="500" w:lineRule="exact"/>
        <w:jc w:val="center"/>
        <w:rPr>
          <w:rFonts w:hint="eastAsia" w:ascii="宋体" w:hAnsi="宋体" w:eastAsia="宋体" w:cs="宋体"/>
          <w:color w:val="auto"/>
          <w:sz w:val="24"/>
          <w:szCs w:val="24"/>
          <w:highlight w:val="none"/>
        </w:rPr>
      </w:pPr>
      <w:bookmarkStart w:id="12" w:name="_Toc31289"/>
      <w:bookmarkStart w:id="13" w:name="_Toc19157"/>
      <w:bookmarkStart w:id="14" w:name="_Toc26849"/>
      <w:bookmarkStart w:id="15" w:name="_Toc28504"/>
      <w:bookmarkStart w:id="16" w:name="_Toc23576"/>
      <w:r>
        <w:rPr>
          <w:rFonts w:hint="eastAsia" w:ascii="宋体" w:hAnsi="宋体" w:eastAsia="宋体" w:cs="宋体"/>
          <w:color w:val="auto"/>
          <w:sz w:val="24"/>
          <w:szCs w:val="24"/>
          <w:highlight w:val="none"/>
        </w:rPr>
        <w:t xml:space="preserve">第一章  </w:t>
      </w:r>
      <w:bookmarkEnd w:id="1"/>
      <w:bookmarkEnd w:id="2"/>
      <w:bookmarkEnd w:id="3"/>
      <w:bookmarkEnd w:id="4"/>
      <w:bookmarkEnd w:id="5"/>
      <w:bookmarkEnd w:id="6"/>
      <w:bookmarkEnd w:id="7"/>
      <w:r>
        <w:rPr>
          <w:rFonts w:hint="eastAsia" w:ascii="宋体" w:hAnsi="宋体" w:eastAsia="宋体" w:cs="宋体"/>
          <w:color w:val="auto"/>
          <w:sz w:val="24"/>
          <w:szCs w:val="24"/>
          <w:highlight w:val="none"/>
        </w:rPr>
        <w:t>招标公告</w:t>
      </w:r>
      <w:bookmarkEnd w:id="8"/>
      <w:bookmarkEnd w:id="12"/>
      <w:bookmarkEnd w:id="13"/>
      <w:bookmarkEnd w:id="14"/>
      <w:bookmarkEnd w:id="15"/>
      <w:bookmarkEnd w:id="16"/>
    </w:p>
    <w:p w14:paraId="4D0EA36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项目概况</w:t>
      </w:r>
    </w:p>
    <w:p w14:paraId="1DAC8C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山阳县生活垃圾压缩站及环卫配套设施更新改造项目(二期)招标项目的潜在投标人应在陕西省西安市经济技术开发区未央路171-1号银池道拉斯财富中心21楼03室获取招标文件，并于 2026年06月25日 14时00分 （北京时间）前递交投标文件。</w:t>
      </w:r>
    </w:p>
    <w:p w14:paraId="0C29DE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一、项目基本情况</w:t>
      </w:r>
    </w:p>
    <w:p w14:paraId="5F709A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项目编号：HYGH2026-ZCGK-0512</w:t>
      </w:r>
    </w:p>
    <w:p w14:paraId="091ABF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项目名称：山阳县生活垃圾压缩站及环卫配套设施更新改造项目(二期)</w:t>
      </w:r>
    </w:p>
    <w:p w14:paraId="0D6528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采购方式：公开招标</w:t>
      </w:r>
    </w:p>
    <w:p w14:paraId="6D820F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预算金额：3,287,560.00元</w:t>
      </w:r>
    </w:p>
    <w:p w14:paraId="01436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采购需求：</w:t>
      </w:r>
    </w:p>
    <w:p w14:paraId="357F5C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合同包1(山阳县生活垃圾压缩站及环卫配套设施更新改造项目(二期)):</w:t>
      </w:r>
    </w:p>
    <w:p w14:paraId="716FDC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合同包预算金额：3,287,560.00元</w:t>
      </w:r>
    </w:p>
    <w:p w14:paraId="59FB31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合同包最高限价：3,287,560.00元</w:t>
      </w:r>
    </w:p>
    <w:tbl>
      <w:tblPr>
        <w:tblStyle w:val="2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50"/>
        <w:gridCol w:w="1900"/>
        <w:gridCol w:w="1900"/>
        <w:gridCol w:w="1270"/>
        <w:gridCol w:w="1148"/>
        <w:gridCol w:w="2040"/>
      </w:tblGrid>
      <w:tr w14:paraId="531B1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69E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品目号</w:t>
            </w:r>
          </w:p>
        </w:tc>
        <w:tc>
          <w:tcPr>
            <w:tcW w:w="13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AE58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品目名称</w:t>
            </w:r>
          </w:p>
        </w:tc>
        <w:tc>
          <w:tcPr>
            <w:tcW w:w="13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66C7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采购标的</w:t>
            </w:r>
          </w:p>
        </w:tc>
        <w:tc>
          <w:tcPr>
            <w:tcW w:w="4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249E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数量</w:t>
            </w:r>
          </w:p>
          <w:p w14:paraId="731AED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（单位）</w:t>
            </w:r>
          </w:p>
        </w:tc>
        <w:tc>
          <w:tcPr>
            <w:tcW w:w="8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892B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技术规格、参数及要求</w:t>
            </w:r>
          </w:p>
        </w:tc>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61CB3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品目预算(元)</w:t>
            </w:r>
          </w:p>
        </w:tc>
      </w:tr>
      <w:tr w14:paraId="6E9C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87379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1-1</w:t>
            </w:r>
          </w:p>
        </w:tc>
        <w:tc>
          <w:tcPr>
            <w:tcW w:w="13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8D4C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其他室外装具</w:t>
            </w:r>
          </w:p>
        </w:tc>
        <w:tc>
          <w:tcPr>
            <w:tcW w:w="13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3B318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货物</w:t>
            </w:r>
          </w:p>
        </w:tc>
        <w:tc>
          <w:tcPr>
            <w:tcW w:w="4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7CED5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1(批)</w:t>
            </w:r>
          </w:p>
        </w:tc>
        <w:tc>
          <w:tcPr>
            <w:tcW w:w="8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2194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详见采购文件</w:t>
            </w:r>
          </w:p>
        </w:tc>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B4CB0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3,287,560.00</w:t>
            </w:r>
          </w:p>
        </w:tc>
      </w:tr>
    </w:tbl>
    <w:p w14:paraId="68CF7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17A49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合同履行期限：无</w:t>
      </w:r>
    </w:p>
    <w:p w14:paraId="691C5F8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4B0961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5F75A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282A1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合同包1(山阳县生活垃圾压缩站及环卫配套设施更新改造项目(二期))落实政府采购政策需满足的资格要求如下:</w:t>
      </w:r>
    </w:p>
    <w:p w14:paraId="646CBA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68C032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171BAA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合同包1(山阳县生活垃圾压缩站及环卫配套设施更新改造项目(二期))特定资格要求如下:</w:t>
      </w:r>
    </w:p>
    <w:p w14:paraId="23FC1D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(2)提供法定代表人授权书（附法定代表人、被授权人身份证复印件），法定代表人直接参加投标，须提供法定代表人身份证明（附法定代表人身份证复印件）；</w:t>
      </w:r>
      <w:r>
        <w:rPr>
          <w:rFonts w:hint="eastAsia" w:ascii="宋体" w:hAnsi="宋体" w:eastAsia="宋体" w:cs="宋体"/>
          <w:sz w:val="24"/>
          <w:szCs w:val="24"/>
        </w:rPr>
        <w:br w:type="textWrapping"/>
      </w:r>
      <w:r>
        <w:rPr>
          <w:rFonts w:hint="eastAsia" w:ascii="宋体" w:hAnsi="宋体" w:eastAsia="宋体" w:cs="宋体"/>
          <w:sz w:val="24"/>
          <w:szCs w:val="24"/>
        </w:rPr>
        <w:t>(3)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(4)提供投标截止日前近一年内至少一个月的纳税证明或完税证明，依法免税的单位应提供相关证明材料；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(5)提供投标截止日前近一年内至少一个月的社会保障资金缴存单据或社保机构开具的社会保险 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(6)提供具有履行本合同所必需的设备和专业技术能力的说明及承诺书；</w:t>
      </w:r>
      <w:r>
        <w:rPr>
          <w:rFonts w:hint="eastAsia" w:ascii="宋体" w:hAnsi="宋体" w:eastAsia="宋体" w:cs="宋体"/>
          <w:sz w:val="24"/>
          <w:szCs w:val="24"/>
        </w:rPr>
        <w:br w:type="textWrapping"/>
      </w:r>
      <w:r>
        <w:rPr>
          <w:rFonts w:hint="eastAsia" w:ascii="宋体" w:hAnsi="宋体" w:eastAsia="宋体" w:cs="宋体"/>
          <w:sz w:val="24"/>
          <w:szCs w:val="24"/>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(8)参加政府采购活动前3年内，在经营活动中没有重大违法记录的书面声明；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(9)提供直接控股和管理关系清单。若与其他供应商存在单位负责人为同一人或者存在直接控股、管理关系的，则投标无效；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(10)本项目专门面向中小企业采购，提供中小企业声明函；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(11)本项目不接受联合体投标（需提供承诺书）。</w:t>
      </w:r>
    </w:p>
    <w:p w14:paraId="3E179AA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三、获取招标文件</w:t>
      </w:r>
    </w:p>
    <w:p w14:paraId="3F3DCE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时间：2026年06月05日至2026年06月11日，每天上午09:00:00至 12:00:00，下午14:00:00至17:00:00（北京时间）</w:t>
      </w:r>
    </w:p>
    <w:p w14:paraId="1AC689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61B19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42F71B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6A31FD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四、提交投标文件截止时间、开标时间和地点</w:t>
      </w:r>
    </w:p>
    <w:p w14:paraId="182499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2026年06月25日 14时00分00秒 （北京时间）</w:t>
      </w:r>
    </w:p>
    <w:p w14:paraId="04C706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提交投标文件地点：陕西省西安市经济技术开发区未央路171-1号银池道拉斯财富中心21楼03室</w:t>
      </w:r>
    </w:p>
    <w:p w14:paraId="73C094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开标地点：陕西省西安市经济技术开发区未央路171-1号银池道拉斯财富中心21楼03室</w:t>
      </w:r>
    </w:p>
    <w:p w14:paraId="694FC28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五、公告期限</w:t>
      </w:r>
    </w:p>
    <w:p w14:paraId="21FF39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14614E0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六、其他补充事宜</w:t>
      </w:r>
    </w:p>
    <w:p w14:paraId="31FCD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（1）供应商领取采购文件时，请携带单位介绍信及经办人身份证原件及复印件加盖公章；</w:t>
      </w:r>
    </w:p>
    <w:p w14:paraId="26A78B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（2）请供应商按照《陕西省财政厅关于政府采购供应商注册登记有关事项的通知》中的要求，通过陕西省政府采购网（http://www.ccgp-shaanxi.gov.cn/）注册登记加入陕西省政府采购供应商库；</w:t>
      </w:r>
    </w:p>
    <w:p w14:paraId="06C4D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（3）本项目专门面向中小企业采购。</w:t>
      </w:r>
    </w:p>
    <w:p w14:paraId="53E349E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七、对本次招标提出询问，请按以下方式联系。</w:t>
      </w:r>
    </w:p>
    <w:p w14:paraId="255532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2F5508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名称：山阳县城市管理局（本级）</w:t>
      </w:r>
    </w:p>
    <w:p w14:paraId="2D6859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地址：山阳县城关街办迎宾大道公路段楼</w:t>
      </w:r>
    </w:p>
    <w:p w14:paraId="1160F5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联系方式：18991406315</w:t>
      </w:r>
    </w:p>
    <w:p w14:paraId="26440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633421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名称：陕西海源广合项目管理有限公司</w:t>
      </w:r>
    </w:p>
    <w:p w14:paraId="635969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地址：陕西省西安市阎良区国家航空高技术产业基地蓝天一路 29号西安航空创新创业园研发楼301-12</w:t>
      </w:r>
    </w:p>
    <w:p w14:paraId="11CB0B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联系方式：18791025837</w:t>
      </w:r>
    </w:p>
    <w:p w14:paraId="552468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7E3F78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项目联系人：刘沁园、臧成杰、张文合</w:t>
      </w:r>
    </w:p>
    <w:p w14:paraId="595F65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电话：18791025837</w:t>
      </w:r>
    </w:p>
    <w:p w14:paraId="69B332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陕西海源广合项目管理有限公司</w:t>
      </w:r>
    </w:p>
    <w:p w14:paraId="5C9EFE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2026年06月04日</w:t>
      </w:r>
    </w:p>
    <w:p w14:paraId="016AF3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53761E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24"/>
          <w:highlight w:val="none"/>
        </w:rPr>
      </w:pPr>
    </w:p>
    <w:p w14:paraId="6FB9562A">
      <w:pPr>
        <w:pStyle w:val="8"/>
        <w:rPr>
          <w:color w:val="auto"/>
          <w:sz w:val="24"/>
          <w:szCs w:val="24"/>
          <w:highlight w:val="none"/>
        </w:rPr>
      </w:pPr>
    </w:p>
    <w:p w14:paraId="45658F14">
      <w:pPr>
        <w:pStyle w:val="2"/>
        <w:jc w:val="center"/>
        <w:rPr>
          <w:rStyle w:val="26"/>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bookmarkStart w:id="17" w:name="_Toc2929"/>
      <w:bookmarkStart w:id="18" w:name="_Toc389582035"/>
      <w:bookmarkStart w:id="19" w:name="_Toc426457692"/>
      <w:bookmarkStart w:id="20" w:name="_Toc17014"/>
      <w:bookmarkStart w:id="21" w:name="_Toc30304"/>
      <w:bookmarkStart w:id="22" w:name="_Toc6096"/>
      <w:r>
        <w:rPr>
          <w:rFonts w:hint="eastAsia" w:ascii="宋体" w:hAnsi="宋体" w:eastAsia="宋体" w:cs="宋体"/>
          <w:color w:val="auto"/>
          <w:sz w:val="24"/>
          <w:szCs w:val="24"/>
          <w:highlight w:val="none"/>
        </w:rPr>
        <w:t>第二</w:t>
      </w:r>
      <w:r>
        <w:rPr>
          <w:rStyle w:val="26"/>
          <w:rFonts w:hint="eastAsia" w:ascii="宋体" w:hAnsi="宋体" w:eastAsia="宋体" w:cs="宋体"/>
          <w:b/>
          <w:color w:val="auto"/>
          <w:sz w:val="24"/>
          <w:szCs w:val="24"/>
          <w:highlight w:val="none"/>
        </w:rPr>
        <w:t xml:space="preserve">章  </w:t>
      </w:r>
      <w:bookmarkEnd w:id="17"/>
      <w:bookmarkEnd w:id="18"/>
      <w:r>
        <w:rPr>
          <w:rStyle w:val="26"/>
          <w:rFonts w:hint="eastAsia" w:ascii="宋体" w:hAnsi="宋体" w:eastAsia="宋体" w:cs="宋体"/>
          <w:b/>
          <w:color w:val="auto"/>
          <w:sz w:val="24"/>
          <w:szCs w:val="24"/>
          <w:highlight w:val="none"/>
        </w:rPr>
        <w:t>投标人须知</w:t>
      </w:r>
      <w:bookmarkEnd w:id="19"/>
      <w:bookmarkEnd w:id="20"/>
    </w:p>
    <w:bookmarkEnd w:id="9"/>
    <w:bookmarkEnd w:id="10"/>
    <w:bookmarkEnd w:id="11"/>
    <w:bookmarkEnd w:id="21"/>
    <w:bookmarkEnd w:id="22"/>
    <w:p w14:paraId="726B5D31">
      <w:pPr>
        <w:pStyle w:val="3"/>
        <w:spacing w:before="120" w:after="120"/>
        <w:jc w:val="center"/>
        <w:rPr>
          <w:rFonts w:hint="eastAsia" w:ascii="宋体" w:hAnsi="宋体" w:eastAsia="宋体" w:cs="宋体"/>
          <w:color w:val="auto"/>
          <w:sz w:val="24"/>
          <w:szCs w:val="24"/>
          <w:highlight w:val="none"/>
        </w:rPr>
      </w:pPr>
      <w:bookmarkStart w:id="23" w:name="_Toc30222"/>
      <w:bookmarkStart w:id="24" w:name="_Toc12632"/>
      <w:bookmarkStart w:id="25" w:name="_Toc17539"/>
      <w:bookmarkStart w:id="26" w:name="_Toc11975"/>
      <w:bookmarkStart w:id="27" w:name="_Toc426457693"/>
      <w:bookmarkStart w:id="28" w:name="_Toc23108"/>
      <w:bookmarkStart w:id="29" w:name="_Toc17040"/>
      <w:bookmarkStart w:id="30" w:name="_Toc6721"/>
      <w:bookmarkStart w:id="31" w:name="_Toc4557"/>
      <w:bookmarkStart w:id="32" w:name="_Toc363474023"/>
      <w:r>
        <w:rPr>
          <w:rFonts w:hint="eastAsia" w:ascii="宋体" w:hAnsi="宋体" w:eastAsia="宋体" w:cs="宋体"/>
          <w:color w:val="auto"/>
          <w:sz w:val="24"/>
          <w:szCs w:val="24"/>
          <w:highlight w:val="none"/>
        </w:rPr>
        <w:t>投标人须知前附表</w:t>
      </w:r>
      <w:bookmarkEnd w:id="23"/>
      <w:bookmarkEnd w:id="24"/>
      <w:bookmarkEnd w:id="25"/>
      <w:bookmarkEnd w:id="26"/>
      <w:bookmarkEnd w:id="27"/>
      <w:bookmarkEnd w:id="28"/>
      <w:bookmarkEnd w:id="29"/>
    </w:p>
    <w:tbl>
      <w:tblPr>
        <w:tblStyle w:val="21"/>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480"/>
        <w:gridCol w:w="845"/>
        <w:gridCol w:w="7798"/>
      </w:tblGrid>
      <w:tr w14:paraId="698C7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jc w:val="center"/>
        </w:trPr>
        <w:tc>
          <w:tcPr>
            <w:tcW w:w="263" w:type="pct"/>
            <w:noWrap w:val="0"/>
            <w:vAlign w:val="top"/>
          </w:tcPr>
          <w:p w14:paraId="7BFD5BDE">
            <w:pPr>
              <w:spacing w:before="166" w:beforeLines="5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463" w:type="pct"/>
            <w:noWrap w:val="0"/>
            <w:vAlign w:val="center"/>
          </w:tcPr>
          <w:p w14:paraId="4043D146">
            <w:pPr>
              <w:spacing w:before="166" w:beforeLines="5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4273" w:type="pct"/>
            <w:noWrap w:val="0"/>
            <w:vAlign w:val="top"/>
          </w:tcPr>
          <w:p w14:paraId="0D65B3B1">
            <w:pPr>
              <w:spacing w:before="166" w:beforeLines="5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编 列 内 容 </w:t>
            </w:r>
          </w:p>
        </w:tc>
      </w:tr>
      <w:tr w14:paraId="56758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263" w:type="pct"/>
            <w:noWrap w:val="0"/>
            <w:vAlign w:val="center"/>
          </w:tcPr>
          <w:p w14:paraId="423E7E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63" w:type="pct"/>
            <w:noWrap w:val="0"/>
            <w:vAlign w:val="center"/>
          </w:tcPr>
          <w:p w14:paraId="745682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4273" w:type="pct"/>
            <w:noWrap w:val="0"/>
            <w:vAlign w:val="top"/>
          </w:tcPr>
          <w:p w14:paraId="2B3125B7">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hAnsi="宋体" w:cs="宋体"/>
                <w:color w:val="auto"/>
                <w:sz w:val="24"/>
                <w:szCs w:val="24"/>
                <w:highlight w:val="none"/>
                <w:lang w:eastAsia="zh-CN"/>
              </w:rPr>
              <w:t>陕西海源广合项目管理有限公司</w:t>
            </w:r>
          </w:p>
          <w:p w14:paraId="07E7D1A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址：陕西省西安市阎良区国家航空高技术产业基地蓝天一路 29号西安航空创新创业园研发楼301-12</w:t>
            </w:r>
          </w:p>
          <w:p w14:paraId="74F792A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        编：7100</w:t>
            </w:r>
            <w:r>
              <w:rPr>
                <w:rFonts w:hint="eastAsia" w:ascii="宋体" w:hAnsi="宋体" w:eastAsia="宋体" w:cs="宋体"/>
                <w:color w:val="auto"/>
                <w:sz w:val="24"/>
                <w:szCs w:val="24"/>
                <w:highlight w:val="none"/>
                <w:lang w:val="en-US" w:eastAsia="zh-CN"/>
              </w:rPr>
              <w:t>21</w:t>
            </w:r>
          </w:p>
          <w:p w14:paraId="71F6AC8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话：18791025837</w:t>
            </w:r>
          </w:p>
          <w:p w14:paraId="7FD26CF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r>
      <w:tr w14:paraId="4C75C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263" w:type="pct"/>
            <w:noWrap w:val="0"/>
            <w:vAlign w:val="center"/>
          </w:tcPr>
          <w:p w14:paraId="496676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63" w:type="pct"/>
            <w:noWrap w:val="0"/>
            <w:vAlign w:val="center"/>
          </w:tcPr>
          <w:p w14:paraId="4AD701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c>
          <w:tcPr>
            <w:tcW w:w="4273" w:type="pct"/>
            <w:noWrap w:val="0"/>
            <w:vAlign w:val="center"/>
          </w:tcPr>
          <w:p w14:paraId="2E6E954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各包</w:t>
            </w:r>
            <w:r>
              <w:rPr>
                <w:rFonts w:hint="eastAsia" w:ascii="宋体" w:hAnsi="宋体" w:eastAsia="宋体" w:cs="宋体"/>
                <w:color w:val="auto"/>
                <w:sz w:val="24"/>
                <w:szCs w:val="24"/>
                <w:highlight w:val="none"/>
              </w:rPr>
              <w:t>不接受联合体投标。</w:t>
            </w:r>
          </w:p>
        </w:tc>
      </w:tr>
      <w:tr w14:paraId="4F132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263" w:type="pct"/>
            <w:noWrap w:val="0"/>
            <w:vAlign w:val="center"/>
          </w:tcPr>
          <w:p w14:paraId="4F09D8D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63" w:type="pct"/>
            <w:noWrap w:val="0"/>
            <w:vAlign w:val="center"/>
          </w:tcPr>
          <w:p w14:paraId="2111E1AE">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8.3</w:t>
            </w:r>
          </w:p>
        </w:tc>
        <w:tc>
          <w:tcPr>
            <w:tcW w:w="4273" w:type="pct"/>
            <w:noWrap w:val="0"/>
            <w:vAlign w:val="center"/>
          </w:tcPr>
          <w:p w14:paraId="72AA530C">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采购代理机构答疑的时间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对于供应商在规定时间内依法提出的询问，采购代理机构将在三个工作日内答复询问。</w:t>
            </w:r>
          </w:p>
        </w:tc>
      </w:tr>
      <w:tr w14:paraId="2DA36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18" w:hRule="atLeast"/>
          <w:jc w:val="center"/>
        </w:trPr>
        <w:tc>
          <w:tcPr>
            <w:tcW w:w="263" w:type="pct"/>
            <w:noWrap w:val="0"/>
            <w:vAlign w:val="center"/>
          </w:tcPr>
          <w:p w14:paraId="3D38A3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63" w:type="pct"/>
            <w:noWrap w:val="0"/>
            <w:vAlign w:val="center"/>
          </w:tcPr>
          <w:p w14:paraId="5150D56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p>
        </w:tc>
        <w:tc>
          <w:tcPr>
            <w:tcW w:w="4273" w:type="pct"/>
            <w:noWrap w:val="0"/>
            <w:vAlign w:val="center"/>
          </w:tcPr>
          <w:p w14:paraId="224E279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本项目各包</w:t>
            </w:r>
            <w:r>
              <w:rPr>
                <w:rFonts w:hint="eastAsia" w:ascii="宋体" w:hAnsi="宋体" w:eastAsia="宋体" w:cs="宋体"/>
                <w:color w:val="auto"/>
                <w:sz w:val="24"/>
                <w:szCs w:val="24"/>
                <w:highlight w:val="none"/>
              </w:rPr>
              <w:t>不允许提供备选方案。</w:t>
            </w:r>
          </w:p>
        </w:tc>
      </w:tr>
      <w:tr w14:paraId="0F55D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263" w:type="pct"/>
            <w:noWrap w:val="0"/>
            <w:vAlign w:val="center"/>
          </w:tcPr>
          <w:p w14:paraId="4FFBEF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63" w:type="pct"/>
            <w:noWrap w:val="0"/>
            <w:vAlign w:val="center"/>
          </w:tcPr>
          <w:p w14:paraId="36C5043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w:t>
            </w:r>
          </w:p>
        </w:tc>
        <w:tc>
          <w:tcPr>
            <w:tcW w:w="4273" w:type="pct"/>
            <w:noWrap w:val="0"/>
            <w:vAlign w:val="center"/>
          </w:tcPr>
          <w:p w14:paraId="3FFF89C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供应商可根据自身的资质情况和经营范围进行投标，但不得将其子目自行分解或针对该项目中的品目进行不完全投标，任何不完全的投标将按无效投标处理。</w:t>
            </w:r>
          </w:p>
        </w:tc>
      </w:tr>
      <w:tr w14:paraId="71BFA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8" w:hRule="atLeast"/>
          <w:jc w:val="center"/>
        </w:trPr>
        <w:tc>
          <w:tcPr>
            <w:tcW w:w="263" w:type="pct"/>
            <w:noWrap w:val="0"/>
            <w:vAlign w:val="center"/>
          </w:tcPr>
          <w:p w14:paraId="4F945AB6">
            <w:pPr>
              <w:spacing w:after="166"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63" w:type="pct"/>
            <w:noWrap w:val="0"/>
            <w:vAlign w:val="center"/>
          </w:tcPr>
          <w:p w14:paraId="4C864947">
            <w:pPr>
              <w:spacing w:after="166"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4273" w:type="pct"/>
            <w:noWrap w:val="0"/>
            <w:vAlign w:val="top"/>
          </w:tcPr>
          <w:p w14:paraId="63073FA4">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bookmarkStart w:id="33" w:name="OLE_LINK11"/>
            <w:r>
              <w:rPr>
                <w:rFonts w:hint="eastAsia" w:ascii="宋体" w:hAnsi="宋体" w:eastAsia="宋体" w:cs="宋体"/>
                <w:color w:val="auto"/>
                <w:sz w:val="24"/>
                <w:szCs w:val="24"/>
                <w:highlight w:val="none"/>
              </w:rPr>
              <w:t>投标人应在投标报价表中标明完成本次招标所要求的所有服务且验收合格的全部费用，人工费、材料费、管理费、运输费、搬运费、安装费、利润、税金、保险等的一切费用。投标报价表中标明本次服务的所有单项价格和总价，任何有选择的报价将不予接受，否则按无效投标处理。</w:t>
            </w:r>
            <w:bookmarkEnd w:id="33"/>
          </w:p>
        </w:tc>
      </w:tr>
      <w:tr w14:paraId="6F410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35" w:hRule="atLeast"/>
          <w:jc w:val="center"/>
        </w:trPr>
        <w:tc>
          <w:tcPr>
            <w:tcW w:w="263" w:type="pct"/>
            <w:noWrap w:val="0"/>
            <w:vAlign w:val="center"/>
          </w:tcPr>
          <w:p w14:paraId="102097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63" w:type="pct"/>
            <w:noWrap w:val="0"/>
            <w:vAlign w:val="center"/>
          </w:tcPr>
          <w:p w14:paraId="2499C9B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4273" w:type="pct"/>
            <w:noWrap w:val="0"/>
            <w:vAlign w:val="top"/>
          </w:tcPr>
          <w:p w14:paraId="4228431B">
            <w:pPr>
              <w:numPr>
                <w:ilvl w:val="0"/>
                <w:numId w:val="2"/>
              </w:numPr>
              <w:spacing w:line="500" w:lineRule="exact"/>
              <w:rPr>
                <w:rFonts w:hint="eastAsia" w:ascii="宋体" w:hAnsi="宋体" w:eastAsia="宋体" w:cs="宋体"/>
                <w:i w:val="0"/>
                <w:iCs w:val="0"/>
                <w:caps w:val="0"/>
                <w:color w:val="333333"/>
                <w:spacing w:val="0"/>
                <w:sz w:val="24"/>
                <w:szCs w:val="24"/>
                <w:shd w:val="clear" w:fill="FFFFFF"/>
              </w:rPr>
            </w:pPr>
            <w:bookmarkStart w:id="34" w:name="_Toc846"/>
            <w:r>
              <w:rPr>
                <w:rFonts w:hint="eastAsia" w:ascii="宋体" w:hAnsi="宋体" w:eastAsia="宋体" w:cs="宋体"/>
                <w:i w:val="0"/>
                <w:iCs w:val="0"/>
                <w:caps w:val="0"/>
                <w:color w:val="333333"/>
                <w:spacing w:val="0"/>
                <w:sz w:val="24"/>
                <w:szCs w:val="24"/>
                <w:shd w:val="clear" w:fill="FFFFFF"/>
              </w:rPr>
              <w:t>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(2)提供法定代表人授权书（附法定代表人、被授权人身份证复印件），法定代表人直接参加投标，须提供法定代表人身份证明（附法定代表人身份证复印件）；</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(4)提供投标截止日前近一年内至少一个月的纳税证明或完税证明，依法免税的单位应提供相关证明材料；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(5)提供投标截止日前近一年内至少一个月的社会保障资金缴存单据或社保机构开具的社会保险 参保缴费情况证明，依法不需要缴纳社会保障资金的单位应提供相关证明材料；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(6)提供具有履行本合同所必需的设备和专业技术能力的说明及承诺书；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(8)参加政府采购活动前3年内，在经营活动中没有重大违法记录的书面声明；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(9)提供直接控股和管理关系清单。若与其他供应商存在单位负责人为同一人或者存在直接控股、管理关系的，则投标无效；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(10)本项目专门面向中小企业采购，提供中小企业声明函；</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(11)本项目不接受联合体投标（需提供承诺书）。</w:t>
            </w:r>
          </w:p>
          <w:p w14:paraId="620D63BE">
            <w:pPr>
              <w:numPr>
                <w:ilvl w:val="0"/>
                <w:numId w:val="0"/>
              </w:numPr>
              <w:spacing w:line="500" w:lineRule="exact"/>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b/>
                <w:bCs/>
                <w:color w:val="auto"/>
                <w:sz w:val="24"/>
                <w:szCs w:val="24"/>
                <w:highlight w:val="none"/>
                <w:lang w:val="en-US" w:eastAsia="zh-CN"/>
              </w:rPr>
              <w:t>以上为必备资质，缺一项或某项达不到要求，按无效投标处理。</w:t>
            </w:r>
            <w:bookmarkEnd w:id="34"/>
          </w:p>
        </w:tc>
      </w:tr>
      <w:tr w14:paraId="626CE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263" w:type="pct"/>
            <w:noWrap w:val="0"/>
            <w:vAlign w:val="center"/>
          </w:tcPr>
          <w:p w14:paraId="2D88111C">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463" w:type="pct"/>
            <w:noWrap w:val="0"/>
            <w:vAlign w:val="center"/>
          </w:tcPr>
          <w:p w14:paraId="5FE3D0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w:t>
            </w:r>
          </w:p>
        </w:tc>
        <w:tc>
          <w:tcPr>
            <w:tcW w:w="4273" w:type="pct"/>
            <w:noWrap w:val="0"/>
            <w:vAlign w:val="top"/>
          </w:tcPr>
          <w:p w14:paraId="28C374F9">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投标有效期：投标文件的截止之日起90天。</w:t>
            </w:r>
          </w:p>
        </w:tc>
      </w:tr>
      <w:tr w14:paraId="4376E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39" w:hRule="atLeast"/>
          <w:jc w:val="center"/>
        </w:trPr>
        <w:tc>
          <w:tcPr>
            <w:tcW w:w="263" w:type="pct"/>
            <w:noWrap w:val="0"/>
            <w:vAlign w:val="center"/>
          </w:tcPr>
          <w:p w14:paraId="03403A91">
            <w:pPr>
              <w:spacing w:after="166" w:afterLines="5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463" w:type="pct"/>
            <w:noWrap w:val="0"/>
            <w:vAlign w:val="center"/>
          </w:tcPr>
          <w:p w14:paraId="4D1675C5">
            <w:pPr>
              <w:spacing w:after="166"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w:t>
            </w:r>
          </w:p>
        </w:tc>
        <w:tc>
          <w:tcPr>
            <w:tcW w:w="4273" w:type="pct"/>
            <w:noWrap w:val="0"/>
            <w:vAlign w:val="center"/>
          </w:tcPr>
          <w:p w14:paraId="0589D642">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正本的份数：壹份；副本的份数：贰份；</w:t>
            </w:r>
            <w:r>
              <w:rPr>
                <w:rFonts w:hint="eastAsia" w:hAnsi="宋体" w:cs="宋体"/>
                <w:color w:val="auto"/>
                <w:sz w:val="24"/>
                <w:szCs w:val="24"/>
                <w:highlight w:val="none"/>
                <w:lang w:val="en-US" w:eastAsia="zh-CN"/>
              </w:rPr>
              <w:t>开标</w:t>
            </w:r>
            <w:r>
              <w:rPr>
                <w:rFonts w:hint="eastAsia" w:ascii="宋体" w:hAnsi="宋体" w:eastAsia="宋体" w:cs="宋体"/>
                <w:color w:val="auto"/>
                <w:sz w:val="24"/>
                <w:szCs w:val="24"/>
                <w:highlight w:val="none"/>
              </w:rPr>
              <w:t>一览表：壹份；电子版（U盘）投标文件电子版</w:t>
            </w:r>
            <w:r>
              <w:rPr>
                <w:rFonts w:hint="eastAsia" w:ascii="宋体" w:hAnsi="宋体" w:eastAsia="宋体" w:cs="宋体"/>
                <w:b/>
                <w:bCs/>
                <w:color w:val="auto"/>
                <w:sz w:val="24"/>
                <w:szCs w:val="24"/>
                <w:highlight w:val="none"/>
              </w:rPr>
              <w:t>（word版及签字盖章后的扫描件PDF版)</w:t>
            </w:r>
            <w:r>
              <w:rPr>
                <w:rFonts w:hint="eastAsia" w:ascii="宋体" w:hAnsi="宋体" w:eastAsia="宋体" w:cs="宋体"/>
                <w:color w:val="auto"/>
                <w:sz w:val="24"/>
                <w:szCs w:val="24"/>
                <w:highlight w:val="none"/>
              </w:rPr>
              <w:t>：壹份（需在盘面上标注供应商全称、项目名称、编号）。</w:t>
            </w:r>
            <w:r>
              <w:rPr>
                <w:rFonts w:hint="eastAsia" w:hAnsi="宋体" w:cs="宋体"/>
                <w:color w:val="auto"/>
                <w:sz w:val="24"/>
                <w:szCs w:val="24"/>
                <w:highlight w:val="none"/>
                <w:lang w:val="en-US" w:eastAsia="zh-CN"/>
              </w:rPr>
              <w:t>投标文件双面打印。</w:t>
            </w:r>
          </w:p>
        </w:tc>
      </w:tr>
      <w:tr w14:paraId="1006C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8" w:hRule="atLeast"/>
          <w:jc w:val="center"/>
        </w:trPr>
        <w:tc>
          <w:tcPr>
            <w:tcW w:w="263" w:type="pct"/>
            <w:noWrap w:val="0"/>
            <w:vAlign w:val="center"/>
          </w:tcPr>
          <w:p w14:paraId="09EB2B15">
            <w:pPr>
              <w:spacing w:after="166" w:afterLines="5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463" w:type="pct"/>
            <w:noWrap w:val="0"/>
            <w:vAlign w:val="center"/>
          </w:tcPr>
          <w:p w14:paraId="1356605D">
            <w:pPr>
              <w:spacing w:after="166"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w:t>
            </w:r>
          </w:p>
        </w:tc>
        <w:tc>
          <w:tcPr>
            <w:tcW w:w="4273" w:type="pct"/>
            <w:noWrap w:val="0"/>
            <w:vAlign w:val="center"/>
          </w:tcPr>
          <w:p w14:paraId="2CD983CA">
            <w:pPr>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密封共2个封袋，</w:t>
            </w:r>
            <w:r>
              <w:rPr>
                <w:rFonts w:hint="eastAsia" w:ascii="宋体" w:hAnsi="宋体" w:eastAsia="宋体" w:cs="宋体"/>
                <w:color w:val="auto"/>
                <w:sz w:val="24"/>
                <w:szCs w:val="24"/>
                <w:highlight w:val="none"/>
              </w:rPr>
              <w:t>投标文件正本、电子版本、报价一览表密封装在一个封袋中（封袋不得有破损），所有的副本密封装在一个封袋中（封袋不得有破损）且在封袋正面标明“正本</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电子版本</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报价一览表”或“副本”字样。封袋应加贴封条，并在封线处加盖供应商公章，封袋正面要粘贴供应商全称、项目名称、编号等标识。</w:t>
            </w:r>
          </w:p>
          <w:p w14:paraId="0FE8D0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外层包装请按以下要求标记：</w:t>
            </w:r>
          </w:p>
          <w:p w14:paraId="4B587A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投标单位的全称；</w:t>
            </w:r>
          </w:p>
          <w:p w14:paraId="1562893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项目名称、项目编号；</w:t>
            </w:r>
          </w:p>
          <w:p w14:paraId="3F613FD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投标人全称（加盖公章）；</w:t>
            </w:r>
          </w:p>
          <w:p w14:paraId="339DE8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项目名称、项目</w:t>
            </w:r>
            <w:r>
              <w:rPr>
                <w:rFonts w:hint="eastAsia" w:ascii="宋体" w:hAnsi="宋体" w:eastAsia="宋体" w:cs="宋体"/>
                <w:color w:val="auto"/>
                <w:sz w:val="24"/>
                <w:szCs w:val="24"/>
                <w:highlight w:val="none"/>
                <w:lang w:eastAsia="zh-CN"/>
              </w:rPr>
              <w:t>编号、包号</w:t>
            </w:r>
            <w:r>
              <w:rPr>
                <w:rFonts w:hint="eastAsia" w:ascii="宋体" w:hAnsi="宋体" w:eastAsia="宋体" w:cs="宋体"/>
                <w:color w:val="auto"/>
                <w:sz w:val="24"/>
                <w:szCs w:val="24"/>
                <w:highlight w:val="none"/>
              </w:rPr>
              <w:t>；</w:t>
            </w:r>
          </w:p>
          <w:p w14:paraId="27224380">
            <w:pPr>
              <w:spacing w:line="360" w:lineRule="auto"/>
              <w:ind w:left="240" w:leftChars="10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3）正本、电子版、报价一览表</w:t>
            </w:r>
            <w:r>
              <w:rPr>
                <w:rFonts w:hint="eastAsia" w:hAnsi="宋体" w:cs="宋体"/>
                <w:color w:val="auto"/>
                <w:sz w:val="24"/>
                <w:szCs w:val="24"/>
                <w:highlight w:val="none"/>
                <w:lang w:val="en-US" w:eastAsia="zh-CN"/>
              </w:rPr>
              <w:t>或</w:t>
            </w:r>
            <w:r>
              <w:rPr>
                <w:rFonts w:hint="eastAsia" w:ascii="宋体" w:hAnsi="宋体" w:eastAsia="宋体" w:cs="宋体"/>
                <w:color w:val="auto"/>
                <w:sz w:val="24"/>
                <w:szCs w:val="24"/>
                <w:highlight w:val="none"/>
              </w:rPr>
              <w:t>副本“请勿在＿＿＿＿(开标时间)之前启封”。</w:t>
            </w:r>
          </w:p>
        </w:tc>
      </w:tr>
      <w:tr w14:paraId="18E56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263" w:type="pct"/>
            <w:noWrap w:val="0"/>
            <w:vAlign w:val="center"/>
          </w:tcPr>
          <w:p w14:paraId="316C04BC">
            <w:pPr>
              <w:spacing w:after="166" w:afterLines="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463" w:type="pct"/>
            <w:noWrap w:val="0"/>
            <w:vAlign w:val="center"/>
          </w:tcPr>
          <w:p w14:paraId="53B3B5B0">
            <w:pPr>
              <w:spacing w:after="166"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4273" w:type="pct"/>
            <w:noWrap w:val="0"/>
            <w:vAlign w:val="top"/>
          </w:tcPr>
          <w:p w14:paraId="1518448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投标文件递交截止时间</w:t>
            </w:r>
            <w:bookmarkStart w:id="35" w:name="OLE_LINK12"/>
            <w:r>
              <w:rPr>
                <w:rFonts w:hint="eastAsia" w:ascii="宋体" w:hAnsi="宋体" w:eastAsia="宋体" w:cs="宋体"/>
                <w:color w:val="auto"/>
                <w:sz w:val="24"/>
                <w:szCs w:val="24"/>
                <w:highlight w:val="none"/>
              </w:rPr>
              <w:t>：</w:t>
            </w:r>
            <w:bookmarkEnd w:id="35"/>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u w:val="none"/>
                <w:lang w:val="en-US" w:eastAsia="zh-CN"/>
              </w:rPr>
              <w:t>招标公告</w:t>
            </w:r>
          </w:p>
          <w:p w14:paraId="6443C9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投标文件递交地址</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陕西省西安市经济技术开发区未央路171-1号银池道拉斯财富中心21楼03号</w:t>
            </w:r>
          </w:p>
          <w:p w14:paraId="063E074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投标文件接收人：</w:t>
            </w:r>
            <w:r>
              <w:rPr>
                <w:rFonts w:hint="eastAsia" w:hAnsi="宋体" w:cs="宋体"/>
                <w:color w:val="auto"/>
                <w:sz w:val="24"/>
                <w:szCs w:val="24"/>
                <w:highlight w:val="none"/>
                <w:lang w:eastAsia="zh-CN"/>
              </w:rPr>
              <w:t>陕西海源广合项目管理有限公司</w:t>
            </w:r>
          </w:p>
        </w:tc>
      </w:tr>
      <w:tr w14:paraId="5E7E0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5" w:hRule="atLeast"/>
          <w:jc w:val="center"/>
        </w:trPr>
        <w:tc>
          <w:tcPr>
            <w:tcW w:w="263" w:type="pct"/>
            <w:noWrap w:val="0"/>
            <w:vAlign w:val="center"/>
          </w:tcPr>
          <w:p w14:paraId="5379DB04">
            <w:pPr>
              <w:spacing w:after="166" w:afterLines="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463" w:type="pct"/>
            <w:noWrap w:val="0"/>
            <w:vAlign w:val="center"/>
          </w:tcPr>
          <w:p w14:paraId="70741249">
            <w:pPr>
              <w:spacing w:after="166"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4273" w:type="pct"/>
            <w:noWrap w:val="0"/>
            <w:vAlign w:val="top"/>
          </w:tcPr>
          <w:p w14:paraId="428EC7B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u w:val="none"/>
                <w:lang w:val="en-US" w:eastAsia="zh-CN"/>
              </w:rPr>
              <w:t>招标公告</w:t>
            </w:r>
          </w:p>
          <w:p w14:paraId="10ECB3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开标地点：陕西省西安市经济技术开发区未央路171-1号银池道拉斯财富中心21楼03号</w:t>
            </w:r>
          </w:p>
        </w:tc>
      </w:tr>
      <w:tr w14:paraId="444B1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0" w:hRule="atLeast"/>
          <w:jc w:val="center"/>
        </w:trPr>
        <w:tc>
          <w:tcPr>
            <w:tcW w:w="263" w:type="pct"/>
            <w:noWrap w:val="0"/>
            <w:vAlign w:val="center"/>
          </w:tcPr>
          <w:p w14:paraId="3EB7A7E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463" w:type="pct"/>
            <w:noWrap w:val="0"/>
            <w:vAlign w:val="center"/>
          </w:tcPr>
          <w:p w14:paraId="6EC6B81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p>
        </w:tc>
        <w:tc>
          <w:tcPr>
            <w:tcW w:w="4273" w:type="pct"/>
            <w:noWrap w:val="0"/>
            <w:vAlign w:val="center"/>
          </w:tcPr>
          <w:p w14:paraId="7028BE5C">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评标方法：综合评分法（详见第五章）。</w:t>
            </w:r>
          </w:p>
        </w:tc>
      </w:tr>
      <w:tr w14:paraId="46FD1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4" w:hRule="atLeast"/>
          <w:jc w:val="center"/>
        </w:trPr>
        <w:tc>
          <w:tcPr>
            <w:tcW w:w="263" w:type="pct"/>
            <w:noWrap w:val="0"/>
            <w:vAlign w:val="center"/>
          </w:tcPr>
          <w:p w14:paraId="0067E02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463" w:type="pct"/>
            <w:noWrap w:val="0"/>
            <w:vAlign w:val="center"/>
          </w:tcPr>
          <w:p w14:paraId="2921D57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p>
        </w:tc>
        <w:tc>
          <w:tcPr>
            <w:tcW w:w="4273" w:type="pct"/>
            <w:noWrap w:val="0"/>
            <w:vAlign w:val="center"/>
          </w:tcPr>
          <w:p w14:paraId="0984DD53">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 </w:t>
            </w:r>
          </w:p>
          <w:p w14:paraId="79934F8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代理服务费：以中标金额为基数，依据国家计委颁发的《招标代理服务收费管理暂行办法》（计价格〔2002〕1980号）和国家发展和改革委员会办公厅颁发的《关于招标代理服务收费有关问题的通知》（发改办价格〔2003〕857号）的有关规定执行。</w:t>
            </w:r>
          </w:p>
          <w:p w14:paraId="46BE52D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29.2本项目代理服务费由中标单位支付，中标单位应依据成交金额向招标代理机构交纳招标代理服务费。</w:t>
            </w:r>
          </w:p>
        </w:tc>
      </w:tr>
      <w:tr w14:paraId="3927C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263" w:type="pct"/>
            <w:noWrap w:val="0"/>
            <w:vAlign w:val="center"/>
          </w:tcPr>
          <w:p w14:paraId="38D9AA3D">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14</w:t>
            </w:r>
          </w:p>
        </w:tc>
        <w:tc>
          <w:tcPr>
            <w:tcW w:w="463" w:type="pct"/>
            <w:noWrap w:val="0"/>
            <w:vAlign w:val="center"/>
          </w:tcPr>
          <w:p w14:paraId="1752DA48">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投标保证金</w:t>
            </w:r>
          </w:p>
        </w:tc>
        <w:tc>
          <w:tcPr>
            <w:tcW w:w="4273" w:type="pct"/>
            <w:noWrap w:val="0"/>
            <w:vAlign w:val="center"/>
          </w:tcPr>
          <w:p w14:paraId="369D5787">
            <w:pPr>
              <w:spacing w:line="360" w:lineRule="auto"/>
              <w:rPr>
                <w:rFonts w:hint="eastAsia" w:ascii="宋体" w:hAnsi="宋体" w:eastAsia="宋体" w:cs="宋体"/>
                <w:color w:val="auto"/>
                <w:sz w:val="24"/>
                <w:szCs w:val="24"/>
                <w:highlight w:val="none"/>
                <w:lang w:val="en-US" w:eastAsia="zh-CN"/>
              </w:rPr>
            </w:pPr>
            <w:r>
              <w:rPr>
                <w:rFonts w:hint="eastAsia" w:hAnsi="宋体" w:cs="宋体"/>
                <w:b/>
                <w:bCs/>
                <w:color w:val="auto"/>
                <w:sz w:val="24"/>
                <w:szCs w:val="24"/>
                <w:highlight w:val="none"/>
                <w:lang w:val="en-US" w:eastAsia="zh-CN"/>
              </w:rPr>
              <w:t>本项目不缴纳投标保证金</w:t>
            </w:r>
          </w:p>
        </w:tc>
      </w:tr>
      <w:tr w14:paraId="62C5E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263" w:type="pct"/>
            <w:noWrap w:val="0"/>
            <w:vAlign w:val="center"/>
          </w:tcPr>
          <w:p w14:paraId="73DCF981">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w:t>
            </w:r>
          </w:p>
        </w:tc>
        <w:tc>
          <w:tcPr>
            <w:tcW w:w="463" w:type="pct"/>
            <w:noWrap w:val="0"/>
            <w:vAlign w:val="center"/>
          </w:tcPr>
          <w:p w14:paraId="1C1539F9">
            <w:pPr>
              <w:spacing w:line="44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银行</w:t>
            </w:r>
          </w:p>
          <w:p w14:paraId="53E688E8">
            <w:pPr>
              <w:spacing w:line="44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账户</w:t>
            </w:r>
          </w:p>
          <w:p w14:paraId="73CAC1A6">
            <w:pPr>
              <w:spacing w:line="44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信息</w:t>
            </w:r>
          </w:p>
        </w:tc>
        <w:tc>
          <w:tcPr>
            <w:tcW w:w="4273" w:type="pct"/>
            <w:noWrap w:val="0"/>
            <w:vAlign w:val="center"/>
          </w:tcPr>
          <w:p w14:paraId="34571799">
            <w:pPr>
              <w:numPr>
                <w:ilvl w:val="0"/>
                <w:numId w:val="0"/>
              </w:numPr>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招标代理服务费账户：</w:t>
            </w:r>
          </w:p>
          <w:p w14:paraId="59547AB4">
            <w:pPr>
              <w:spacing w:line="440" w:lineRule="exact"/>
              <w:ind w:firstLine="240" w:firstLineChars="1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①采购代理机构开户名称: 陕西海源广合项目管理有限公司 </w:t>
            </w:r>
          </w:p>
          <w:p w14:paraId="4044CE9B">
            <w:pPr>
              <w:spacing w:line="440" w:lineRule="exact"/>
              <w:ind w:firstLine="240" w:firstLineChars="1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②开户行名称：中国建设银行股份有限公司西安凤城六路支行 </w:t>
            </w:r>
          </w:p>
          <w:p w14:paraId="599FABF2">
            <w:pPr>
              <w:spacing w:line="440" w:lineRule="exact"/>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③账号：61050193020000001969</w:t>
            </w:r>
          </w:p>
          <w:p w14:paraId="1B85CBC6">
            <w:pPr>
              <w:spacing w:line="440" w:lineRule="exact"/>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请各供应商按照要求分别将保证金和服务费汇入以上指定账户，如因自身原因发生错误，产生的不利后果均由供应商自行承担。</w:t>
            </w:r>
          </w:p>
        </w:tc>
      </w:tr>
      <w:tr w14:paraId="1CF14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848" w:hRule="atLeast"/>
          <w:jc w:val="center"/>
        </w:trPr>
        <w:tc>
          <w:tcPr>
            <w:tcW w:w="263" w:type="pct"/>
            <w:noWrap w:val="0"/>
            <w:vAlign w:val="center"/>
          </w:tcPr>
          <w:p w14:paraId="1635272F">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16</w:t>
            </w:r>
          </w:p>
        </w:tc>
        <w:tc>
          <w:tcPr>
            <w:tcW w:w="463" w:type="pct"/>
            <w:noWrap w:val="0"/>
            <w:vAlign w:val="center"/>
          </w:tcPr>
          <w:p w14:paraId="5D89652F">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核心</w:t>
            </w:r>
          </w:p>
          <w:p w14:paraId="1CB4962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产品</w:t>
            </w:r>
          </w:p>
        </w:tc>
        <w:tc>
          <w:tcPr>
            <w:tcW w:w="4273" w:type="pct"/>
            <w:noWrap w:val="0"/>
            <w:vAlign w:val="center"/>
          </w:tcPr>
          <w:p w14:paraId="4E9BAA12">
            <w:pPr>
              <w:pStyle w:val="17"/>
              <w:keepNext w:val="0"/>
              <w:keepLines w:val="0"/>
              <w:widowControl/>
              <w:suppressLineNumbers w:val="0"/>
              <w:spacing w:before="0" w:beforeAutospacing="0" w:after="0" w:afterAutospacing="0" w:line="360" w:lineRule="auto"/>
              <w:ind w:right="0"/>
              <w:rPr>
                <w:rFonts w:hint="default"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智能垃圾分类亭</w:t>
            </w:r>
          </w:p>
        </w:tc>
      </w:tr>
      <w:tr w14:paraId="6C46A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263" w:type="pct"/>
            <w:noWrap w:val="0"/>
            <w:vAlign w:val="center"/>
          </w:tcPr>
          <w:p w14:paraId="25A527A7">
            <w:pPr>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hAnsi="宋体" w:cs="宋体"/>
                <w:b w:val="0"/>
                <w:bCs w:val="0"/>
                <w:color w:val="auto"/>
                <w:sz w:val="24"/>
                <w:szCs w:val="24"/>
                <w:highlight w:val="none"/>
                <w:lang w:val="en-US" w:eastAsia="zh-CN"/>
              </w:rPr>
              <w:t>7</w:t>
            </w:r>
          </w:p>
        </w:tc>
        <w:tc>
          <w:tcPr>
            <w:tcW w:w="463" w:type="pct"/>
            <w:noWrap w:val="0"/>
            <w:vAlign w:val="center"/>
          </w:tcPr>
          <w:p w14:paraId="79D813D7">
            <w:pPr>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w:t>
            </w:r>
          </w:p>
          <w:p w14:paraId="0319BE41">
            <w:pPr>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性质</w:t>
            </w:r>
          </w:p>
        </w:tc>
        <w:tc>
          <w:tcPr>
            <w:tcW w:w="4273" w:type="pct"/>
            <w:noWrap w:val="0"/>
            <w:vAlign w:val="center"/>
          </w:tcPr>
          <w:p w14:paraId="507FF181">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w:t>
            </w:r>
          </w:p>
        </w:tc>
      </w:tr>
      <w:tr w14:paraId="24140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263" w:type="pct"/>
            <w:noWrap w:val="0"/>
            <w:vAlign w:val="center"/>
          </w:tcPr>
          <w:p w14:paraId="3C314E1D">
            <w:pPr>
              <w:widowControl/>
              <w:spacing w:line="360" w:lineRule="auto"/>
              <w:jc w:val="center"/>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18</w:t>
            </w:r>
          </w:p>
        </w:tc>
        <w:tc>
          <w:tcPr>
            <w:tcW w:w="463" w:type="pct"/>
            <w:noWrap w:val="0"/>
            <w:vAlign w:val="center"/>
          </w:tcPr>
          <w:p w14:paraId="4EFCABDA">
            <w:pPr>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val="en-US" w:eastAsia="zh-CN"/>
              </w:rPr>
              <w:t>所属行业</w:t>
            </w:r>
          </w:p>
        </w:tc>
        <w:tc>
          <w:tcPr>
            <w:tcW w:w="4273" w:type="pct"/>
            <w:noWrap w:val="0"/>
            <w:vAlign w:val="center"/>
          </w:tcPr>
          <w:p w14:paraId="015C09B4">
            <w:pPr>
              <w:spacing w:line="360" w:lineRule="auto"/>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工业</w:t>
            </w:r>
          </w:p>
        </w:tc>
      </w:tr>
      <w:tr w14:paraId="62B8C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99" w:hRule="atLeast"/>
          <w:jc w:val="center"/>
        </w:trPr>
        <w:tc>
          <w:tcPr>
            <w:tcW w:w="263" w:type="pct"/>
            <w:noWrap w:val="0"/>
            <w:vAlign w:val="center"/>
          </w:tcPr>
          <w:p w14:paraId="4A571E91">
            <w:pPr>
              <w:widowControl/>
              <w:spacing w:line="360" w:lineRule="auto"/>
              <w:jc w:val="center"/>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19</w:t>
            </w:r>
          </w:p>
        </w:tc>
        <w:tc>
          <w:tcPr>
            <w:tcW w:w="463" w:type="pct"/>
            <w:noWrap w:val="0"/>
            <w:vAlign w:val="center"/>
          </w:tcPr>
          <w:p w14:paraId="56B87F67">
            <w:pPr>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其他</w:t>
            </w:r>
          </w:p>
        </w:tc>
        <w:tc>
          <w:tcPr>
            <w:tcW w:w="4273" w:type="pct"/>
            <w:noWrap w:val="0"/>
            <w:vAlign w:val="center"/>
          </w:tcPr>
          <w:p w14:paraId="5CDEA574">
            <w:pPr>
              <w:spacing w:line="360" w:lineRule="auto"/>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w:t>
            </w:r>
          </w:p>
          <w:p w14:paraId="258EA2C5">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(http://www.ccgp-shaanxi.gov.cn/zcdservice/zcd/shan xi/）在线申请，依法参加政府采购信用融资活动。</w:t>
            </w:r>
          </w:p>
          <w:p w14:paraId="4B96FB26">
            <w:pPr>
              <w:spacing w:line="360" w:lineRule="auto"/>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6241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263" w:type="pct"/>
            <w:noWrap w:val="0"/>
            <w:vAlign w:val="center"/>
          </w:tcPr>
          <w:p w14:paraId="7410394A">
            <w:pPr>
              <w:widowControl/>
              <w:spacing w:line="360" w:lineRule="auto"/>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hAnsi="宋体" w:cs="宋体"/>
                <w:b w:val="0"/>
                <w:bCs w:val="0"/>
                <w:color w:val="auto"/>
                <w:sz w:val="24"/>
                <w:szCs w:val="24"/>
                <w:highlight w:val="none"/>
                <w:lang w:val="en-US" w:eastAsia="zh-CN"/>
              </w:rPr>
              <w:t>0</w:t>
            </w:r>
          </w:p>
        </w:tc>
        <w:tc>
          <w:tcPr>
            <w:tcW w:w="463" w:type="pct"/>
            <w:noWrap w:val="0"/>
            <w:vAlign w:val="center"/>
          </w:tcPr>
          <w:p w14:paraId="13CA1911">
            <w:pPr>
              <w:widowControl/>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备注</w:t>
            </w:r>
          </w:p>
        </w:tc>
        <w:tc>
          <w:tcPr>
            <w:tcW w:w="4273" w:type="pct"/>
            <w:noWrap w:val="0"/>
            <w:vAlign w:val="center"/>
          </w:tcPr>
          <w:p w14:paraId="1BF8790E">
            <w:pPr>
              <w:spacing w:line="50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供应商注册登记提醒：</w:t>
            </w:r>
          </w:p>
          <w:p w14:paraId="3D50E593">
            <w:pPr>
              <w:spacing w:line="50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根据陕西省财政厅关于政府采购供应商注册登记有关事项的通知，如所投本项目的供应商未在陕西省政府采购网（</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"http://www.ccgp-shaanxi.gov.cn/information/informationDetail.do?informationguid=8a85be3567ed23460167ed36804d0009"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http://www.ccgp-shaanxi.gov.cn/information/informationDetail.do?informationguid=8a85be3567ed23460167ed36804d0009</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）注册登记加入陕西省政府采购供应商库的，应按要求及时办理注册登记，并接受财政部门监督管理。</w:t>
            </w:r>
          </w:p>
        </w:tc>
      </w:tr>
      <w:tr w14:paraId="6BFC8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263" w:type="pct"/>
            <w:noWrap w:val="0"/>
            <w:vAlign w:val="center"/>
          </w:tcPr>
          <w:p w14:paraId="0A519965">
            <w:pPr>
              <w:widowControl/>
              <w:spacing w:line="360" w:lineRule="auto"/>
              <w:jc w:val="center"/>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21</w:t>
            </w:r>
          </w:p>
        </w:tc>
        <w:tc>
          <w:tcPr>
            <w:tcW w:w="463" w:type="pct"/>
            <w:noWrap w:val="0"/>
            <w:vAlign w:val="center"/>
          </w:tcPr>
          <w:p w14:paraId="2B50F089">
            <w:pPr>
              <w:widowControl/>
              <w:spacing w:line="360" w:lineRule="auto"/>
              <w:jc w:val="center"/>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现场</w:t>
            </w:r>
          </w:p>
          <w:p w14:paraId="2A53056D">
            <w:pPr>
              <w:widowControl/>
              <w:spacing w:line="360" w:lineRule="auto"/>
              <w:jc w:val="center"/>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踏勘</w:t>
            </w:r>
          </w:p>
        </w:tc>
        <w:tc>
          <w:tcPr>
            <w:tcW w:w="4273" w:type="pct"/>
            <w:noWrap w:val="0"/>
            <w:vAlign w:val="center"/>
          </w:tcPr>
          <w:p w14:paraId="5C0D312D">
            <w:pPr>
              <w:bidi w:val="0"/>
              <w:spacing w:line="360" w:lineRule="auto"/>
              <w:jc w:val="center"/>
              <w:rPr>
                <w:b/>
                <w:bCs/>
                <w:color w:val="auto"/>
              </w:rPr>
            </w:pPr>
            <w:r>
              <w:rPr>
                <w:b/>
                <w:bCs/>
                <w:color w:val="auto"/>
              </w:rPr>
              <w:t>项目现场踏勘流程</w:t>
            </w:r>
          </w:p>
          <w:p w14:paraId="3805244D">
            <w:pPr>
              <w:bidi w:val="0"/>
              <w:spacing w:line="360" w:lineRule="auto"/>
              <w:rPr>
                <w:b/>
                <w:bCs/>
                <w:color w:val="auto"/>
              </w:rPr>
            </w:pPr>
            <w:bookmarkStart w:id="36" w:name="heading_0"/>
            <w:r>
              <w:rPr>
                <w:b/>
                <w:bCs/>
                <w:color w:val="auto"/>
              </w:rPr>
              <w:t>一、踏勘基本信息</w:t>
            </w:r>
            <w:bookmarkEnd w:id="36"/>
          </w:p>
          <w:p w14:paraId="7B009486">
            <w:pPr>
              <w:bidi w:val="0"/>
              <w:spacing w:line="360" w:lineRule="auto"/>
              <w:rPr>
                <w:color w:val="auto"/>
              </w:rPr>
            </w:pPr>
            <w:r>
              <w:rPr>
                <w:color w:val="auto"/>
              </w:rPr>
              <w:t>1. 踏勘时间：2026年06月</w:t>
            </w:r>
            <w:r>
              <w:rPr>
                <w:rFonts w:hint="eastAsia"/>
                <w:color w:val="auto"/>
                <w:lang w:val="en-US" w:eastAsia="zh-CN"/>
              </w:rPr>
              <w:t>16</w:t>
            </w:r>
            <w:r>
              <w:rPr>
                <w:color w:val="auto"/>
              </w:rPr>
              <w:t xml:space="preserve">日 </w:t>
            </w:r>
            <w:r>
              <w:rPr>
                <w:rFonts w:hint="eastAsia"/>
                <w:color w:val="auto"/>
                <w:lang w:val="en-US" w:eastAsia="zh-CN"/>
              </w:rPr>
              <w:t>08</w:t>
            </w:r>
            <w:r>
              <w:rPr>
                <w:color w:val="auto"/>
              </w:rPr>
              <w:t>：</w:t>
            </w:r>
            <w:r>
              <w:rPr>
                <w:rFonts w:hint="eastAsia"/>
                <w:color w:val="auto"/>
                <w:lang w:val="en-US" w:eastAsia="zh-CN"/>
              </w:rPr>
              <w:t>3</w:t>
            </w:r>
            <w:r>
              <w:rPr>
                <w:color w:val="auto"/>
              </w:rPr>
              <w:t>0</w:t>
            </w:r>
          </w:p>
          <w:p w14:paraId="4D9870DA">
            <w:pPr>
              <w:bidi w:val="0"/>
              <w:spacing w:line="360" w:lineRule="auto"/>
              <w:rPr>
                <w:rFonts w:hint="default"/>
                <w:color w:val="auto"/>
                <w:lang w:val="en-US" w:eastAsia="zh-CN"/>
              </w:rPr>
            </w:pPr>
            <w:r>
              <w:rPr>
                <w:color w:val="auto"/>
              </w:rPr>
              <w:t>2. 集合签到地点：山阳县</w:t>
            </w:r>
            <w:r>
              <w:rPr>
                <w:rFonts w:hint="eastAsia"/>
                <w:color w:val="auto"/>
                <w:lang w:val="en-US" w:eastAsia="zh-CN"/>
              </w:rPr>
              <w:t>人民广场（山阳丰阳大酒店对面）</w:t>
            </w:r>
          </w:p>
          <w:p w14:paraId="0576F508">
            <w:pPr>
              <w:bidi w:val="0"/>
              <w:spacing w:line="360" w:lineRule="auto"/>
              <w:rPr>
                <w:b/>
                <w:bCs/>
                <w:color w:val="auto"/>
              </w:rPr>
            </w:pPr>
            <w:r>
              <w:rPr>
                <w:b/>
                <w:bCs/>
                <w:color w:val="auto"/>
              </w:rPr>
              <w:t>二、踏勘组织方式</w:t>
            </w:r>
          </w:p>
          <w:p w14:paraId="5D57312D">
            <w:pPr>
              <w:bidi w:val="0"/>
              <w:spacing w:line="360" w:lineRule="auto"/>
              <w:rPr>
                <w:color w:val="auto"/>
              </w:rPr>
            </w:pPr>
            <w:r>
              <w:rPr>
                <w:color w:val="auto"/>
              </w:rPr>
              <w:t>本次现场踏勘由采购人及代理机构统一集中组织开展。所有潜在供应商需在规定时间内抵达指定签到地点完成签到，统一集合后跟随组织方前往项目现场开展踏勘工作。本次踏勘全程由供应商自行负责交通出行及人身、财产安全，所需交通费用及相关成本由供应商自行承担。</w:t>
            </w:r>
          </w:p>
          <w:p w14:paraId="518F5651">
            <w:pPr>
              <w:bidi w:val="0"/>
              <w:spacing w:line="360" w:lineRule="auto"/>
              <w:rPr>
                <w:b/>
                <w:bCs/>
                <w:color w:val="auto"/>
              </w:rPr>
            </w:pPr>
            <w:r>
              <w:rPr>
                <w:b/>
                <w:bCs/>
                <w:color w:val="auto"/>
              </w:rPr>
              <w:t>三、踏勘主要内容</w:t>
            </w:r>
          </w:p>
          <w:p w14:paraId="560303CA">
            <w:pPr>
              <w:bidi w:val="0"/>
              <w:spacing w:line="360" w:lineRule="auto"/>
              <w:rPr>
                <w:color w:val="auto"/>
              </w:rPr>
            </w:pPr>
            <w:r>
              <w:rPr>
                <w:color w:val="auto"/>
              </w:rPr>
              <w:t>各潜在供应商需在现场踏勘过程中，实地核查、全面了解项目相关全部现场情况，核心踏勘内容包含但不限于：项目现场地形地貌、地质条件、场地现状、周边配套环境、水电接驳点位、设备安装施工限制条件、当地市容环卫管理要求，全面摸清与项目设备供货、现场安装、设备调试验收、方案编制及后期售后保障相关的各类现场实际条件。</w:t>
            </w:r>
          </w:p>
          <w:p w14:paraId="748C01C6">
            <w:pPr>
              <w:bidi w:val="0"/>
              <w:spacing w:line="360" w:lineRule="auto"/>
              <w:rPr>
                <w:color w:val="auto"/>
              </w:rPr>
            </w:pPr>
            <w:r>
              <w:rPr>
                <w:color w:val="auto"/>
              </w:rPr>
              <w:t>同时，供应商须自主核实所有影响项目实施的各类客观因素，充分预判现场施工风险、设备安装难度，精准评估项目施工所需各类配套措施、物料、人工及技术保障需求，为科学编制项目实施方案、合理制定项目实施预案、全面做好项目全周期风险管控提供真实、完备的现场依据。</w:t>
            </w:r>
          </w:p>
          <w:p w14:paraId="62756768">
            <w:pPr>
              <w:bidi w:val="0"/>
              <w:spacing w:line="360" w:lineRule="auto"/>
              <w:rPr>
                <w:b/>
                <w:bCs/>
                <w:color w:val="auto"/>
              </w:rPr>
            </w:pPr>
            <w:r>
              <w:rPr>
                <w:b/>
                <w:bCs/>
                <w:color w:val="auto"/>
              </w:rPr>
              <w:t>四、踏勘责任与须知</w:t>
            </w:r>
          </w:p>
          <w:p w14:paraId="41FC4F0A">
            <w:pPr>
              <w:bidi w:val="0"/>
              <w:spacing w:line="360" w:lineRule="auto"/>
              <w:rPr>
                <w:color w:val="auto"/>
              </w:rPr>
            </w:pPr>
            <w:r>
              <w:rPr>
                <w:color w:val="auto"/>
              </w:rPr>
              <w:t>1. 所有潜在供应商务必按时参与本次统一组织的现场踏勘活动，积极完成全面踏勘、现场核实工作。</w:t>
            </w:r>
          </w:p>
          <w:p w14:paraId="542BFF0F">
            <w:pPr>
              <w:bidi w:val="0"/>
              <w:spacing w:line="360" w:lineRule="auto"/>
              <w:rPr>
                <w:color w:val="auto"/>
              </w:rPr>
            </w:pPr>
            <w:r>
              <w:rPr>
                <w:color w:val="auto"/>
              </w:rPr>
              <w:t>2. 凡因供应商自身原因，未按时到场签到、未参与统一踏勘、未进入项目现场或踏勘工作不细致、不充分的，均视为该供应商已完全熟知、全面掌握本项目全部现场条件、技术标准、安装边界、潜在施工风险及所有配套工作内容。</w:t>
            </w:r>
          </w:p>
          <w:p w14:paraId="3B0E781A">
            <w:pPr>
              <w:bidi w:val="0"/>
              <w:spacing w:line="360" w:lineRule="auto"/>
              <w:rPr>
                <w:color w:val="auto"/>
              </w:rPr>
            </w:pPr>
            <w:r>
              <w:rPr>
                <w:color w:val="auto"/>
              </w:rPr>
              <w:t xml:space="preserve">3. </w:t>
            </w:r>
            <w:r>
              <w:rPr>
                <w:color w:val="auto"/>
                <w:lang w:val="en-US" w:eastAsia="zh-CN"/>
              </w:rPr>
              <w:t>供应商完成现场踏勘后，即视为已充分知悉并认可项目全部现场实际状况与实施条件。项目后续实施期间，采购人及代理机构不再受理供应商因现场情况认知偏差、现场条件预判不足等相关事由提出的调价、索赔、交付期顺延及其他各类诉求，相关风险均由供应商自行承担。</w:t>
            </w:r>
          </w:p>
          <w:p w14:paraId="3BEA6A48">
            <w:pPr>
              <w:bidi w:val="0"/>
              <w:spacing w:line="360" w:lineRule="auto"/>
            </w:pPr>
          </w:p>
          <w:p w14:paraId="65894BC7">
            <w:pPr>
              <w:spacing w:line="500" w:lineRule="exact"/>
              <w:ind w:firstLine="480" w:firstLineChars="200"/>
              <w:rPr>
                <w:rFonts w:hint="eastAsia" w:ascii="宋体" w:hAnsi="宋体" w:eastAsia="宋体" w:cs="宋体"/>
                <w:b w:val="0"/>
                <w:bCs w:val="0"/>
                <w:color w:val="auto"/>
                <w:sz w:val="24"/>
                <w:szCs w:val="24"/>
                <w:highlight w:val="none"/>
              </w:rPr>
            </w:pPr>
          </w:p>
        </w:tc>
      </w:tr>
    </w:tbl>
    <w:p w14:paraId="65393E02">
      <w:pPr>
        <w:spacing w:before="333" w:beforeLine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37" w:name="_Toc363474017"/>
      <w:bookmarkStart w:id="38" w:name="_Toc403077639"/>
      <w:bookmarkStart w:id="39" w:name="_Toc363473972"/>
      <w:r>
        <w:rPr>
          <w:rFonts w:hint="eastAsia" w:ascii="宋体" w:hAnsi="宋体" w:eastAsia="宋体" w:cs="宋体"/>
          <w:b/>
          <w:color w:val="auto"/>
          <w:sz w:val="24"/>
          <w:szCs w:val="24"/>
          <w:highlight w:val="none"/>
        </w:rPr>
        <w:t>一.总  则</w:t>
      </w:r>
      <w:bookmarkEnd w:id="37"/>
      <w:bookmarkEnd w:id="38"/>
      <w:bookmarkEnd w:id="39"/>
    </w:p>
    <w:p w14:paraId="4FE8D4AF">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1.资金来源</w:t>
      </w:r>
    </w:p>
    <w:p w14:paraId="0472D4D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1.1本次招标采购所签合同使用</w:t>
      </w:r>
      <w:r>
        <w:rPr>
          <w:rFonts w:hint="eastAsia" w:ascii="宋体" w:hAnsi="宋体" w:eastAsia="宋体" w:cs="宋体"/>
          <w:color w:val="auto"/>
          <w:sz w:val="24"/>
          <w:szCs w:val="24"/>
          <w:highlight w:val="none"/>
          <w:lang w:val="en-US" w:eastAsia="zh-CN"/>
        </w:rPr>
        <w:t>财政拨款</w:t>
      </w:r>
      <w:r>
        <w:rPr>
          <w:rFonts w:hint="eastAsia" w:ascii="宋体" w:hAnsi="宋体" w:eastAsia="宋体" w:cs="宋体"/>
          <w:color w:val="auto"/>
          <w:sz w:val="24"/>
          <w:szCs w:val="24"/>
          <w:highlight w:val="none"/>
          <w:lang w:eastAsia="zh-CN"/>
        </w:rPr>
        <w:t>资金</w:t>
      </w:r>
      <w:r>
        <w:rPr>
          <w:rFonts w:hint="eastAsia" w:ascii="宋体" w:hAnsi="宋体" w:eastAsia="宋体" w:cs="宋体"/>
          <w:color w:val="auto"/>
          <w:sz w:val="24"/>
          <w:szCs w:val="24"/>
          <w:highlight w:val="none"/>
        </w:rPr>
        <w:t>支付，资金已落实到位。</w:t>
      </w:r>
    </w:p>
    <w:p w14:paraId="333462EC">
      <w:pPr>
        <w:numPr>
          <w:ilvl w:val="0"/>
          <w:numId w:val="3"/>
        </w:num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名词解释</w:t>
      </w:r>
    </w:p>
    <w:p w14:paraId="438EF320">
      <w:pPr>
        <w:tabs>
          <w:tab w:val="left" w:pos="7665"/>
        </w:tabs>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2.1采购人：</w:t>
      </w:r>
      <w:r>
        <w:rPr>
          <w:rFonts w:hint="eastAsia" w:hAnsi="宋体" w:cs="宋体"/>
          <w:color w:val="auto"/>
          <w:sz w:val="24"/>
          <w:szCs w:val="24"/>
          <w:highlight w:val="none"/>
          <w:lang w:eastAsia="zh-CN"/>
        </w:rPr>
        <w:t>山阳县城市管理局</w:t>
      </w:r>
    </w:p>
    <w:p w14:paraId="181B687C">
      <w:pPr>
        <w:tabs>
          <w:tab w:val="left" w:pos="7665"/>
        </w:tabs>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2.2监督机构：</w:t>
      </w:r>
      <w:r>
        <w:rPr>
          <w:rFonts w:hint="eastAsia" w:ascii="宋体" w:hAnsi="宋体" w:eastAsia="宋体" w:cs="宋体"/>
          <w:color w:val="auto"/>
          <w:sz w:val="24"/>
          <w:szCs w:val="24"/>
          <w:highlight w:val="none"/>
          <w:lang w:eastAsia="zh-CN"/>
        </w:rPr>
        <w:t>同级财政部门</w:t>
      </w:r>
    </w:p>
    <w:p w14:paraId="1458477E">
      <w:pPr>
        <w:tabs>
          <w:tab w:val="left" w:pos="7665"/>
        </w:tabs>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2.3采购代理机构：</w:t>
      </w:r>
      <w:r>
        <w:rPr>
          <w:rFonts w:hint="eastAsia" w:hAnsi="宋体" w:cs="宋体"/>
          <w:color w:val="auto"/>
          <w:sz w:val="24"/>
          <w:szCs w:val="24"/>
          <w:highlight w:val="none"/>
          <w:lang w:eastAsia="zh-CN"/>
        </w:rPr>
        <w:t>陕西海源广合项目管理有限公司</w:t>
      </w:r>
      <w:r>
        <w:rPr>
          <w:rFonts w:hint="eastAsia" w:ascii="宋体" w:hAnsi="宋体" w:eastAsia="宋体" w:cs="宋体"/>
          <w:color w:val="auto"/>
          <w:sz w:val="24"/>
          <w:szCs w:val="24"/>
          <w:highlight w:val="none"/>
          <w:lang w:eastAsia="zh-CN"/>
        </w:rPr>
        <w:t>。</w:t>
      </w:r>
    </w:p>
    <w:p w14:paraId="547BFACC">
      <w:pPr>
        <w:tabs>
          <w:tab w:val="left" w:pos="7665"/>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：是指响应和符合招标文件规定资格条件且参与投标竞争的法人、其他组织或者自然人。</w:t>
      </w:r>
    </w:p>
    <w:p w14:paraId="0A01153D">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2.5产品是指本招标文件中第四章所述所有产品。</w:t>
      </w:r>
    </w:p>
    <w:p w14:paraId="37BFF6F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2.6服务是指供应商为满足招标文件要求而提供的服务。</w:t>
      </w:r>
    </w:p>
    <w:p w14:paraId="0FF06C3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2.7节能产品或者环保产品是指财政部发布的《节能产品政府采购清单》或《环境标志产品政府采购清单》的产品。</w:t>
      </w:r>
    </w:p>
    <w:p w14:paraId="5A7DA3A2">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2.8进口产品是指通过中国海关报关验放进入中国境内且产自关境外的产品，详见《关于政府采购进口产品管理有关问题的通知》(财库[2007]119号)。</w:t>
      </w:r>
    </w:p>
    <w:p w14:paraId="4DF5C5F8">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2.9中小企业是指符合《工业和信息化部、国家统计局、国家发展和改革委员会、财政部关于印发中小企业划型标准规定的通知》（工信部联企业[2011]300号）规定的对中小企业的划分标准的企业。</w:t>
      </w:r>
    </w:p>
    <w:p w14:paraId="03EF0B2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2.10监狱企业是指由司法部认定的为罪犯、戒毒人员提供生产项目和劳动对象，且全部产权属于司法部监狱管理局、戒毒管理局、直属煤矿管理局，各省、自治区、直辖市监狱管理局、戒毒管理局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各地（设区的市）监狱、强制隔离戒毒所、戒毒康复所，以及新疆生产建设兵团监狱管理局、戒毒管理局的企业。</w:t>
      </w:r>
    </w:p>
    <w:p w14:paraId="38CFB08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2.11残疾人福利性单位是指符合《三部门联合发布关于促进残疾人就业政府采购政策的通知》财库〔2017〕141号规定的对残疾人福利性单位划分标准的单位。</w:t>
      </w:r>
    </w:p>
    <w:p w14:paraId="358D2287">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3.合格的供应商</w:t>
      </w:r>
    </w:p>
    <w:p w14:paraId="2CCD27E4">
      <w:pPr>
        <w:tabs>
          <w:tab w:val="left" w:pos="851"/>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政府采购法》第二十二条第一款规定的供应商基本资格条件:</w:t>
      </w:r>
    </w:p>
    <w:p w14:paraId="1031703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（1）具有独立承担民事责任的能力；</w:t>
      </w:r>
    </w:p>
    <w:p w14:paraId="5893C4B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（2）具有良好的商业信誉和健全的财务会计制度；</w:t>
      </w:r>
    </w:p>
    <w:p w14:paraId="69746E1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（3）具有履行合同所必需的设备和专业技术能力；</w:t>
      </w:r>
    </w:p>
    <w:p w14:paraId="6A2875E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（4）有依法缴纳税收的良好记录；</w:t>
      </w:r>
    </w:p>
    <w:p w14:paraId="6389F4E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（5）参加政府采购活动前三年内，在经营活动中没有重大违法记录；</w:t>
      </w:r>
    </w:p>
    <w:p w14:paraId="787F225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（6）法律、行政法规规定的其他条件。</w:t>
      </w:r>
    </w:p>
    <w:p w14:paraId="3AB835A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3.2根据本次采购项目的特殊要求，规定的供应商特殊条件（见供应商须知前附表）。</w:t>
      </w:r>
    </w:p>
    <w:p w14:paraId="333F6E4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3.3单位负责人为同一人或者存在直接控股、管理关系的不同供应商，不得参加同一合同项下的政府采购活动。</w:t>
      </w:r>
    </w:p>
    <w:p w14:paraId="3A2BC33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除单一来源采购项目外，为采购项目提供整体设计、规范编制或者项目管理、监理、检测等服务的供应商，不得再参加该采购项目的其他采购活动，否则均为无效投标。</w:t>
      </w:r>
    </w:p>
    <w:p w14:paraId="027F43C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3.4供应商必须在</w:t>
      </w:r>
      <w:r>
        <w:rPr>
          <w:rFonts w:hint="eastAsia" w:hAnsi="宋体" w:cs="宋体"/>
          <w:color w:val="auto"/>
          <w:sz w:val="24"/>
          <w:szCs w:val="24"/>
          <w:highlight w:val="none"/>
          <w:lang w:eastAsia="zh-CN"/>
        </w:rPr>
        <w:t>陕西海源广合项目管理有限公司</w:t>
      </w:r>
      <w:r>
        <w:rPr>
          <w:rFonts w:hint="eastAsia" w:hAnsi="宋体" w:cs="宋体"/>
          <w:color w:val="auto"/>
          <w:sz w:val="24"/>
          <w:szCs w:val="24"/>
          <w:highlight w:val="none"/>
          <w:lang w:val="en-US" w:eastAsia="zh-CN"/>
        </w:rPr>
        <w:t>获取</w:t>
      </w:r>
      <w:r>
        <w:rPr>
          <w:rFonts w:hint="eastAsia" w:ascii="宋体" w:hAnsi="宋体" w:eastAsia="宋体" w:cs="宋体"/>
          <w:color w:val="auto"/>
          <w:sz w:val="24"/>
          <w:szCs w:val="24"/>
          <w:highlight w:val="none"/>
        </w:rPr>
        <w:t>招标文件，方可参加投标。</w:t>
      </w:r>
    </w:p>
    <w:p w14:paraId="3FBC2169">
      <w:pPr>
        <w:spacing w:line="500" w:lineRule="exact"/>
        <w:ind w:firstLine="480" w:firstLineChars="200"/>
        <w:rPr>
          <w:rFonts w:hint="eastAsia" w:ascii="宋体" w:hAnsi="宋体" w:eastAsia="宋体" w:cs="宋体"/>
          <w:color w:val="auto"/>
          <w:sz w:val="24"/>
          <w:szCs w:val="24"/>
          <w:highlight w:val="none"/>
          <w:lang w:eastAsia="zh-CN"/>
        </w:rPr>
      </w:pPr>
      <w:bookmarkStart w:id="40" w:name="OLE_LINK33"/>
      <w:r>
        <w:rPr>
          <w:rFonts w:hint="eastAsia" w:ascii="宋体" w:hAnsi="宋体" w:eastAsia="宋体" w:cs="宋体"/>
          <w:color w:val="auto"/>
          <w:sz w:val="24"/>
          <w:szCs w:val="24"/>
          <w:highlight w:val="none"/>
        </w:rPr>
        <w:t>3.</w:t>
      </w:r>
      <w:bookmarkEnd w:id="40"/>
      <w:r>
        <w:rPr>
          <w:rFonts w:hint="eastAsia" w:ascii="宋体" w:hAnsi="宋体" w:eastAsia="宋体" w:cs="宋体"/>
          <w:color w:val="auto"/>
          <w:sz w:val="24"/>
          <w:szCs w:val="24"/>
          <w:highlight w:val="none"/>
        </w:rPr>
        <w:t>5联合体投标</w:t>
      </w:r>
      <w:r>
        <w:rPr>
          <w:rFonts w:hint="eastAsia" w:ascii="宋体" w:hAnsi="宋体" w:eastAsia="宋体" w:cs="宋体"/>
          <w:color w:val="auto"/>
          <w:sz w:val="24"/>
          <w:szCs w:val="24"/>
          <w:highlight w:val="none"/>
          <w:lang w:eastAsia="zh-CN"/>
        </w:rPr>
        <w:t>。</w:t>
      </w:r>
    </w:p>
    <w:p w14:paraId="7069EBE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3.5.1如果在招标文件中接受联合体投标（见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则两个以上供应商可以组成一个投标联合体，以一个供应商的身份投标。以联合体形式参加投标的，联合体各方均应当符合《中华人民共和国政府采购法》及实施条例规定的条件。采购人根据采购项目的特殊要求规定供应商特定条件的，联合体各方中至少应当有一方符合采购人规定的特定条件。</w:t>
      </w:r>
    </w:p>
    <w:p w14:paraId="1A3BD93A">
      <w:pPr>
        <w:spacing w:line="500" w:lineRule="exact"/>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联合体各方之间应当签订共同投标协议，明确约定联合体各方承担的工作和相应的责任，并将共同投标协议连同投标文件一并提交采购代理机构。联合体各方签订共同投标协议后，不得再以自己名义单独在同一项目中投标，也不得组成新的联合体参加同一项目投标。</w:t>
      </w:r>
    </w:p>
    <w:p w14:paraId="587FDBF6">
      <w:pPr>
        <w:pStyle w:val="9"/>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3.5.3联合体各方应当共同与采购人签订采购合同，就采购合同约定的事项对采购人承担连带责任。</w:t>
      </w:r>
    </w:p>
    <w:p w14:paraId="37BF2FF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3.6投标费用自理。不论投标的结果如何，供应商均应自行承担所有与参加投标有关的费用。</w:t>
      </w:r>
    </w:p>
    <w:p w14:paraId="3588B7D0">
      <w:pPr>
        <w:tabs>
          <w:tab w:val="left" w:pos="747"/>
        </w:tabs>
        <w:snapToGrid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4.合格的货物（产品）和服务</w:t>
      </w:r>
    </w:p>
    <w:p w14:paraId="5B04A8B8">
      <w:pPr>
        <w:tabs>
          <w:tab w:val="left" w:pos="747"/>
        </w:tabs>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所有货物和服务，必须是合法生产、合法来源，符合国家有关标准要求，并满足招标文件规定的规格、参数、质量、价格、有效期、售后服务及供应商须承担的运输、安装、技术支持、培训和招标文件规定的其它伴随服务等要求。</w:t>
      </w:r>
    </w:p>
    <w:p w14:paraId="12C40B62">
      <w:pPr>
        <w:tabs>
          <w:tab w:val="left" w:pos="747"/>
        </w:tabs>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4.2采购人有权拒绝接受任何不合格的产品和服务，由此产生的费用及相关后果均由供应商自行承担。</w:t>
      </w:r>
    </w:p>
    <w:p w14:paraId="0EBB0D6B">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5.投标文件内容的真实性</w:t>
      </w:r>
    </w:p>
    <w:p w14:paraId="0B107FE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5.1供应商应保证其投标文件中所提供的所有投标资料、信息是真实的，并且来源于合法的渠道。因投标文件中所提供的投标资料、信息不真实或者其来源不合法而导致的所有法律责任，由供应商自行承担。</w:t>
      </w:r>
    </w:p>
    <w:p w14:paraId="103FB519">
      <w:pPr>
        <w:spacing w:before="333" w:beforeLines="100"/>
        <w:jc w:val="center"/>
        <w:rPr>
          <w:rFonts w:hint="eastAsia" w:ascii="宋体" w:hAnsi="宋体" w:eastAsia="宋体" w:cs="宋体"/>
          <w:b/>
          <w:color w:val="auto"/>
          <w:sz w:val="24"/>
          <w:szCs w:val="24"/>
          <w:highlight w:val="none"/>
        </w:rPr>
      </w:pPr>
      <w:bookmarkStart w:id="41" w:name="_Toc403077640"/>
      <w:bookmarkStart w:id="42" w:name="_Toc363474018"/>
      <w:bookmarkStart w:id="43" w:name="_Toc363473973"/>
      <w:bookmarkStart w:id="44" w:name="_Toc21955"/>
      <w:r>
        <w:rPr>
          <w:rFonts w:hint="eastAsia" w:ascii="宋体" w:hAnsi="宋体" w:eastAsia="宋体" w:cs="宋体"/>
          <w:b/>
          <w:color w:val="auto"/>
          <w:sz w:val="24"/>
          <w:szCs w:val="24"/>
          <w:highlight w:val="none"/>
        </w:rPr>
        <w:t>二、招标文件</w:t>
      </w:r>
      <w:bookmarkEnd w:id="41"/>
      <w:bookmarkEnd w:id="42"/>
      <w:bookmarkEnd w:id="43"/>
      <w:bookmarkEnd w:id="44"/>
    </w:p>
    <w:p w14:paraId="3E6690FF">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6.招标文件构成</w:t>
      </w:r>
    </w:p>
    <w:p w14:paraId="2C05AAA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招标文件要求提供的货物、服务，招标程序和合同条件在招标文件中均有说明。招标文件共六章，内容如下：</w:t>
      </w:r>
    </w:p>
    <w:p w14:paraId="36D1384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招标公告</w:t>
      </w:r>
    </w:p>
    <w:p w14:paraId="65A185B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4ABEC18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投标人须知前附表</w:t>
      </w:r>
    </w:p>
    <w:p w14:paraId="3F80186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合同条款及格式</w:t>
      </w:r>
    </w:p>
    <w:p w14:paraId="266DDD28">
      <w:pPr>
        <w:spacing w:line="500" w:lineRule="exact"/>
        <w:ind w:firstLine="840" w:firstLine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合同条款及格式前附表</w:t>
      </w:r>
    </w:p>
    <w:p w14:paraId="2BC1DFF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采购内容及技术要求</w:t>
      </w:r>
    </w:p>
    <w:p w14:paraId="3AB24B1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评标方法</w:t>
      </w:r>
    </w:p>
    <w:p w14:paraId="602D03A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投标文件构成及格式</w:t>
      </w:r>
    </w:p>
    <w:p w14:paraId="1AF46C1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认真阅读招标文件中所有的事项、格式、条款和规范等要求。如果投标人没有按照招标文件要求提交全部资料，或者投标文件没有对招标文件在各方面都做出实质性响应，由此带来不利于投标人的评标结果，其风险由供应商承担。</w:t>
      </w:r>
    </w:p>
    <w:p w14:paraId="195C19D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6.3本招标文件的解释权归</w:t>
      </w:r>
      <w:r>
        <w:rPr>
          <w:rFonts w:hint="eastAsia" w:hAnsi="宋体" w:cs="宋体"/>
          <w:color w:val="auto"/>
          <w:sz w:val="24"/>
          <w:szCs w:val="24"/>
          <w:highlight w:val="none"/>
          <w:lang w:eastAsia="zh-CN"/>
        </w:rPr>
        <w:t>陕西海源广合项目管理有限公司</w:t>
      </w:r>
      <w:r>
        <w:rPr>
          <w:rFonts w:hint="eastAsia" w:ascii="宋体" w:hAnsi="宋体" w:eastAsia="宋体" w:cs="宋体"/>
          <w:color w:val="auto"/>
          <w:sz w:val="24"/>
          <w:szCs w:val="24"/>
          <w:highlight w:val="none"/>
        </w:rPr>
        <w:t>，如发现招标文件内容与现行法律法规不相符的情况，以现行法律法规为准。</w:t>
      </w:r>
    </w:p>
    <w:p w14:paraId="7159A664">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7.招标文件的修改和澄清</w:t>
      </w:r>
    </w:p>
    <w:p w14:paraId="0D816F46">
      <w:pPr>
        <w:tabs>
          <w:tab w:val="left" w:pos="72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在投标截止时间前，采购代理机构无论出于何种原因，可以对已发出招标文件进行必要的澄清或者修改，但不得修改采购标的和资格条件。</w:t>
      </w:r>
    </w:p>
    <w:p w14:paraId="54A3DF9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澄清或者修改的内容可能影响投标文件编制的，采购代理机构应当在投标文件截止时间</w:t>
      </w:r>
      <w:r>
        <w:rPr>
          <w:rFonts w:hint="eastAsia" w:ascii="宋体" w:hAnsi="宋体" w:eastAsia="宋体" w:cs="宋体"/>
          <w:bCs/>
          <w:color w:val="auto"/>
          <w:sz w:val="24"/>
          <w:szCs w:val="24"/>
          <w:highlight w:val="none"/>
        </w:rPr>
        <w:t>15日前，以书面形式将澄清或者修改的内容通知所有获取招标文件的潜在供应商，同时在原信息发布媒体上发布变更公告。该澄清或者修改的内容为招标文件的组成部分。如果澄清或者修改发出的时间距规定的投标截止时间不足15日，将相应</w:t>
      </w:r>
      <w:r>
        <w:rPr>
          <w:rFonts w:hint="eastAsia" w:ascii="宋体" w:hAnsi="宋体" w:eastAsia="宋体" w:cs="宋体"/>
          <w:color w:val="auto"/>
          <w:sz w:val="24"/>
          <w:szCs w:val="24"/>
          <w:highlight w:val="none"/>
        </w:rPr>
        <w:t>顺延投标截止时间。</w:t>
      </w:r>
    </w:p>
    <w:p w14:paraId="250B75C0">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7.3在投标文件递交截止时间前，采购代理机构可以视采购具体情况，延长投标截止时间和开标时间并在财政部门指定的媒体上发布变更公告，同时将变更时间书面通知获取招标文件的潜在供应商。</w:t>
      </w:r>
    </w:p>
    <w:p w14:paraId="7691728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已经购买招标文件的供应商对招标文件有疑问的，均应在购买招标文件后7个工作日内以书面形式向采购代理机构提出。采购代理机构视情况采用适当方式予以澄清或以书面形式予以答复，涉及变更的内容在财政部门指定的媒体上发布变更公告，并以书面形式通知所有购买招标文件的潜在供应商，且作为招标文件的组成部分。</w:t>
      </w:r>
    </w:p>
    <w:p w14:paraId="0ECEAD3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7.5供应商在收到上述通知后，应立即向采购代理机构回函确认。</w:t>
      </w:r>
    </w:p>
    <w:p w14:paraId="31EC67D9">
      <w:pPr>
        <w:spacing w:line="500" w:lineRule="exact"/>
        <w:jc w:val="center"/>
        <w:rPr>
          <w:rFonts w:hint="eastAsia" w:ascii="宋体" w:hAnsi="宋体" w:eastAsia="宋体" w:cs="宋体"/>
          <w:b/>
          <w:color w:val="auto"/>
          <w:sz w:val="24"/>
          <w:szCs w:val="24"/>
          <w:highlight w:val="none"/>
        </w:rPr>
      </w:pPr>
      <w:bookmarkStart w:id="45" w:name="_Toc403077641"/>
      <w:bookmarkStart w:id="46" w:name="_Toc363474019"/>
      <w:bookmarkStart w:id="47" w:name="_Toc363473974"/>
      <w:r>
        <w:rPr>
          <w:rFonts w:hint="eastAsia" w:ascii="宋体" w:hAnsi="宋体" w:eastAsia="宋体" w:cs="宋体"/>
          <w:b/>
          <w:color w:val="auto"/>
          <w:sz w:val="24"/>
          <w:szCs w:val="24"/>
          <w:highlight w:val="none"/>
        </w:rPr>
        <w:t>三.投标文件的编制</w:t>
      </w:r>
      <w:bookmarkEnd w:id="45"/>
      <w:bookmarkEnd w:id="46"/>
      <w:bookmarkEnd w:id="47"/>
    </w:p>
    <w:p w14:paraId="75B33FDB">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 投标语言和投标货币</w:t>
      </w:r>
    </w:p>
    <w:p w14:paraId="7F7CFFA8">
      <w:pPr>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8.1供应商提交的投标文件以及供应商与采购代理机构就有关投标的所有来往函电均应使用中文。</w:t>
      </w:r>
    </w:p>
    <w:p w14:paraId="1E77A30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8.2投标应以人民币报价。任何包含非人民币报价的投标将按无效投标处理。</w:t>
      </w:r>
    </w:p>
    <w:p w14:paraId="09B9EA73">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9.投标文件的构成</w:t>
      </w:r>
    </w:p>
    <w:p w14:paraId="35A14F5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供应商提交的投标文件应包括下列部分的内容：</w:t>
      </w:r>
    </w:p>
    <w:p w14:paraId="375A4EFD">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（1）按照供应商须知的要求和招标文件规定的格式填写的投标函、投标报价表、法定代表人或负责人授权书</w:t>
      </w:r>
      <w:r>
        <w:rPr>
          <w:rFonts w:hint="eastAsia" w:ascii="宋体" w:hAnsi="宋体" w:eastAsia="宋体" w:cs="宋体"/>
          <w:color w:val="auto"/>
          <w:sz w:val="24"/>
          <w:szCs w:val="24"/>
          <w:highlight w:val="none"/>
          <w:lang w:eastAsia="zh-CN"/>
        </w:rPr>
        <w:t>；</w:t>
      </w:r>
    </w:p>
    <w:p w14:paraId="3948BEE1">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按照招标文件的要求编制的投标方案说明书，内容至少应包括对本项目的所有服务内容的理解与认知，针对本项目具有详细的进度计划及服务方案，技术服务响应表，技术服务质量保证方案，技术服务成果说明以及相关的人员配备等</w:t>
      </w:r>
      <w:r>
        <w:rPr>
          <w:rFonts w:hint="eastAsia" w:ascii="宋体" w:hAnsi="宋体" w:eastAsia="宋体" w:cs="宋体"/>
          <w:color w:val="auto"/>
          <w:sz w:val="24"/>
          <w:szCs w:val="24"/>
          <w:highlight w:val="none"/>
          <w:lang w:eastAsia="zh-CN"/>
        </w:rPr>
        <w:t>；</w:t>
      </w:r>
    </w:p>
    <w:p w14:paraId="00AE5CE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（3）按照招标文件供应商须知前附表的要求提交的资格证明文件；  </w:t>
      </w:r>
    </w:p>
    <w:p w14:paraId="7EEB34F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（4）按照本须知第14条要求提交的投标保证金；</w:t>
      </w:r>
    </w:p>
    <w:p w14:paraId="0DFA304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（5）招标文件中要求的其他证明文件。</w:t>
      </w:r>
    </w:p>
    <w:p w14:paraId="1C8B19F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本项目各包不允许提供备选方案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每个供应商只允许提交一个投标方案，否则，其投标将按照无效投标处理。</w:t>
      </w:r>
    </w:p>
    <w:p w14:paraId="7F64DE3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供应商可根据自身的资质情况和经营范围进行投标，但不得将其子目自行分解或针对该项目中的品目进行不完全投标，任何不完全的投标将按无效投标处理。</w:t>
      </w:r>
    </w:p>
    <w:p w14:paraId="6220BC9F">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10.投标文件格式</w:t>
      </w:r>
    </w:p>
    <w:p w14:paraId="57CF5FE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供应商应按照招标文件中第六章所提供的格式和要求制作投标文件，明确表达投标意愿，详细说明投标方案、承诺及价格。</w:t>
      </w:r>
    </w:p>
    <w:p w14:paraId="4533C8A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10.2按招标文件第9条的内容及要求和第六章提供的格式和要求编写其投标文件，供应商不得缺少或留空任何招标文件要求填写的表格或提交的资料。</w:t>
      </w:r>
    </w:p>
    <w:p w14:paraId="194EEDA7">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11.投标报价</w:t>
      </w:r>
    </w:p>
    <w:p w14:paraId="0D13615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应在投标报价表中标明完成本次招标所要求的所有服务且验收合格的全部费用，人工费、材料费、管理费、运输费、搬运费、安装费、利润、税金、保险等的一切费用。投标报价表中标明本次服务的所有单项价格和总价，任何有选择的报价将不予接受，否则按无效投标处理。</w:t>
      </w:r>
    </w:p>
    <w:p w14:paraId="090BA25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11.2投标报价表中标明的价格应为履行合同的固定价格。</w:t>
      </w:r>
    </w:p>
    <w:p w14:paraId="47DCC179">
      <w:pPr>
        <w:spacing w:line="500" w:lineRule="exact"/>
        <w:ind w:right="617" w:rightChars="257"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11.3投标报价：总价（精确到小数点后二位）。</w:t>
      </w:r>
    </w:p>
    <w:p w14:paraId="5C0431A3">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12.证明供应商合格和资格的文件</w:t>
      </w:r>
    </w:p>
    <w:p w14:paraId="4AD7BB6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12.1供应商应按照招标文件“投标人须知前附表”的要求，在投标文件中提交合格的资格证明文件。如果资格证明文件不齐全或不合格的，其投标将按无效投标处理。</w:t>
      </w:r>
    </w:p>
    <w:p w14:paraId="51B22C4D">
      <w:pPr>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13.证明所提供的服务符合招标文件规定的文件</w:t>
      </w:r>
    </w:p>
    <w:p w14:paraId="5ED319A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供应商应在投标文件中提交产品和服务满足招标文件要求并符合国家法律法规、行业管理部门要求的其他强制性标准的证明文件。缺少证明文件或证明文件不合格的投标，与招标文件要求有重大偏离的投标，不符合国家法律法规、行业管理部门要求的其他强制性标准的投标将按无效投标处理。</w:t>
      </w:r>
    </w:p>
    <w:p w14:paraId="1D17696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.2上述证明文件可以是文字资料、图纸、图片、数据、宣传彩页等，所有证明文件表达意思必须统一（如需供应商提供样品，样品必须与投标文件的表述完全符合）。包括：</w:t>
      </w:r>
    </w:p>
    <w:p w14:paraId="6671470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（1)产品主要技术指标和性能的详细说明；</w:t>
      </w:r>
    </w:p>
    <w:p w14:paraId="6230207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（2）生产厂家出具的、相应的产品功能证明材料（包括但不限于测试报告、官网和功能截图等）；</w:t>
      </w:r>
    </w:p>
    <w:p w14:paraId="1ADF0F9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（3)逐条对招标文件提出的技术要求和商务要求进行应答，说明所提供的产品和服务对招标的技术和商务要求是否做出了实质性响应并提供支持文件；</w:t>
      </w:r>
    </w:p>
    <w:p w14:paraId="442F49D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（4）供货范围和服务内容的详细说明。</w:t>
      </w:r>
    </w:p>
    <w:p w14:paraId="72EEE460">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14.投标保证金</w:t>
      </w:r>
      <w:r>
        <w:rPr>
          <w:rFonts w:hint="eastAsia" w:hAnsi="宋体" w:cs="宋体"/>
          <w:b/>
          <w:bCs w:val="0"/>
          <w:color w:val="auto"/>
          <w:sz w:val="24"/>
          <w:szCs w:val="24"/>
          <w:highlight w:val="none"/>
          <w:lang w:eastAsia="zh-CN"/>
        </w:rPr>
        <w:t>（</w:t>
      </w:r>
      <w:r>
        <w:rPr>
          <w:rFonts w:hint="eastAsia" w:hAnsi="宋体" w:cs="宋体"/>
          <w:b/>
          <w:bCs/>
          <w:color w:val="auto"/>
          <w:sz w:val="24"/>
          <w:szCs w:val="24"/>
          <w:highlight w:val="none"/>
          <w:lang w:val="en-US" w:eastAsia="zh-CN"/>
        </w:rPr>
        <w:t>本项目不缴纳投标保证金</w:t>
      </w:r>
      <w:r>
        <w:rPr>
          <w:rFonts w:hint="eastAsia" w:hAnsi="宋体" w:cs="宋体"/>
          <w:b/>
          <w:bCs w:val="0"/>
          <w:color w:val="auto"/>
          <w:sz w:val="24"/>
          <w:szCs w:val="24"/>
          <w:highlight w:val="none"/>
          <w:lang w:eastAsia="zh-CN"/>
        </w:rPr>
        <w:t>）</w:t>
      </w:r>
    </w:p>
    <w:p w14:paraId="2664C8DA">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15.投标有效期</w:t>
      </w:r>
    </w:p>
    <w:p w14:paraId="2728508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15.1投标有效期从递交投标文件的截止之日起90天。投标文件应在投标有效期内保持有效。投标有效期不满足规定有效期的投标文件将被视为无效投标而拒绝。</w:t>
      </w:r>
    </w:p>
    <w:p w14:paraId="3F4B712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特殊情况下，在原投标有效期期满之前，采购代理机构可向供应商提出延长投标有效期的要求。这种要求与答复均应以书面的形式。供应商可以拒绝采购代理机构的这种要求,其投标保证金也不被没收。同意延长的供应商既不能要求也不允许修改其投标文件。</w:t>
      </w:r>
    </w:p>
    <w:p w14:paraId="00F75082">
      <w:pPr>
        <w:numPr>
          <w:ilvl w:val="0"/>
          <w:numId w:val="4"/>
        </w:num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投标文件的式样和签署</w:t>
      </w:r>
    </w:p>
    <w:p w14:paraId="01772C5F">
      <w:pPr>
        <w:spacing w:line="360" w:lineRule="auto"/>
        <w:ind w:firstLine="480" w:firstLineChars="200"/>
        <w:rPr>
          <w:rFonts w:hint="eastAsia" w:ascii="宋体" w:hAnsi="宋体" w:eastAsia="宋体" w:cs="宋体"/>
          <w:b/>
          <w:bCs/>
          <w:color w:val="auto"/>
          <w:spacing w:val="-2"/>
          <w:sz w:val="24"/>
          <w:szCs w:val="24"/>
          <w:highlight w:val="none"/>
        </w:rPr>
      </w:pPr>
      <w:r>
        <w:rPr>
          <w:rFonts w:hint="eastAsia" w:ascii="宋体" w:hAnsi="宋体" w:eastAsia="宋体" w:cs="宋体"/>
          <w:color w:val="auto"/>
          <w:sz w:val="24"/>
          <w:szCs w:val="24"/>
          <w:highlight w:val="none"/>
        </w:rPr>
        <w:t>16.1供应商应按照本章</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须知的要求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提交壹份投标文件正本和“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须知前附表”中规定数量的副本，每套投标文件封面须清楚地标明“正本”或“副本”。</w:t>
      </w:r>
      <w:r>
        <w:rPr>
          <w:rFonts w:hint="eastAsia" w:ascii="宋体" w:hAnsi="宋体" w:eastAsia="宋体" w:cs="宋体"/>
          <w:color w:val="auto"/>
          <w:spacing w:val="4"/>
          <w:sz w:val="24"/>
          <w:szCs w:val="24"/>
          <w:highlight w:val="none"/>
        </w:rPr>
        <w:t>同时提供与投标文件正本内容一致的电子版（U盘）一份及开标一览表一份，并标注供应商全称、项目名称、项目</w:t>
      </w:r>
      <w:r>
        <w:rPr>
          <w:rFonts w:hint="eastAsia" w:ascii="宋体" w:hAnsi="宋体" w:eastAsia="宋体" w:cs="宋体"/>
          <w:color w:val="auto"/>
          <w:spacing w:val="4"/>
          <w:sz w:val="24"/>
          <w:szCs w:val="24"/>
          <w:highlight w:val="none"/>
          <w:lang w:eastAsia="zh-CN"/>
        </w:rPr>
        <w:t>编号、包号</w:t>
      </w:r>
      <w:r>
        <w:rPr>
          <w:rFonts w:hint="eastAsia" w:ascii="宋体" w:hAnsi="宋体" w:eastAsia="宋体" w:cs="宋体"/>
          <w:color w:val="auto"/>
          <w:spacing w:val="4"/>
          <w:sz w:val="24"/>
          <w:szCs w:val="24"/>
          <w:highlight w:val="none"/>
        </w:rPr>
        <w:t>，与投标文件同时递交。</w:t>
      </w:r>
      <w:r>
        <w:rPr>
          <w:rFonts w:hint="eastAsia" w:ascii="宋体" w:hAnsi="宋体" w:eastAsia="宋体" w:cs="宋体"/>
          <w:b/>
          <w:bCs/>
          <w:color w:val="auto"/>
          <w:spacing w:val="4"/>
          <w:sz w:val="24"/>
          <w:szCs w:val="24"/>
          <w:highlight w:val="none"/>
        </w:rPr>
        <w:t>投标文件</w:t>
      </w:r>
      <w:r>
        <w:rPr>
          <w:rFonts w:hint="eastAsia" w:ascii="宋体" w:hAnsi="宋体" w:eastAsia="宋体" w:cs="宋体"/>
          <w:b/>
          <w:bCs/>
          <w:color w:val="auto"/>
          <w:sz w:val="24"/>
          <w:szCs w:val="24"/>
          <w:highlight w:val="none"/>
        </w:rPr>
        <w:t>电子版为正本签字盖章后的PDF格式扫描件，与正本具有同等法律效力。</w:t>
      </w:r>
    </w:p>
    <w:p w14:paraId="3B89449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投标文件的正本和副本均需打印或用不褪色、不变质的墨水书写，并由供应商的法定代表人或负责人或其授权代表在规定签章处签字和盖章（招标文件要求投标文件中法定代表人或负责人签字处由法定代表人或负责人签署，要求授权代表签字处由授权代表签署）。投标文件副本可采用正本的复印件。</w:t>
      </w:r>
    </w:p>
    <w:p w14:paraId="6C79C07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16.3任何行间插字、涂改和增删，必须由供应商的法定代表人或负责人或其授权代表在旁边签字方有效。</w:t>
      </w:r>
    </w:p>
    <w:p w14:paraId="30EE499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16.4供应商名称应填写全称，投标文件正本</w:t>
      </w:r>
      <w:r>
        <w:rPr>
          <w:rFonts w:hint="eastAsia" w:ascii="宋体" w:hAnsi="宋体" w:eastAsia="宋体" w:cs="宋体"/>
          <w:color w:val="auto"/>
          <w:sz w:val="24"/>
          <w:szCs w:val="24"/>
          <w:highlight w:val="none"/>
          <w:lang w:eastAsia="zh-CN"/>
        </w:rPr>
        <w:t>要求盖章部分</w:t>
      </w:r>
      <w:r>
        <w:rPr>
          <w:rFonts w:hint="eastAsia" w:ascii="宋体" w:hAnsi="宋体" w:eastAsia="宋体" w:cs="宋体"/>
          <w:color w:val="auto"/>
          <w:sz w:val="24"/>
          <w:szCs w:val="24"/>
          <w:highlight w:val="none"/>
        </w:rPr>
        <w:t>必须加盖供应商</w:t>
      </w:r>
      <w:r>
        <w:rPr>
          <w:rFonts w:hint="eastAsia" w:ascii="宋体" w:hAnsi="宋体" w:eastAsia="宋体" w:cs="宋体"/>
          <w:color w:val="auto"/>
          <w:sz w:val="24"/>
          <w:szCs w:val="24"/>
          <w:highlight w:val="none"/>
          <w:lang w:eastAsia="zh-CN"/>
        </w:rPr>
        <w:t>鲜章。</w:t>
      </w:r>
    </w:p>
    <w:p w14:paraId="7DE3979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投标文件正本和副本按照招标文件第六章规定的顺序编排、并应</w:t>
      </w:r>
      <w:r>
        <w:rPr>
          <w:rFonts w:hint="eastAsia" w:ascii="宋体" w:hAnsi="宋体" w:eastAsia="宋体" w:cs="宋体"/>
          <w:color w:val="auto"/>
          <w:sz w:val="24"/>
          <w:szCs w:val="24"/>
          <w:highlight w:val="none"/>
          <w:lang w:val="zh-CN"/>
        </w:rPr>
        <w:t>编制目录，</w:t>
      </w:r>
      <w:r>
        <w:rPr>
          <w:rFonts w:hint="eastAsia" w:ascii="宋体" w:hAnsi="宋体" w:eastAsia="宋体" w:cs="宋体"/>
          <w:color w:val="auto"/>
          <w:sz w:val="24"/>
          <w:szCs w:val="24"/>
          <w:highlight w:val="none"/>
        </w:rPr>
        <w:t>逐页标注连续页码，并分别</w:t>
      </w:r>
      <w:r>
        <w:rPr>
          <w:rFonts w:hint="eastAsia" w:ascii="宋体" w:hAnsi="宋体" w:eastAsia="宋体" w:cs="宋体"/>
          <w:color w:val="auto"/>
          <w:sz w:val="24"/>
          <w:szCs w:val="24"/>
          <w:highlight w:val="none"/>
          <w:lang w:val="zh-CN"/>
        </w:rPr>
        <w:t>胶装成册</w:t>
      </w:r>
      <w:r>
        <w:rPr>
          <w:rFonts w:hint="eastAsia" w:ascii="宋体" w:hAnsi="宋体" w:eastAsia="宋体" w:cs="宋体"/>
          <w:color w:val="auto"/>
          <w:sz w:val="24"/>
          <w:szCs w:val="24"/>
          <w:highlight w:val="none"/>
        </w:rPr>
        <w:t>。</w:t>
      </w:r>
    </w:p>
    <w:p w14:paraId="317EFE9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16.6因字迹潦草、表述不清或不按招标文件格式编制的投标文件，所引起的对供应商不利的后果，由供应商自行负责。</w:t>
      </w:r>
    </w:p>
    <w:p w14:paraId="10D610A3">
      <w:pPr>
        <w:tabs>
          <w:tab w:val="left" w:pos="1080"/>
        </w:tabs>
        <w:spacing w:line="500" w:lineRule="exact"/>
        <w:ind w:firstLine="460" w:firstLineChars="1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16.7投标文件的副本、电子版须和正本保持一致。若正本、副本和电子版有不一致的内容，以正本为准。</w:t>
      </w:r>
    </w:p>
    <w:p w14:paraId="40D88C36">
      <w:pPr>
        <w:spacing w:before="333" w:beforeLines="100" w:after="333" w:afterLines="100" w:line="500" w:lineRule="exact"/>
        <w:jc w:val="center"/>
        <w:rPr>
          <w:rFonts w:hint="eastAsia" w:ascii="宋体" w:hAnsi="宋体" w:eastAsia="宋体" w:cs="宋体"/>
          <w:b/>
          <w:color w:val="auto"/>
          <w:sz w:val="24"/>
          <w:szCs w:val="24"/>
          <w:highlight w:val="none"/>
        </w:rPr>
      </w:pPr>
      <w:bookmarkStart w:id="48" w:name="_Toc403077642"/>
      <w:bookmarkStart w:id="49" w:name="_Toc363474020"/>
      <w:bookmarkStart w:id="50" w:name="_Toc363473975"/>
      <w:r>
        <w:rPr>
          <w:rFonts w:hint="eastAsia" w:ascii="宋体" w:hAnsi="宋体" w:eastAsia="宋体" w:cs="宋体"/>
          <w:b/>
          <w:color w:val="auto"/>
          <w:sz w:val="24"/>
          <w:szCs w:val="24"/>
          <w:highlight w:val="none"/>
        </w:rPr>
        <w:t>四.投标文件的递交</w:t>
      </w:r>
      <w:bookmarkEnd w:id="48"/>
      <w:bookmarkEnd w:id="49"/>
      <w:bookmarkEnd w:id="50"/>
    </w:p>
    <w:p w14:paraId="32BECD92">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17.投标文件的密封和标记</w:t>
      </w:r>
    </w:p>
    <w:p w14:paraId="3DA642F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17.1为方便开标唱标，开标一览表除投标文件内装订外，再制作一份密封在</w:t>
      </w:r>
      <w:r>
        <w:rPr>
          <w:rFonts w:hint="eastAsia" w:hAnsi="宋体" w:cs="宋体"/>
          <w:color w:val="auto"/>
          <w:sz w:val="24"/>
          <w:szCs w:val="24"/>
          <w:highlight w:val="none"/>
          <w:lang w:val="en-US" w:eastAsia="zh-CN"/>
        </w:rPr>
        <w:t>正本、开标一览表、电子版的</w:t>
      </w:r>
      <w:r>
        <w:rPr>
          <w:rFonts w:hint="eastAsia" w:ascii="宋体" w:hAnsi="宋体" w:eastAsia="宋体" w:cs="宋体"/>
          <w:color w:val="auto"/>
          <w:sz w:val="24"/>
          <w:szCs w:val="24"/>
          <w:highlight w:val="none"/>
        </w:rPr>
        <w:t>封袋中。封线处加贴封条并加盖供应商公章，封袋正面要粘贴标识，单独递交（该单独密封开标一览表的投标报价必须与投标文件正本中的开标一览表（报价表）的投标报价一致，若不一致，则按单独密封的开标一览表为准。</w:t>
      </w:r>
    </w:p>
    <w:p w14:paraId="7BD859D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17.2正本的份数：壹份；副本的份数：贰份；开标一览表：壹份；电子版（U盘）投标文件电子版（word版及签字盖章后的扫描件PDF版)：壹份（需在盘面上标注供应商全称、项目名称、编号）。投标文件双面打印。</w:t>
      </w:r>
    </w:p>
    <w:p w14:paraId="58D9FED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封共2个封袋，投标文件正本、电子版本、报价一览表密封装在一个封袋中（封袋不得有破损），所有的副本密封装在一个封袋中（封袋不得有破损）且在封袋正面标明“正本、电子版本、报价一览表”或“副本”字样。封袋应加贴封条，并在封线处加盖供应商公章，封袋正面要粘贴供应商全称、项目名称、编号等标识。</w:t>
      </w:r>
    </w:p>
    <w:p w14:paraId="438BB30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17.3外层包装请按以下要求标记：</w:t>
      </w:r>
    </w:p>
    <w:p w14:paraId="1FDEF6E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投标单位的全称；</w:t>
      </w:r>
    </w:p>
    <w:p w14:paraId="358A27B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项目名称、项目编号；</w:t>
      </w:r>
    </w:p>
    <w:p w14:paraId="7FBEB81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投标人全称（加盖公章）；</w:t>
      </w:r>
    </w:p>
    <w:p w14:paraId="73F453A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项目名称、项目编号、包号；</w:t>
      </w:r>
    </w:p>
    <w:p w14:paraId="6CA4B6D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3）正本、电子版、报价一览表或副本“请勿在＿＿＿＿(开标时间)之前启封”。</w:t>
      </w:r>
    </w:p>
    <w:p w14:paraId="09938B2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17.4如果供应商未对投标文件按上述要求进行完好密封，由此产生的不利后果由供应商自行承担。</w:t>
      </w:r>
    </w:p>
    <w:p w14:paraId="21F37D44">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18．投标文件的递交</w:t>
      </w:r>
    </w:p>
    <w:p w14:paraId="3AC7385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18.1供应商应按照招标公告中规定的时间、地点，在规定的投标文件递交截止时间前将全部投标文件和投标资料递交至采购代理机构投标文件接收人。</w:t>
      </w:r>
    </w:p>
    <w:p w14:paraId="6F70408E">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18.2采购代理机构在招标文件规定的投标文件递交截止时间前，只负责投标文件的接收、清点、造册登记工作，并请递交人签字确认，对其有效性不负任何责任</w:t>
      </w:r>
      <w:r>
        <w:rPr>
          <w:rFonts w:hint="eastAsia" w:ascii="宋体" w:hAnsi="宋体" w:eastAsia="宋体" w:cs="宋体"/>
          <w:color w:val="auto"/>
          <w:sz w:val="24"/>
          <w:szCs w:val="24"/>
          <w:highlight w:val="none"/>
          <w:lang w:eastAsia="zh-CN"/>
        </w:rPr>
        <w:t>。</w:t>
      </w:r>
    </w:p>
    <w:p w14:paraId="4E276EC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18.3采购代理机构收到投标文件后，向供应商出具签收回执。</w:t>
      </w:r>
    </w:p>
    <w:p w14:paraId="1F770708">
      <w:pPr>
        <w:spacing w:line="500" w:lineRule="exact"/>
        <w:ind w:firstLine="480"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18.4无论供应商中标与否，其投标文件恕不退还。</w:t>
      </w:r>
    </w:p>
    <w:p w14:paraId="72E4AD63">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19．迟交的投标文件</w:t>
      </w:r>
    </w:p>
    <w:p w14:paraId="7FE51C3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19.1按照招标文件的规定，在递交投标文件的截止时间之后送达的投标文件，为无效投标文件，采购代理机构将拒绝接收。</w:t>
      </w:r>
    </w:p>
    <w:p w14:paraId="03DA8A04">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20．投标的修改与撤回</w:t>
      </w:r>
    </w:p>
    <w:p w14:paraId="212FF27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供应商在递交投标文件后，可以修改或撤回其投标文件，也可以提出价格变动声明，但供应商必须在规定的投标文件递交截止时间之前将修改或撤回或变动价格的书面通知文件递交到采购代理机构。</w:t>
      </w:r>
    </w:p>
    <w:p w14:paraId="411E1D0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供应商的修改或撤回或变动价格的通知应按本须知第17条的规定编制、密封、标记和递交。</w:t>
      </w:r>
    </w:p>
    <w:p w14:paraId="7FDF1AF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在投标文件递交截止时间之后，供应商不得对其投标做任何修改或撤回。</w:t>
      </w:r>
    </w:p>
    <w:p w14:paraId="150863CE">
      <w:pPr>
        <w:spacing w:line="500" w:lineRule="exact"/>
        <w:rPr>
          <w:rFonts w:hint="eastAsia" w:ascii="宋体" w:hAnsi="宋体" w:eastAsia="宋体" w:cs="宋体"/>
          <w:color w:val="auto"/>
          <w:sz w:val="24"/>
          <w:szCs w:val="24"/>
          <w:highlight w:val="none"/>
        </w:rPr>
      </w:pPr>
    </w:p>
    <w:p w14:paraId="11615A7F">
      <w:pPr>
        <w:spacing w:line="500" w:lineRule="exact"/>
        <w:jc w:val="center"/>
        <w:rPr>
          <w:rFonts w:hint="eastAsia" w:ascii="宋体" w:hAnsi="宋体" w:eastAsia="宋体" w:cs="宋体"/>
          <w:b/>
          <w:color w:val="auto"/>
          <w:sz w:val="24"/>
          <w:szCs w:val="24"/>
          <w:highlight w:val="none"/>
        </w:rPr>
      </w:pPr>
      <w:bookmarkStart w:id="51" w:name="_Toc363473976"/>
      <w:bookmarkStart w:id="52" w:name="_Toc403077643"/>
      <w:bookmarkStart w:id="53" w:name="_Toc363474021"/>
      <w:r>
        <w:rPr>
          <w:rFonts w:hint="eastAsia" w:ascii="宋体" w:hAnsi="宋体" w:eastAsia="宋体" w:cs="宋体"/>
          <w:b/>
          <w:color w:val="auto"/>
          <w:sz w:val="24"/>
          <w:szCs w:val="24"/>
          <w:highlight w:val="none"/>
        </w:rPr>
        <w:t>五.开标与评标</w:t>
      </w:r>
      <w:bookmarkEnd w:id="51"/>
      <w:bookmarkEnd w:id="52"/>
      <w:bookmarkEnd w:id="53"/>
    </w:p>
    <w:p w14:paraId="7B973769">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21.开标</w:t>
      </w:r>
    </w:p>
    <w:p w14:paraId="1EE7689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采购代理机构在规定的时间和地点组织公开开标。开标时所有供应商代表自愿参加，参加开标的代表应签名报到以证明其出席。</w:t>
      </w:r>
    </w:p>
    <w:p w14:paraId="6C10B73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开标时，由监标人和供应商或者其推选的代表检查投标文件的密封情况。检查完毕后，采购代理机构当众宣读供应商名称、投标价格、价格折扣、修改或撤回或变动价格的书面通知（如果有），以及采购代理机构认为合适的其他内容。未在开标时宣读的投标价格和价格折扣，评标时不予承认。</w:t>
      </w:r>
    </w:p>
    <w:p w14:paraId="1491DB2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21.3只有在开标时唱出的价格和价格变动声明，评标时才能考虑。</w:t>
      </w:r>
    </w:p>
    <w:p w14:paraId="480356D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21.4在开标时没有启封和宣读的投标文件将原封退回给供应商。</w:t>
      </w:r>
    </w:p>
    <w:p w14:paraId="0180C13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采购代理机构将做开标记录，存档备查。</w:t>
      </w:r>
    </w:p>
    <w:p w14:paraId="69810EA3">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22．评标组织及评标原则</w:t>
      </w:r>
    </w:p>
    <w:p w14:paraId="7927331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按照《中华人民共和国政府采购法》、中华人民共和国2015年第658号国务院令--《中华人民共和国政府采购法实施条例》和中华人民共和国财政部2017年第87号部长令--《政府采购服务和服务招标投标管理办法》的规定，依法组建评标委员会。评标委员会按照招标文件规定的评标方法独立进行评标工作。</w:t>
      </w:r>
    </w:p>
    <w:p w14:paraId="4002D90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评标委员会负责具体评标事务，并独立履行下列职责：</w:t>
      </w:r>
    </w:p>
    <w:p w14:paraId="3CFECB2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（1）审查、评价投标文件是否符合招标文件的商务、技术、服务等实质性要求；</w:t>
      </w:r>
    </w:p>
    <w:p w14:paraId="6072667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（2）要求供应商对投标文件有关事项作出澄清或者说明；</w:t>
      </w:r>
    </w:p>
    <w:p w14:paraId="4C6F269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（3）对投标文件进行比较和评价；</w:t>
      </w:r>
    </w:p>
    <w:p w14:paraId="0F97884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（4）确定中标候选人名单，以及根据采购人委托直接确定中标人；</w:t>
      </w:r>
    </w:p>
    <w:p w14:paraId="5EF2934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（5）向采购人、采购代理机构或者有关部门报告评标中发现的违法行为。</w:t>
      </w:r>
    </w:p>
    <w:p w14:paraId="7CFD53F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采购代理机构负责组织评标工作并履行下列职责：</w:t>
      </w:r>
    </w:p>
    <w:p w14:paraId="4091E45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（1）核对评审专家身份和采购人代表授权函，对评审专家在政府采购活动中的职责履行情况予以记录，并及时将有关违法违规行为向财政部门报告；</w:t>
      </w:r>
    </w:p>
    <w:p w14:paraId="569EF11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（2）宣布评标纪律；</w:t>
      </w:r>
    </w:p>
    <w:p w14:paraId="02FB534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（3）公布供应商名单，告知评标专家应当回避的情形；</w:t>
      </w:r>
    </w:p>
    <w:p w14:paraId="7376078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（4）组织评标委员会推选评标组长，采购人代表不得担任组长；</w:t>
      </w:r>
    </w:p>
    <w:p w14:paraId="680E283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（5）在评标期间采取必要的通讯管理措施，保证评标活动不受外界干扰；</w:t>
      </w:r>
    </w:p>
    <w:p w14:paraId="74AEE74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（6）根据评标委员会的要求介绍政府采购相关政策法规、招标文件；</w:t>
      </w:r>
    </w:p>
    <w:p w14:paraId="087565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（7）维护评标秩序，监督评标委员会依照评标文件规定的评审程序、方法和标准进行独立评审，及时制止和纠正采购人代表、评审专家的倾向性言论或违法违规行为； </w:t>
      </w:r>
    </w:p>
    <w:p w14:paraId="1C6F47F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（8）核对评标结果，有《政府采购货物和服务招标投标管理办法》第六十四条规定情形的，要求评标委员会复核或书面说明理由，评标委员会拒绝的，应予记录并向本级财政部门报告；</w:t>
      </w:r>
    </w:p>
    <w:p w14:paraId="555423D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（9）评审工作完成后，按照规定向评审专家支付劳务报酬和异地评审差旅费；</w:t>
      </w:r>
    </w:p>
    <w:p w14:paraId="003348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（10）处理与评标有关的其他事项。</w:t>
      </w:r>
    </w:p>
    <w:p w14:paraId="3C1DF54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22.4招标文件和投标文件是评标的依据。在评标中，不得改变招标文件中规定的评标标准、方法和中标条件。供应商不得在开标后使用任何方式对投标文件的实质性内容做任何更改。</w:t>
      </w:r>
    </w:p>
    <w:p w14:paraId="65234F5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在评标期间，对投标文件中含义不明确、同类问题表述不一致或者有明显文字和计算错误的内容，评标委员会可以书面形式（由评标委员会专家签字）要求供应商作出必要的澄清、说明或者纠正。供应商的澄清、说明或者补正应当采用书面形式，由其授权的代表签字，并不得超出投标文件的范围或者改变投标文件的实质性内容。</w:t>
      </w:r>
    </w:p>
    <w:p w14:paraId="212DB5B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22.6如果供应商在澄清规定期限内，未能答复或拒绝答复评委会提出的澄清要求，将由评委会根据其投标文件按最大风险进行评标。</w:t>
      </w:r>
    </w:p>
    <w:p w14:paraId="2615F05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22.7投标文件的初审（含资格性、符合性审查）</w:t>
      </w:r>
    </w:p>
    <w:p w14:paraId="30A2322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22.7.1采购人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采购代理机构将审查资格证明文件是否合格齐全，评标委员会审查投标文件是否完整、有效、响应等。</w:t>
      </w:r>
    </w:p>
    <w:p w14:paraId="2212C76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22.7.2投标文件报价出现前后不一致的，按照下列规定修正：</w:t>
      </w:r>
    </w:p>
    <w:p w14:paraId="2D75A02C">
      <w:pPr>
        <w:numPr>
          <w:ilvl w:val="0"/>
          <w:numId w:val="5"/>
        </w:num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开标一览表(报价表)内容与投标文件中相应内容不一致的，以开标一览表(报价表)为准；如果单独密封的开标一览表(报价表)与投标文件正本的开标一览表(报价表)不一致，以单独密封的开标一览表(报价表)为准</w:t>
      </w:r>
      <w:r>
        <w:rPr>
          <w:rFonts w:hint="eastAsia" w:ascii="宋体" w:hAnsi="宋体" w:eastAsia="宋体" w:cs="宋体"/>
          <w:color w:val="auto"/>
          <w:sz w:val="24"/>
          <w:szCs w:val="24"/>
          <w:highlight w:val="none"/>
          <w:lang w:eastAsia="zh-CN"/>
        </w:rPr>
        <w:t>；</w:t>
      </w:r>
    </w:p>
    <w:p w14:paraId="7FB1FB8B">
      <w:pPr>
        <w:numPr>
          <w:ilvl w:val="0"/>
          <w:numId w:val="5"/>
        </w:num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投标文件的大写金额和小写金额不一致的，以大写金额为准；</w:t>
      </w:r>
    </w:p>
    <w:p w14:paraId="4DE7AE4C">
      <w:pPr>
        <w:numPr>
          <w:ilvl w:val="0"/>
          <w:numId w:val="5"/>
        </w:num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单价金额小数点或者百分比有明显错位的，以单独密封的开标一览表的总价为准，并修改单价；</w:t>
      </w:r>
    </w:p>
    <w:p w14:paraId="26EA2631">
      <w:pPr>
        <w:numPr>
          <w:ilvl w:val="0"/>
          <w:numId w:val="5"/>
        </w:num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总价金额与按单价汇总金额不一致的，以单价金额计算结果为准。</w:t>
      </w:r>
    </w:p>
    <w:p w14:paraId="20D33BE2">
      <w:pPr>
        <w:widowControl/>
        <w:autoSpaceDE w:val="0"/>
        <w:autoSpaceDN w:val="0"/>
        <w:spacing w:line="500" w:lineRule="exact"/>
        <w:ind w:right="51" w:firstLine="482" w:firstLineChars="200"/>
        <w:textAlignment w:val="bottom"/>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按上述修正的顺序和方法调整的投标报价应对供应商具有约束力。如果供应商不接受修正后的价格，其投标将按无效投标处理。</w:t>
      </w:r>
    </w:p>
    <w:p w14:paraId="4266405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22.7.3在详细评标之前，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0693BBC4">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22.7.4实质上没有响应招标文件要求的投标将按无效投标处理。供应商不得通过修正或撤销不合要求的偏离从而使其投标成为实质性响应的投标。如发现下列情况之一的，其投标将构成非实质性响应，按无效投标处理：</w:t>
      </w:r>
    </w:p>
    <w:p w14:paraId="3B5CD2DF">
      <w:pPr>
        <w:tabs>
          <w:tab w:val="left" w:pos="126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1）没有按照招标文件要求提供投标文件或投标文件构成有重大缺项；</w:t>
      </w:r>
    </w:p>
    <w:p w14:paraId="7AF4F9B5">
      <w:pPr>
        <w:kinsoku w:val="0"/>
        <w:spacing w:line="500" w:lineRule="exact"/>
        <w:ind w:firstLine="480"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2）投标</w:t>
      </w:r>
      <w:r>
        <w:rPr>
          <w:rFonts w:hint="eastAsia" w:ascii="宋体" w:hAnsi="宋体" w:eastAsia="宋体" w:cs="宋体"/>
          <w:color w:val="auto"/>
          <w:spacing w:val="-6"/>
          <w:sz w:val="24"/>
          <w:szCs w:val="24"/>
          <w:highlight w:val="none"/>
        </w:rPr>
        <w:t>文件</w:t>
      </w:r>
      <w:r>
        <w:rPr>
          <w:rFonts w:hint="eastAsia" w:ascii="宋体" w:hAnsi="宋体" w:eastAsia="宋体" w:cs="宋体"/>
          <w:color w:val="auto"/>
          <w:sz w:val="24"/>
          <w:szCs w:val="24"/>
          <w:highlight w:val="none"/>
        </w:rPr>
        <w:t>未按招标文件要求签署、盖章的；</w:t>
      </w:r>
    </w:p>
    <w:p w14:paraId="7AC44629">
      <w:pPr>
        <w:tabs>
          <w:tab w:val="left" w:pos="126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3）供应商未按招标文件要求提交投标保证金或保函的；</w:t>
      </w:r>
    </w:p>
    <w:p w14:paraId="15FF938E">
      <w:pPr>
        <w:tabs>
          <w:tab w:val="left" w:pos="126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4）不具备招标文件中规定的资格要求的；</w:t>
      </w:r>
    </w:p>
    <w:p w14:paraId="2032FC1C">
      <w:pPr>
        <w:tabs>
          <w:tab w:val="left" w:pos="126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pacing w:val="-6"/>
          <w:sz w:val="24"/>
          <w:szCs w:val="24"/>
          <w:highlight w:val="none"/>
        </w:rPr>
        <w:t>无投标</w:t>
      </w:r>
      <w:r>
        <w:rPr>
          <w:rFonts w:hint="eastAsia" w:ascii="宋体" w:hAnsi="宋体" w:eastAsia="宋体" w:cs="宋体"/>
          <w:color w:val="auto"/>
          <w:sz w:val="24"/>
          <w:szCs w:val="24"/>
          <w:highlight w:val="none"/>
        </w:rPr>
        <w:t>有效期</w:t>
      </w:r>
      <w:r>
        <w:rPr>
          <w:rFonts w:hint="eastAsia" w:ascii="宋体" w:hAnsi="宋体" w:eastAsia="宋体" w:cs="宋体"/>
          <w:color w:val="auto"/>
          <w:spacing w:val="-6"/>
          <w:sz w:val="24"/>
          <w:szCs w:val="24"/>
          <w:highlight w:val="none"/>
        </w:rPr>
        <w:t>或有效期达不到招标文件要求的</w:t>
      </w:r>
      <w:r>
        <w:rPr>
          <w:rFonts w:hint="eastAsia" w:ascii="宋体" w:hAnsi="宋体" w:eastAsia="宋体" w:cs="宋体"/>
          <w:color w:val="auto"/>
          <w:sz w:val="24"/>
          <w:szCs w:val="24"/>
          <w:highlight w:val="none"/>
        </w:rPr>
        <w:t>；</w:t>
      </w:r>
    </w:p>
    <w:p w14:paraId="7847A23C">
      <w:pPr>
        <w:tabs>
          <w:tab w:val="left" w:pos="126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6）存在有重大缺漏项和重大技术偏离的投标货物（产品）；</w:t>
      </w:r>
    </w:p>
    <w:p w14:paraId="1E49661A">
      <w:pPr>
        <w:tabs>
          <w:tab w:val="left" w:pos="1260"/>
        </w:tabs>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7）供应商有串通投标、以他人名义投标、弄虚作假、行贿等违法行为的；</w:t>
      </w:r>
    </w:p>
    <w:p w14:paraId="24DA480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8）投标总报价超过招标文件公布的采购预算或者最高限价的；</w:t>
      </w:r>
    </w:p>
    <w:p w14:paraId="6FDB9329">
      <w:pPr>
        <w:pStyle w:val="17"/>
        <w:spacing w:before="0" w:beforeAutospacing="0" w:after="0" w:afterAutospacing="0" w:line="50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9）投标文件含有采购人不能接受的附加条件的；</w:t>
      </w:r>
    </w:p>
    <w:p w14:paraId="5BF1D405">
      <w:pPr>
        <w:pStyle w:val="17"/>
        <w:spacing w:before="0" w:beforeAutospacing="0" w:after="0" w:afterAutospacing="0" w:line="50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10）供应商被列入失信被执行人、重大税收违法案件当事人名单、政府采购严重违法失信行为记录名单的；</w:t>
      </w:r>
    </w:p>
    <w:p w14:paraId="3E93077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11）法律、法规规定的其他无效情形。</w:t>
      </w:r>
    </w:p>
    <w:p w14:paraId="4B60365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22.8投标文件的详细评审</w:t>
      </w:r>
    </w:p>
    <w:p w14:paraId="4A912C3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22.8.1评标委员会将按照本须知第22.5.4条规定，只对确定为实质性响应招标文件要求的投标进行详细评审。</w:t>
      </w:r>
    </w:p>
    <w:p w14:paraId="489963D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22.8.2详细评审按照第五章“评标方法”的评标方法进行。</w:t>
      </w:r>
    </w:p>
    <w:p w14:paraId="2E5E042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22.9中标候选人的确定</w:t>
      </w:r>
    </w:p>
    <w:p w14:paraId="60726E0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评标委员会完成评标后，向采购人提出书面评标报告，并推荐三名中标候选人，标明排列顺序。</w:t>
      </w:r>
    </w:p>
    <w:p w14:paraId="0591F278">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23．评标过程的保密</w:t>
      </w:r>
    </w:p>
    <w:p w14:paraId="752F555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23.1评标委员会成员和与评标活动有关的工作人员不得泄露有关投标文件的评审和比较、中标候选人的推荐以及与评标有关的其他情况。</w:t>
      </w:r>
    </w:p>
    <w:p w14:paraId="6D2A3E1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23.2在评标过程中，如果供应商试图在投标文件的评审和比较、中标候选人的推荐以及与评标有关的其他方面，向评标人、采购人和采购代理机构施加任何影响，其投标应做无效投标处理。</w:t>
      </w:r>
    </w:p>
    <w:p w14:paraId="00369832">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24．评标方法</w:t>
      </w:r>
    </w:p>
    <w:p w14:paraId="79207E4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24.1按照中华人民共和国财政部令第87号--《政府采购货物和服务招标投标管理办法》的规定，本次评标采用以下评标方法中的一种：具体见“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w:t>
      </w:r>
    </w:p>
    <w:p w14:paraId="577E671F">
      <w:pPr>
        <w:pStyle w:val="17"/>
        <w:spacing w:before="0" w:beforeAutospacing="0" w:after="0" w:afterAutospacing="0" w:line="50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1）最低评标价法，即在全部满足招标文件实质性要求前提下，且投标报价最低的供应商为中标候选人的评标方法。</w:t>
      </w:r>
    </w:p>
    <w:p w14:paraId="43E95C6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综合评分法，即在最大限度地满足招标文件实质性要求前提下，按照招标文件中规定的各项因素（包括投标报价、技术或者服务水平、履约能力、对招标文件的响应程度等）和相应的权重分值进行综合评审后，以总得分最高的供应商作为中标候选人并依次排序。</w:t>
      </w:r>
    </w:p>
    <w:p w14:paraId="0D418252">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25．评标程序</w:t>
      </w:r>
    </w:p>
    <w:p w14:paraId="0D4A44E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按照投标文件初审、澄清有关问题、比较与评价、推荐中标候选人名单的工作程序进行评标。在上一步评审中供应商被认定无效投标者，不进入下一步的评审。</w:t>
      </w:r>
    </w:p>
    <w:p w14:paraId="0F16B871">
      <w:pPr>
        <w:spacing w:line="500" w:lineRule="exact"/>
        <w:jc w:val="center"/>
        <w:rPr>
          <w:rFonts w:hint="eastAsia" w:ascii="宋体" w:hAnsi="宋体" w:eastAsia="宋体" w:cs="宋体"/>
          <w:b/>
          <w:color w:val="auto"/>
          <w:sz w:val="24"/>
          <w:szCs w:val="24"/>
          <w:highlight w:val="none"/>
        </w:rPr>
      </w:pPr>
      <w:bookmarkStart w:id="54" w:name="_Toc363473977"/>
      <w:bookmarkStart w:id="55" w:name="_Toc363474022"/>
      <w:bookmarkStart w:id="56" w:name="_Toc403077644"/>
      <w:r>
        <w:rPr>
          <w:rFonts w:hint="eastAsia" w:ascii="宋体" w:hAnsi="宋体" w:eastAsia="宋体" w:cs="宋体"/>
          <w:b/>
          <w:color w:val="auto"/>
          <w:sz w:val="24"/>
          <w:szCs w:val="24"/>
          <w:highlight w:val="none"/>
        </w:rPr>
        <w:t>六.定标、中标通知与签约</w:t>
      </w:r>
      <w:bookmarkEnd w:id="54"/>
      <w:bookmarkEnd w:id="55"/>
      <w:bookmarkEnd w:id="56"/>
    </w:p>
    <w:p w14:paraId="09E78A3D">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26．定标程序</w:t>
      </w:r>
    </w:p>
    <w:p w14:paraId="7A8ECD3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26.1评标委员会根据评标方法的规定对供应商进行评审排序，推荐3名中标候选人，作为评标结果。评标结果由评标委员会成员签字确认。</w:t>
      </w:r>
    </w:p>
    <w:p w14:paraId="7633B26F">
      <w:pPr>
        <w:spacing w:line="500" w:lineRule="exact"/>
        <w:ind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26.2采购代理机构在评标结束后2个工作日内将评标报告送采购人。采购人应当在收到评标报告后5个工作日内，按照评标报告中推荐的中标候选人顺序和有关规定确定中标人。</w:t>
      </w:r>
    </w:p>
    <w:p w14:paraId="7E4DD17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确定的中标候选人放弃中标、在规定期限内未能签订合同、因不可抗力不能履行合同，或者被查实存在影响中标结果的违法行为等情形，不符合中标条件的，采购人可以按照评标委员会提出的中标候选人名单排序依次确定其他中标候选人为中标人，也可以重新招标。</w:t>
      </w:r>
    </w:p>
    <w:p w14:paraId="1AF55A2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26.4采购人也可以授权评标委员会评标后直接确定中标人。</w:t>
      </w:r>
    </w:p>
    <w:p w14:paraId="7DBB68D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26.5中标人确定之后，中标结果将在财政部门指定的政府采购信息发布媒体上公告。</w:t>
      </w:r>
    </w:p>
    <w:p w14:paraId="2BF6731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26.6供应商或者其他利害关系人对评标结果有异议的，应当在法律规定的时间内提出。</w:t>
      </w:r>
    </w:p>
    <w:p w14:paraId="24C3432A">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27．中标和落标通知</w:t>
      </w:r>
    </w:p>
    <w:p w14:paraId="101119D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采购代理机构在发布中标公告后，向中标人发出《中标通知书》。</w:t>
      </w:r>
      <w:r>
        <w:rPr>
          <w:rFonts w:hint="eastAsia" w:ascii="宋体" w:hAnsi="宋体" w:eastAsia="宋体" w:cs="宋体"/>
          <w:b/>
          <w:bCs/>
          <w:color w:val="auto"/>
          <w:sz w:val="24"/>
          <w:szCs w:val="24"/>
          <w:highlight w:val="none"/>
        </w:rPr>
        <w:t>中标人领取中标通知书时须携带法定代表人或负责人授权书及加盖单位公章的被授权人身份证复印件。</w:t>
      </w:r>
    </w:p>
    <w:p w14:paraId="0E4BB6B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27.2中标通知书对采购人和中标人具有同等法律效力。中标通知书发出之后，采购人改变中标结果，或者中标人放弃中标，应当承担相应的法律责任。</w:t>
      </w:r>
    </w:p>
    <w:p w14:paraId="47EA0C4C">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28. 中标合同的签订</w:t>
      </w:r>
    </w:p>
    <w:p w14:paraId="5B8879A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采购人应当自中标通知书发出之日起三十日内，按照招标文件和中标人投标文件（包括评标中形成的澄清文件）的约定，与中标人签订书面合同。所签订的合同不得对招标文件和中标人的投标文件（包括评标中形成的澄清文件）作实质性修改。</w:t>
      </w:r>
    </w:p>
    <w:p w14:paraId="3BDFD6D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28.2采购人自采购合同签订之日起七个工作日内，将采购合同副本报同级人民政府财政部门备案。</w:t>
      </w:r>
    </w:p>
    <w:p w14:paraId="2CF8E020">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29．招标代理服务费</w:t>
      </w:r>
    </w:p>
    <w:p w14:paraId="0CC2FB9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代理服务费：以中标金额为基数，依据国家计委颁发的《招标代理服务收费管理暂行办法》（计价格〔2002〕1980号）和国家发展和改革委员会办公厅颁发的《关于招标代理服务收费有关问题的通知》（发改办价格〔2003〕857号）的有关规定执行。</w:t>
      </w:r>
    </w:p>
    <w:p w14:paraId="1B30D22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29.2本项目代理服务费由中标单位支付，中标单位应依据成交金额向招标代理机构交纳招标代理服务费。</w:t>
      </w:r>
    </w:p>
    <w:p w14:paraId="638EDDE8">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30.质疑</w:t>
      </w:r>
    </w:p>
    <w:p w14:paraId="4AE30768">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30.1供应商认为招标文件、招标过程、中标结果使自己的权益受到损害的，可以在知道或者应知其权益受到损害之日起7个工作日内，以书面形式向采购人、采购代理机构提出质疑。</w:t>
      </w:r>
    </w:p>
    <w:p w14:paraId="4CE08872">
      <w:pPr>
        <w:spacing w:line="500" w:lineRule="exact"/>
        <w:ind w:right="12" w:firstLine="480"/>
        <w:rPr>
          <w:rStyle w:val="24"/>
          <w:rFonts w:hint="eastAsia" w:ascii="宋体" w:hAnsi="宋体" w:eastAsia="宋体" w:cs="宋体"/>
          <w:bCs w:val="0"/>
          <w:color w:val="auto"/>
          <w:sz w:val="24"/>
          <w:szCs w:val="24"/>
          <w:highlight w:val="none"/>
          <w:shd w:val="clear" w:color="auto" w:fill="FFFFFF"/>
        </w:rPr>
      </w:pPr>
      <w:r>
        <w:rPr>
          <w:rFonts w:hint="eastAsia" w:ascii="宋体" w:hAnsi="宋体" w:eastAsia="宋体" w:cs="宋体"/>
          <w:color w:val="auto"/>
          <w:sz w:val="24"/>
          <w:szCs w:val="24"/>
          <w:highlight w:val="none"/>
        </w:rPr>
        <w:t>30.2供应商必须在法定质疑期内一次性提出针对同一采购程序环节的质疑。</w:t>
      </w:r>
    </w:p>
    <w:p w14:paraId="43FFC930">
      <w:pPr>
        <w:spacing w:line="500" w:lineRule="exact"/>
        <w:ind w:left="3" w:firstLine="518" w:firstLineChars="216"/>
        <w:rPr>
          <w:rStyle w:val="24"/>
          <w:rFonts w:hint="eastAsia" w:ascii="宋体" w:hAnsi="宋体" w:eastAsia="宋体" w:cs="宋体"/>
          <w:b w:val="0"/>
          <w:color w:val="auto"/>
          <w:sz w:val="24"/>
          <w:szCs w:val="24"/>
          <w:highlight w:val="none"/>
          <w:shd w:val="clear" w:color="auto" w:fill="FFFFFF"/>
        </w:rPr>
      </w:pPr>
      <w:r>
        <w:rPr>
          <w:rStyle w:val="24"/>
          <w:rFonts w:hint="eastAsia" w:ascii="宋体" w:hAnsi="宋体" w:eastAsia="宋体" w:cs="宋体"/>
          <w:b w:val="0"/>
          <w:color w:val="auto"/>
          <w:sz w:val="24"/>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或负责人、主要负责人签字或者盖章，并加盖公章。</w:t>
      </w:r>
    </w:p>
    <w:p w14:paraId="17702411">
      <w:pPr>
        <w:spacing w:line="500" w:lineRule="exact"/>
        <w:ind w:left="3" w:firstLine="518" w:firstLineChars="216"/>
        <w:rPr>
          <w:rStyle w:val="24"/>
          <w:rFonts w:hint="eastAsia" w:ascii="宋体" w:hAnsi="宋体" w:eastAsia="宋体" w:cs="宋体"/>
          <w:b w:val="0"/>
          <w:color w:val="auto"/>
          <w:sz w:val="24"/>
          <w:szCs w:val="24"/>
          <w:highlight w:val="none"/>
          <w:shd w:val="clear" w:color="auto" w:fill="FFFFFF"/>
        </w:rPr>
      </w:pPr>
      <w:r>
        <w:rPr>
          <w:rStyle w:val="24"/>
          <w:rFonts w:hint="eastAsia" w:ascii="宋体" w:hAnsi="宋体" w:eastAsia="宋体" w:cs="宋体"/>
          <w:b w:val="0"/>
          <w:color w:val="auto"/>
          <w:sz w:val="24"/>
          <w:szCs w:val="24"/>
          <w:highlight w:val="none"/>
          <w:shd w:val="clear" w:color="auto" w:fill="FFFFFF"/>
        </w:rPr>
        <w:t>30.4以联合体形式参加政府采购活动的，其质疑应当由组成联合体的所有供应商共同提出。</w:t>
      </w:r>
    </w:p>
    <w:p w14:paraId="45566C64">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30.5供应商提出质疑应当提交质疑函和必要的证明材料。质疑函应当包括下列内容：</w:t>
      </w:r>
    </w:p>
    <w:p w14:paraId="3355E620">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30.5.1供应商的姓名或者名称、地址、邮编、联系人及联系电话；</w:t>
      </w:r>
    </w:p>
    <w:p w14:paraId="101451F2">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30.5.2质疑项目的名称、</w:t>
      </w:r>
      <w:r>
        <w:rPr>
          <w:rFonts w:hint="eastAsia" w:ascii="宋体" w:hAnsi="宋体" w:eastAsia="宋体" w:cs="宋体"/>
          <w:color w:val="auto"/>
          <w:sz w:val="24"/>
          <w:szCs w:val="24"/>
          <w:highlight w:val="none"/>
          <w:lang w:eastAsia="zh-CN"/>
        </w:rPr>
        <w:t>编号</w:t>
      </w:r>
      <w:r>
        <w:rPr>
          <w:rFonts w:hint="eastAsia" w:ascii="宋体" w:hAnsi="宋体" w:eastAsia="宋体" w:cs="宋体"/>
          <w:color w:val="auto"/>
          <w:sz w:val="24"/>
          <w:szCs w:val="24"/>
          <w:highlight w:val="none"/>
        </w:rPr>
        <w:t>；</w:t>
      </w:r>
    </w:p>
    <w:p w14:paraId="419D6414">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30.5.3具体、明确的质疑事项和与质疑事项相关的请求；</w:t>
      </w:r>
    </w:p>
    <w:p w14:paraId="42D22D3E">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30.5.4事实依据；</w:t>
      </w:r>
    </w:p>
    <w:p w14:paraId="1B4B29AA">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30.5.5必要的法律依据；</w:t>
      </w:r>
    </w:p>
    <w:p w14:paraId="3925DECC">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30.5.6提出质疑的日期。</w:t>
      </w:r>
    </w:p>
    <w:p w14:paraId="0B68F51B">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30.6有下列情形之一的，属于无效质疑，采购代理机构和采购人不予受理：</w:t>
      </w:r>
    </w:p>
    <w:p w14:paraId="5C822FF3">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30.6.1质疑供应商不是参与本次政府采购项目的供应商；</w:t>
      </w:r>
    </w:p>
    <w:p w14:paraId="7A13E541">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30.6.2质疑供应商与质疑事项不存在利害关系的；</w:t>
      </w:r>
    </w:p>
    <w:p w14:paraId="3F44A494">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30.6.3未在法定期限内提出质疑的；</w:t>
      </w:r>
    </w:p>
    <w:p w14:paraId="2162C67A">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30.6.4质疑未以书面形式提出，或质疑函主要内容构成不完整的；</w:t>
      </w:r>
    </w:p>
    <w:p w14:paraId="7C9B2042">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30.6.5应当提交授权书而未提交的；</w:t>
      </w:r>
    </w:p>
    <w:p w14:paraId="2594EA0F">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30.6.6以非法手段取得证据、材料的；</w:t>
      </w:r>
    </w:p>
    <w:p w14:paraId="2852C43A">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30.6.7质疑答复后，同一质疑人就同一事项或同一采购程序环节再次提出质疑的；</w:t>
      </w:r>
    </w:p>
    <w:p w14:paraId="48713404">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30.6.8不符合法律、法规、规章和政府采购监管机构规定的其他条件的。</w:t>
      </w:r>
    </w:p>
    <w:p w14:paraId="3462905F">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30.7质疑答复</w:t>
      </w:r>
    </w:p>
    <w:p w14:paraId="2449C8AB">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30.7.1采购人或采购代理机构在收到质疑函后7个工作日内作出答复，并以书面形式通知质疑供应商和其他有关供应商。</w:t>
      </w:r>
    </w:p>
    <w:p w14:paraId="4283BF83">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30.7.2质疑供应商对采购人、采购代理机构的答复不满意，或者采购人、采购代理机构未在规定时间内作出答复的，可以在答复期满后15个工作日内向项目主管财政部门提起投诉。</w:t>
      </w:r>
    </w:p>
    <w:p w14:paraId="11340EB1">
      <w:pPr>
        <w:spacing w:line="500" w:lineRule="exact"/>
        <w:ind w:right="1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30.8.1质疑函须按财政部《质疑函范本》给定的格式进行填写，范本下载详见【财政部国库司（gks.mof.gov.cn）】网站〖首页·政府采购管理〗栏目中的《政府采购供应商质疑函范本》。《政府采购供应商质疑函范本》链接地址：</w:t>
      </w:r>
    </w:p>
    <w:p w14:paraId="24437369">
      <w:pPr>
        <w:pStyle w:val="27"/>
        <w:spacing w:line="500" w:lineRule="exact"/>
        <w:ind w:firstLine="48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http://gks.mof.gov.cn/zhengfucaigouguanli/201802/t20180201_2804589.html</w:t>
      </w:r>
    </w:p>
    <w:p w14:paraId="72DB5C4B">
      <w:pPr>
        <w:pStyle w:val="27"/>
        <w:spacing w:line="500" w:lineRule="exact"/>
        <w:ind w:firstLine="48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30.8.2接收质疑函的方式：书面形式</w:t>
      </w:r>
    </w:p>
    <w:p w14:paraId="3EB0464A">
      <w:pPr>
        <w:pStyle w:val="27"/>
        <w:spacing w:line="500" w:lineRule="exact"/>
        <w:ind w:firstLine="48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30.8.3联系部门：</w:t>
      </w:r>
      <w:r>
        <w:rPr>
          <w:rFonts w:hint="eastAsia" w:hAnsi="宋体" w:cs="宋体"/>
          <w:color w:val="auto"/>
          <w:sz w:val="24"/>
          <w:szCs w:val="24"/>
          <w:highlight w:val="none"/>
          <w:lang w:eastAsia="zh-CN"/>
        </w:rPr>
        <w:t>陕西海源广合项目管理有限公司</w:t>
      </w:r>
      <w:r>
        <w:rPr>
          <w:rFonts w:hint="eastAsia" w:ascii="宋体" w:hAnsi="宋体" w:eastAsia="宋体" w:cs="宋体"/>
          <w:color w:val="auto"/>
          <w:sz w:val="24"/>
          <w:szCs w:val="24"/>
          <w:highlight w:val="none"/>
        </w:rPr>
        <w:t>前台</w:t>
      </w:r>
    </w:p>
    <w:p w14:paraId="4CC8E255">
      <w:pPr>
        <w:pStyle w:val="27"/>
        <w:spacing w:line="500" w:lineRule="exact"/>
        <w:ind w:firstLine="48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30.8.4联系电话：18791025837</w:t>
      </w:r>
    </w:p>
    <w:p w14:paraId="01E272D4">
      <w:pPr>
        <w:pStyle w:val="27"/>
        <w:spacing w:line="500" w:lineRule="exact"/>
        <w:ind w:firstLine="48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31.8.5通讯地址：陕西省西安市阎良区国家航空高技术产业基地蓝天一路 29号西安航空创新创业园研发楼301-12</w:t>
      </w:r>
    </w:p>
    <w:p w14:paraId="68EA15CB">
      <w:pP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32.其他</w:t>
      </w:r>
    </w:p>
    <w:p w14:paraId="3D54AAF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废标的情形</w:t>
      </w:r>
    </w:p>
    <w:p w14:paraId="326AC87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32.1.1招标采购中，出现下列情形之一的，应予以废标：</w:t>
      </w:r>
    </w:p>
    <w:p w14:paraId="62ACEFF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（1）符合专业条件的供应商或者对招标文件作实质响应的供应商不足3家的；</w:t>
      </w:r>
    </w:p>
    <w:p w14:paraId="206E098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0667665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（3）供应商的报价均超过了采购预算，采购人不能支付的；</w:t>
      </w:r>
    </w:p>
    <w:p w14:paraId="59B58BC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6BB8C9D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32.1.2废标后，采购代理机构应在财政部门指定采购网上公告，并公告废标的详细理由。</w:t>
      </w:r>
    </w:p>
    <w:p w14:paraId="68EF5CE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32.2变更采购方式</w:t>
      </w:r>
    </w:p>
    <w:p w14:paraId="226EC70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32.2.1存在下列情形之一的，除采购任务取消情形外，采购人经同级财政部门同意后，可按《政府采购货物和服务招标投标管理办法》（财政部87号令）第四十三条规定的方式处理：</w:t>
      </w:r>
    </w:p>
    <w:p w14:paraId="74F91D8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（1）投标截止后参加投标的人不足3家的；</w:t>
      </w:r>
    </w:p>
    <w:p w14:paraId="417DBEE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（2）通过资格审查的供应商不足3家的；</w:t>
      </w:r>
    </w:p>
    <w:p w14:paraId="14887C4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（3）通过符合性审查的供应商不足3家的。</w:t>
      </w:r>
    </w:p>
    <w:p w14:paraId="3660CF6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32.2.2通过符合性审查的供应商只有2家时，采购人经同级财政部门同意后，可以按《政府采购非招标采购方式管理办法》（财政部第74号令）的规定与该2家供应商进行竞争性谈判采购。</w:t>
      </w:r>
    </w:p>
    <w:p w14:paraId="192CED65">
      <w:pP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 同品牌投标</w:t>
      </w:r>
    </w:p>
    <w:p w14:paraId="0A10BFF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采用最低评标价法的采购项目，提供相同品牌产品的不同投标人参加同一合同项下投标的，以其中通过资格审查、符合性审查且报价最低的参加评标；报价相同的，由采购人</w:t>
      </w:r>
      <w:r>
        <w:rPr>
          <w:rFonts w:hint="eastAsia" w:ascii="宋体" w:hAnsi="宋体" w:eastAsia="宋体" w:cs="宋体"/>
          <w:color w:val="auto"/>
          <w:sz w:val="24"/>
          <w:szCs w:val="24"/>
          <w:highlight w:val="none"/>
          <w:lang w:eastAsia="zh-CN"/>
        </w:rPr>
        <w:t>自行</w:t>
      </w:r>
      <w:r>
        <w:rPr>
          <w:rFonts w:hint="eastAsia" w:ascii="宋体" w:hAnsi="宋体" w:eastAsia="宋体" w:cs="宋体"/>
          <w:color w:val="auto"/>
          <w:sz w:val="24"/>
          <w:szCs w:val="24"/>
          <w:highlight w:val="none"/>
        </w:rPr>
        <w:t>确定一个参加评标的投标人，其他投标无效。</w:t>
      </w:r>
    </w:p>
    <w:p w14:paraId="1E53267B">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33.2</w:t>
      </w: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w:t>
      </w:r>
      <w:r>
        <w:rPr>
          <w:rFonts w:hint="eastAsia" w:ascii="宋体" w:hAnsi="宋体" w:eastAsia="宋体" w:cs="宋体"/>
          <w:color w:val="auto"/>
          <w:sz w:val="24"/>
          <w:szCs w:val="24"/>
          <w:highlight w:val="none"/>
          <w:lang w:eastAsia="zh-CN"/>
        </w:rPr>
        <w:t>自行</w:t>
      </w:r>
      <w:r>
        <w:rPr>
          <w:rFonts w:hint="eastAsia" w:ascii="宋体" w:hAnsi="宋体" w:eastAsia="宋体" w:cs="宋体"/>
          <w:color w:val="auto"/>
          <w:sz w:val="24"/>
          <w:szCs w:val="24"/>
          <w:highlight w:val="none"/>
        </w:rPr>
        <w:t>确定一个投标人获得中标人推荐资格，其他同品牌投标人不作为中标候选人。</w:t>
      </w:r>
    </w:p>
    <w:p w14:paraId="2B6404B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33.3非单一产品采购项目，在第二章投标人须知前附表中载明核心产品。多家投标人提供的核心产品品牌相同的，按前两款规定处理。</w:t>
      </w:r>
    </w:p>
    <w:p w14:paraId="501BE88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FDD2A20">
      <w:pPr>
        <w:pStyle w:val="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合同条款及格式</w:t>
      </w:r>
      <w:bookmarkEnd w:id="30"/>
      <w:bookmarkEnd w:id="31"/>
    </w:p>
    <w:p w14:paraId="16E0156F">
      <w:pPr>
        <w:pStyle w:val="3"/>
        <w:ind w:left="0" w:leftChars="0" w:firstLine="0" w:firstLineChars="0"/>
        <w:jc w:val="center"/>
        <w:rPr>
          <w:rFonts w:hint="eastAsia" w:ascii="宋体" w:hAnsi="宋体" w:eastAsia="宋体" w:cs="宋体"/>
          <w:color w:val="auto"/>
          <w:sz w:val="24"/>
          <w:szCs w:val="24"/>
          <w:highlight w:val="none"/>
        </w:rPr>
      </w:pPr>
      <w:bookmarkStart w:id="57" w:name="_Toc26935"/>
      <w:bookmarkStart w:id="58" w:name="_Toc426457695"/>
      <w:bookmarkStart w:id="59" w:name="_Toc30877"/>
      <w:bookmarkStart w:id="60" w:name="_Toc476"/>
      <w:bookmarkStart w:id="61" w:name="_Toc317530110"/>
      <w:bookmarkStart w:id="62" w:name="_Toc23856"/>
      <w:bookmarkStart w:id="63" w:name="_Toc1025"/>
      <w:bookmarkStart w:id="64" w:name="_Toc2711"/>
      <w:bookmarkStart w:id="65" w:name="_Toc4053"/>
      <w:bookmarkStart w:id="66" w:name="_Toc389582038"/>
      <w:bookmarkStart w:id="67" w:name="_Toc20481"/>
      <w:bookmarkStart w:id="68" w:name="_Toc11450"/>
      <w:r>
        <w:rPr>
          <w:rFonts w:hint="eastAsia" w:ascii="宋体" w:hAnsi="宋体" w:eastAsia="宋体" w:cs="宋体"/>
          <w:color w:val="auto"/>
          <w:sz w:val="24"/>
          <w:szCs w:val="24"/>
          <w:highlight w:val="none"/>
        </w:rPr>
        <w:t>合同条款及格式前附表</w:t>
      </w:r>
      <w:bookmarkEnd w:id="57"/>
      <w:bookmarkEnd w:id="58"/>
      <w:bookmarkEnd w:id="59"/>
      <w:bookmarkEnd w:id="60"/>
    </w:p>
    <w:p w14:paraId="39A7587A">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本表是对合同条款的具体补充和修改，如有矛盾，应以本资料表为准。</w:t>
      </w:r>
    </w:p>
    <w:tbl>
      <w:tblPr>
        <w:tblStyle w:val="21"/>
        <w:tblW w:w="941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5"/>
        <w:gridCol w:w="8546"/>
      </w:tblGrid>
      <w:tr w14:paraId="13BC91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865" w:type="dxa"/>
            <w:noWrap w:val="0"/>
            <w:vAlign w:val="center"/>
          </w:tcPr>
          <w:p w14:paraId="7E3C156B">
            <w:pPr>
              <w:spacing w:line="360" w:lineRule="auto"/>
              <w:jc w:val="center"/>
              <w:rPr>
                <w:rFonts w:hint="eastAsia" w:ascii="宋体" w:hAnsi="宋体" w:eastAsia="宋体" w:cs="宋体"/>
                <w:b/>
                <w:color w:val="auto"/>
                <w:sz w:val="24"/>
                <w:szCs w:val="24"/>
                <w:highlight w:val="none"/>
              </w:rPr>
            </w:pPr>
            <w:bookmarkStart w:id="69" w:name="_Toc15898"/>
            <w:bookmarkStart w:id="70" w:name="_Toc426457694"/>
            <w:bookmarkStart w:id="71" w:name="_Toc11810"/>
            <w:bookmarkStart w:id="72" w:name="_Toc3798"/>
            <w:bookmarkStart w:id="73" w:name="_Toc403077645"/>
            <w:r>
              <w:rPr>
                <w:rFonts w:hint="eastAsia" w:ascii="宋体" w:hAnsi="宋体" w:eastAsia="宋体" w:cs="宋体"/>
                <w:b/>
                <w:color w:val="auto"/>
                <w:sz w:val="24"/>
                <w:szCs w:val="24"/>
                <w:highlight w:val="none"/>
              </w:rPr>
              <w:t>序号</w:t>
            </w:r>
          </w:p>
        </w:tc>
        <w:tc>
          <w:tcPr>
            <w:tcW w:w="8546" w:type="dxa"/>
            <w:noWrap w:val="0"/>
            <w:vAlign w:val="center"/>
          </w:tcPr>
          <w:p w14:paraId="1F77DC8D">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      容</w:t>
            </w:r>
          </w:p>
        </w:tc>
      </w:tr>
      <w:tr w14:paraId="678A56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8" w:hRule="atLeast"/>
        </w:trPr>
        <w:tc>
          <w:tcPr>
            <w:tcW w:w="865" w:type="dxa"/>
            <w:noWrap w:val="0"/>
            <w:vAlign w:val="center"/>
          </w:tcPr>
          <w:p w14:paraId="5588F2B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46" w:type="dxa"/>
            <w:noWrap w:val="0"/>
            <w:vAlign w:val="center"/>
          </w:tcPr>
          <w:p w14:paraId="53FBE985">
            <w:pP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采购人名称：</w:t>
            </w:r>
            <w:r>
              <w:rPr>
                <w:rFonts w:hint="eastAsia" w:hAnsi="宋体" w:cs="宋体"/>
                <w:b w:val="0"/>
                <w:bCs/>
                <w:color w:val="auto"/>
                <w:sz w:val="24"/>
                <w:szCs w:val="24"/>
                <w:highlight w:val="none"/>
                <w:lang w:eastAsia="zh-CN"/>
              </w:rPr>
              <w:t>山阳县城市管理局</w:t>
            </w:r>
          </w:p>
          <w:p w14:paraId="38B0A829">
            <w:pPr>
              <w:spacing w:line="360" w:lineRule="auto"/>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地址：</w:t>
            </w:r>
            <w:r>
              <w:rPr>
                <w:rFonts w:hint="eastAsia" w:hAnsi="宋体" w:cs="宋体"/>
                <w:b w:val="0"/>
                <w:bCs/>
                <w:color w:val="auto"/>
                <w:sz w:val="24"/>
                <w:szCs w:val="24"/>
                <w:highlight w:val="none"/>
                <w:lang w:eastAsia="zh-CN"/>
              </w:rPr>
              <w:t>山阳县城关街办迎宾大道公路段楼</w:t>
            </w:r>
          </w:p>
          <w:p w14:paraId="07CBCE04">
            <w:pP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项目名称：</w:t>
            </w:r>
            <w:r>
              <w:rPr>
                <w:rFonts w:hint="eastAsia" w:hAnsi="宋体" w:cs="宋体"/>
                <w:b w:val="0"/>
                <w:bCs/>
                <w:color w:val="auto"/>
                <w:sz w:val="24"/>
                <w:szCs w:val="24"/>
                <w:highlight w:val="none"/>
                <w:lang w:eastAsia="zh-CN"/>
              </w:rPr>
              <w:t>山阳县生活垃圾压缩站及环卫配套设施更新改造项目(二期)</w:t>
            </w:r>
          </w:p>
          <w:p w14:paraId="47AAB292">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资金来源：财政资金</w:t>
            </w:r>
          </w:p>
        </w:tc>
      </w:tr>
      <w:tr w14:paraId="29DBE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33" w:hRule="atLeast"/>
        </w:trPr>
        <w:tc>
          <w:tcPr>
            <w:tcW w:w="865" w:type="dxa"/>
            <w:noWrap w:val="0"/>
            <w:vAlign w:val="center"/>
          </w:tcPr>
          <w:p w14:paraId="422CF7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546" w:type="dxa"/>
            <w:noWrap w:val="0"/>
            <w:vAlign w:val="center"/>
          </w:tcPr>
          <w:p w14:paraId="5DDD947D">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名词解释：</w:t>
            </w:r>
            <w:r>
              <w:rPr>
                <w:rFonts w:hint="eastAsia" w:ascii="宋体" w:hAnsi="宋体" w:eastAsia="宋体" w:cs="宋体"/>
                <w:color w:val="auto"/>
                <w:sz w:val="24"/>
                <w:szCs w:val="24"/>
                <w:highlight w:val="none"/>
              </w:rPr>
              <w:t>本章节中出现的 “投标人”，在招标投标阶段措辞为“投标人”；在项目招标结束，中标结果确定后，措辞由“投标人”转为“中标人”；在采购人与中标人签订合同，履约、实施阶段，措辞由“中标人”转为“投标人”。</w:t>
            </w:r>
          </w:p>
        </w:tc>
      </w:tr>
      <w:tr w14:paraId="415DD3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4" w:hRule="atLeast"/>
        </w:trPr>
        <w:tc>
          <w:tcPr>
            <w:tcW w:w="865" w:type="dxa"/>
            <w:noWrap w:val="0"/>
            <w:vAlign w:val="center"/>
          </w:tcPr>
          <w:p w14:paraId="60B7E44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546" w:type="dxa"/>
            <w:noWrap w:val="0"/>
            <w:vAlign w:val="center"/>
          </w:tcPr>
          <w:p w14:paraId="3427AA42">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项目实施地点：采购人指定的辖区内相关地点</w:t>
            </w:r>
          </w:p>
        </w:tc>
      </w:tr>
      <w:tr w14:paraId="0FD2FB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24" w:hRule="exact"/>
        </w:trPr>
        <w:tc>
          <w:tcPr>
            <w:tcW w:w="865" w:type="dxa"/>
            <w:noWrap w:val="0"/>
            <w:vAlign w:val="center"/>
          </w:tcPr>
          <w:p w14:paraId="627DFCD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546" w:type="dxa"/>
            <w:noWrap w:val="0"/>
            <w:vAlign w:val="center"/>
          </w:tcPr>
          <w:p w14:paraId="548EBA68">
            <w:pPr>
              <w:spacing w:line="360" w:lineRule="auto"/>
              <w:rPr>
                <w:rFonts w:hint="default" w:hAnsi="宋体" w:cs="宋体"/>
                <w:b/>
                <w:color w:val="auto"/>
                <w:sz w:val="24"/>
                <w:szCs w:val="24"/>
                <w:highlight w:val="none"/>
                <w:lang w:val="en-US" w:eastAsia="zh-CN"/>
              </w:rPr>
            </w:pPr>
            <w:bookmarkStart w:id="74" w:name="OLE_LINK6"/>
            <w:bookmarkStart w:id="75" w:name="OLE_LINK5"/>
            <w:r>
              <w:rPr>
                <w:rFonts w:hint="eastAsia" w:ascii="宋体" w:hAnsi="宋体" w:eastAsia="宋体" w:cs="宋体"/>
                <w:b/>
                <w:color w:val="auto"/>
                <w:sz w:val="24"/>
                <w:szCs w:val="24"/>
                <w:highlight w:val="none"/>
              </w:rPr>
              <w:t>交付期：</w:t>
            </w:r>
            <w:bookmarkEnd w:id="74"/>
            <w:bookmarkEnd w:id="75"/>
            <w:r>
              <w:rPr>
                <w:rFonts w:hint="eastAsia" w:ascii="宋体" w:hAnsi="宋体" w:eastAsia="宋体" w:cs="宋体"/>
                <w:b/>
                <w:color w:val="auto"/>
                <w:sz w:val="24"/>
                <w:szCs w:val="24"/>
                <w:highlight w:val="none"/>
              </w:rPr>
              <w:t>合同签订之日起</w:t>
            </w:r>
            <w:r>
              <w:rPr>
                <w:rFonts w:hint="eastAsia" w:hAnsi="宋体" w:cs="宋体"/>
                <w:b/>
                <w:color w:val="auto"/>
                <w:sz w:val="24"/>
                <w:szCs w:val="24"/>
                <w:highlight w:val="none"/>
                <w:lang w:val="en-US" w:eastAsia="zh-CN"/>
              </w:rPr>
              <w:t>60</w:t>
            </w:r>
            <w:r>
              <w:rPr>
                <w:rFonts w:hint="eastAsia" w:ascii="宋体" w:hAnsi="宋体" w:eastAsia="宋体" w:cs="宋体"/>
                <w:b/>
                <w:color w:val="auto"/>
                <w:sz w:val="24"/>
                <w:szCs w:val="24"/>
                <w:highlight w:val="none"/>
              </w:rPr>
              <w:t>日历日</w:t>
            </w:r>
          </w:p>
        </w:tc>
      </w:tr>
      <w:tr w14:paraId="145689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98" w:hRule="exact"/>
        </w:trPr>
        <w:tc>
          <w:tcPr>
            <w:tcW w:w="865" w:type="dxa"/>
            <w:noWrap w:val="0"/>
            <w:vAlign w:val="center"/>
          </w:tcPr>
          <w:p w14:paraId="70B1E16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546" w:type="dxa"/>
            <w:noWrap w:val="0"/>
            <w:vAlign w:val="center"/>
          </w:tcPr>
          <w:p w14:paraId="736AEB13">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质保期：</w:t>
            </w:r>
            <w:r>
              <w:rPr>
                <w:rFonts w:hint="eastAsia" w:hAnsi="宋体" w:cs="宋体"/>
                <w:b/>
                <w:color w:val="auto"/>
                <w:sz w:val="24"/>
                <w:szCs w:val="24"/>
                <w:highlight w:val="none"/>
                <w:lang w:val="en-US" w:eastAsia="zh-CN"/>
              </w:rPr>
              <w:t>自验收合格之日起三年；</w:t>
            </w:r>
          </w:p>
        </w:tc>
      </w:tr>
      <w:tr w14:paraId="3DACB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42" w:hRule="exact"/>
        </w:trPr>
        <w:tc>
          <w:tcPr>
            <w:tcW w:w="865" w:type="dxa"/>
            <w:noWrap w:val="0"/>
            <w:vAlign w:val="center"/>
          </w:tcPr>
          <w:p w14:paraId="581791A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546" w:type="dxa"/>
            <w:noWrap w:val="0"/>
            <w:vAlign w:val="center"/>
          </w:tcPr>
          <w:p w14:paraId="4962AADF">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w:t>
            </w:r>
          </w:p>
          <w:p w14:paraId="06888A7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1.合同总价即中标价，不受市场价变化或实际工作量变化的影响。</w:t>
            </w:r>
          </w:p>
          <w:p w14:paraId="54DA532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2.付款方式和程序：</w:t>
            </w:r>
          </w:p>
          <w:p w14:paraId="5DF6ED4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2.1由采购人负责结算，在付款前，投标人必须开具全额发票给采购人（附详细清单）。</w:t>
            </w:r>
          </w:p>
          <w:p w14:paraId="66DD5591">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2.2付款方式：</w:t>
            </w:r>
          </w:p>
          <w:p w14:paraId="20A0F36E">
            <w:pPr>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合同签订生效后，采购人向供应商支付合同总金额的40%，所有设备全部完成生产、运输、安装及调试工作，经采购人组织相关人员验收合格，并签署验收报告后7个工作日内，采购人一次性支付剩余60%；（具体结算方式以甲乙双方签订合同为准）</w:t>
            </w:r>
          </w:p>
        </w:tc>
      </w:tr>
      <w:tr w14:paraId="5451A4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trPr>
        <w:tc>
          <w:tcPr>
            <w:tcW w:w="865" w:type="dxa"/>
            <w:noWrap w:val="0"/>
            <w:vAlign w:val="center"/>
          </w:tcPr>
          <w:p w14:paraId="3526F1E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546" w:type="dxa"/>
            <w:noWrap w:val="0"/>
            <w:vAlign w:val="center"/>
          </w:tcPr>
          <w:p w14:paraId="1BB19E06">
            <w:pPr>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运输</w:t>
            </w:r>
            <w:r>
              <w:rPr>
                <w:rFonts w:hint="eastAsia" w:hAnsi="宋体" w:cs="宋体"/>
                <w:b/>
                <w:bCs/>
                <w:color w:val="auto"/>
                <w:sz w:val="24"/>
                <w:szCs w:val="24"/>
                <w:highlight w:val="none"/>
                <w:lang w:eastAsia="zh-CN"/>
              </w:rPr>
              <w:t>：</w:t>
            </w:r>
          </w:p>
          <w:p w14:paraId="6B981D8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运输：根据产品特性，由乙方在保证产品质量的前提下，自行选择运输及包装方式，发生的一切费用全部由乙方承担。</w:t>
            </w:r>
          </w:p>
        </w:tc>
      </w:tr>
      <w:tr w14:paraId="143B9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4" w:hRule="atLeast"/>
        </w:trPr>
        <w:tc>
          <w:tcPr>
            <w:tcW w:w="865" w:type="dxa"/>
            <w:noWrap w:val="0"/>
            <w:vAlign w:val="center"/>
          </w:tcPr>
          <w:p w14:paraId="4C6B4F91">
            <w:pPr>
              <w:pStyle w:val="11"/>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8</w:t>
            </w:r>
          </w:p>
        </w:tc>
        <w:tc>
          <w:tcPr>
            <w:tcW w:w="8546" w:type="dxa"/>
            <w:noWrap w:val="0"/>
            <w:vAlign w:val="center"/>
          </w:tcPr>
          <w:p w14:paraId="0FCCF081">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技术资料要求：</w:t>
            </w:r>
            <w:r>
              <w:rPr>
                <w:rFonts w:hint="eastAsia" w:ascii="宋体" w:hAnsi="宋体" w:eastAsia="宋体" w:cs="宋体"/>
                <w:color w:val="auto"/>
                <w:spacing w:val="8"/>
                <w:sz w:val="24"/>
                <w:szCs w:val="24"/>
                <w:highlight w:val="none"/>
              </w:rPr>
              <w:t>出厂检测报告、产品使用说明书、合格证等其它相关资料。</w:t>
            </w:r>
          </w:p>
        </w:tc>
      </w:tr>
      <w:tr w14:paraId="7699DF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40" w:hRule="atLeast"/>
        </w:trPr>
        <w:tc>
          <w:tcPr>
            <w:tcW w:w="865" w:type="dxa"/>
            <w:noWrap w:val="0"/>
            <w:vAlign w:val="center"/>
          </w:tcPr>
          <w:p w14:paraId="2022989B">
            <w:pPr>
              <w:pStyle w:val="11"/>
              <w:spacing w:line="360" w:lineRule="auto"/>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9</w:t>
            </w:r>
          </w:p>
        </w:tc>
        <w:tc>
          <w:tcPr>
            <w:tcW w:w="8546" w:type="dxa"/>
            <w:noWrap w:val="0"/>
            <w:vAlign w:val="center"/>
          </w:tcPr>
          <w:p w14:paraId="43477684">
            <w:pPr>
              <w:pStyle w:val="11"/>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质量保证：</w:t>
            </w:r>
          </w:p>
          <w:p w14:paraId="169BB3EF">
            <w:pPr>
              <w:tabs>
                <w:tab w:val="left" w:pos="4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质保期内免费维护，并免费提供备品、备件，更换故障部件、产品等，乙方在接到用户对所购 产品进行维修的要求后，48小时内到用户现场进行维修服务，全部费用由乙方支付，若需将产品送回生产厂， 由乙方支付维修产品所需的往返费用。</w:t>
            </w:r>
          </w:p>
        </w:tc>
      </w:tr>
      <w:tr w14:paraId="61112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865" w:type="dxa"/>
            <w:noWrap w:val="0"/>
            <w:vAlign w:val="center"/>
          </w:tcPr>
          <w:p w14:paraId="4ED839F1">
            <w:pPr>
              <w:pStyle w:val="11"/>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8546" w:type="dxa"/>
            <w:noWrap w:val="0"/>
            <w:vAlign w:val="center"/>
          </w:tcPr>
          <w:p w14:paraId="5FA3774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验收：</w:t>
            </w:r>
          </w:p>
          <w:p w14:paraId="591A8B96">
            <w:pPr>
              <w:keepNext w:val="0"/>
              <w:keepLines w:val="0"/>
              <w:pageBreakBefore w:val="0"/>
              <w:widowControl w:val="0"/>
              <w:kinsoku/>
              <w:wordWrap/>
              <w:overflowPunct/>
              <w:topLinePunct w:val="0"/>
              <w:autoSpaceDE/>
              <w:autoSpaceDN/>
              <w:bidi w:val="0"/>
              <w:adjustRightInd/>
              <w:snapToGrid/>
              <w:spacing w:before="122" w:line="240" w:lineRule="auto"/>
              <w:ind w:left="429"/>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8"/>
                <w:sz w:val="24"/>
                <w:szCs w:val="24"/>
                <w:highlight w:val="none"/>
              </w:rPr>
              <w:t>、验收由甲方相关人员组成的验收小组负责。分为项目初验和项目终验。</w:t>
            </w:r>
          </w:p>
          <w:p w14:paraId="60D392D1">
            <w:pPr>
              <w:keepNext w:val="0"/>
              <w:keepLines w:val="0"/>
              <w:pageBreakBefore w:val="0"/>
              <w:widowControl w:val="0"/>
              <w:kinsoku/>
              <w:wordWrap/>
              <w:overflowPunct/>
              <w:topLinePunct w:val="0"/>
              <w:autoSpaceDE/>
              <w:autoSpaceDN/>
              <w:bidi w:val="0"/>
              <w:adjustRightInd/>
              <w:snapToGrid/>
              <w:spacing w:before="160" w:line="240" w:lineRule="auto"/>
              <w:ind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8"/>
                <w:sz w:val="24"/>
                <w:szCs w:val="24"/>
                <w:highlight w:val="none"/>
              </w:rPr>
              <w:t>、项目初验：乙方安装调试完成后应提供详细的安装报告，并详细记录各种指示的实测数据，</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8"/>
                <w:sz w:val="24"/>
                <w:szCs w:val="24"/>
                <w:highlight w:val="none"/>
              </w:rPr>
              <w:t>由</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rPr>
              <w:t>使用单位进行初验。验收内容为审查验收安装及测试报告，现场查看产品</w:t>
            </w:r>
            <w:r>
              <w:rPr>
                <w:rFonts w:hint="eastAsia" w:ascii="宋体" w:hAnsi="宋体" w:eastAsia="宋体" w:cs="宋体"/>
                <w:color w:val="auto"/>
                <w:spacing w:val="7"/>
                <w:sz w:val="24"/>
                <w:szCs w:val="24"/>
                <w:highlight w:val="none"/>
              </w:rPr>
              <w:t>使用情况。验收合格后，使用</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单位填写产品验收单。</w:t>
            </w:r>
          </w:p>
          <w:p w14:paraId="0227899B">
            <w:pPr>
              <w:keepNext w:val="0"/>
              <w:keepLines w:val="0"/>
              <w:pageBreakBefore w:val="0"/>
              <w:widowControl w:val="0"/>
              <w:kinsoku/>
              <w:wordWrap/>
              <w:overflowPunct/>
              <w:topLinePunct w:val="0"/>
              <w:autoSpaceDE/>
              <w:autoSpaceDN/>
              <w:bidi w:val="0"/>
              <w:adjustRightInd/>
              <w:snapToGrid/>
              <w:spacing w:before="161" w:line="240" w:lineRule="auto"/>
              <w:ind w:left="1" w:right="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3</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8"/>
                <w:sz w:val="24"/>
                <w:szCs w:val="24"/>
                <w:highlight w:val="none"/>
              </w:rPr>
              <w:t>、项目整体验收：该项目初验合格后，</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8"/>
                <w:sz w:val="24"/>
                <w:szCs w:val="24"/>
                <w:highlight w:val="none"/>
              </w:rPr>
              <w:t>甲方根据使用单位初步验收报告，组织相关人员或专家组</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成的验收小组对产品进行最终验收。验收所产生的相关费用由乙方承担。</w:t>
            </w:r>
          </w:p>
          <w:p w14:paraId="350F1A99">
            <w:pPr>
              <w:keepNext w:val="0"/>
              <w:keepLines w:val="0"/>
              <w:pageBreakBefore w:val="0"/>
              <w:widowControl w:val="0"/>
              <w:kinsoku/>
              <w:wordWrap/>
              <w:overflowPunct/>
              <w:topLinePunct w:val="0"/>
              <w:autoSpaceDE/>
              <w:autoSpaceDN/>
              <w:bidi w:val="0"/>
              <w:adjustRightInd/>
              <w:snapToGrid/>
              <w:spacing w:before="262" w:line="240" w:lineRule="auto"/>
              <w:ind w:right="2"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3.1</w:t>
            </w:r>
            <w:r>
              <w:rPr>
                <w:rFonts w:hint="eastAsia" w:ascii="宋体" w:hAnsi="宋体" w:eastAsia="宋体" w:cs="宋体"/>
                <w:color w:val="auto"/>
                <w:spacing w:val="36"/>
                <w:w w:val="101"/>
                <w:sz w:val="24"/>
                <w:szCs w:val="24"/>
                <w:highlight w:val="none"/>
              </w:rPr>
              <w:t xml:space="preserve"> </w:t>
            </w:r>
            <w:r>
              <w:rPr>
                <w:rFonts w:hint="eastAsia" w:ascii="宋体" w:hAnsi="宋体" w:eastAsia="宋体" w:cs="宋体"/>
                <w:color w:val="auto"/>
                <w:spacing w:val="9"/>
                <w:sz w:val="24"/>
                <w:szCs w:val="24"/>
                <w:highlight w:val="none"/>
              </w:rPr>
              <w:t>乙方提供完整的操作手册和安装、调试、维修手册；提供制造厂家的检验测试报告</w:t>
            </w:r>
            <w:r>
              <w:rPr>
                <w:rFonts w:hint="eastAsia" w:ascii="宋体" w:hAnsi="宋体" w:eastAsia="宋体" w:cs="宋体"/>
                <w:color w:val="auto"/>
                <w:spacing w:val="8"/>
                <w:sz w:val="24"/>
                <w:szCs w:val="24"/>
                <w:highlight w:val="none"/>
              </w:rPr>
              <w:t>或产品出厂</w:t>
            </w:r>
            <w:r>
              <w:rPr>
                <w:rFonts w:hint="eastAsia" w:ascii="宋体" w:hAnsi="宋体" w:eastAsia="宋体" w:cs="宋体"/>
                <w:color w:val="auto"/>
                <w:spacing w:val="5"/>
                <w:sz w:val="24"/>
                <w:szCs w:val="24"/>
                <w:highlight w:val="none"/>
              </w:rPr>
              <w:t>检测报告。</w:t>
            </w:r>
          </w:p>
          <w:p w14:paraId="1C56DFA7">
            <w:pPr>
              <w:keepNext w:val="0"/>
              <w:keepLines w:val="0"/>
              <w:pageBreakBefore w:val="0"/>
              <w:widowControl w:val="0"/>
              <w:kinsoku/>
              <w:wordWrap/>
              <w:overflowPunct/>
              <w:topLinePunct w:val="0"/>
              <w:autoSpaceDE/>
              <w:autoSpaceDN/>
              <w:bidi w:val="0"/>
              <w:adjustRightInd/>
              <w:snapToGrid/>
              <w:spacing w:before="224" w:line="240" w:lineRule="auto"/>
              <w:ind w:left="1" w:right="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3.2</w:t>
            </w:r>
            <w:r>
              <w:rPr>
                <w:rFonts w:hint="eastAsia" w:ascii="宋体" w:hAnsi="宋体" w:eastAsia="宋体" w:cs="宋体"/>
                <w:color w:val="auto"/>
                <w:spacing w:val="42"/>
                <w:w w:val="101"/>
                <w:sz w:val="24"/>
                <w:szCs w:val="24"/>
                <w:highlight w:val="none"/>
              </w:rPr>
              <w:t xml:space="preserve"> </w:t>
            </w:r>
            <w:r>
              <w:rPr>
                <w:rFonts w:hint="eastAsia" w:ascii="宋体" w:hAnsi="宋体" w:eastAsia="宋体" w:cs="宋体"/>
                <w:color w:val="auto"/>
                <w:spacing w:val="9"/>
                <w:sz w:val="24"/>
                <w:szCs w:val="24"/>
                <w:highlight w:val="none"/>
              </w:rPr>
              <w:t>甲方根据合同要求对产品进行验收、确认产品的产地、规格、型号和</w:t>
            </w:r>
            <w:r>
              <w:rPr>
                <w:rFonts w:hint="eastAsia" w:ascii="宋体" w:hAnsi="宋体" w:eastAsia="宋体" w:cs="宋体"/>
                <w:color w:val="auto"/>
                <w:spacing w:val="8"/>
                <w:sz w:val="24"/>
                <w:szCs w:val="24"/>
                <w:highlight w:val="none"/>
              </w:rPr>
              <w:t>数量。验收依据为本合同文本、投标文件和国内相应的标准、规范。</w:t>
            </w:r>
          </w:p>
          <w:p w14:paraId="3C332A14">
            <w:pPr>
              <w:keepNext w:val="0"/>
              <w:keepLines w:val="0"/>
              <w:pageBreakBefore w:val="0"/>
              <w:widowControl w:val="0"/>
              <w:kinsoku/>
              <w:wordWrap/>
              <w:overflowPunct/>
              <w:topLinePunct w:val="0"/>
              <w:autoSpaceDE/>
              <w:autoSpaceDN/>
              <w:bidi w:val="0"/>
              <w:adjustRightInd/>
              <w:snapToGrid/>
              <w:spacing w:before="222" w:line="240" w:lineRule="auto"/>
              <w:ind w:right="2" w:firstLine="41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4</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10"/>
                <w:sz w:val="24"/>
                <w:szCs w:val="24"/>
                <w:highlight w:val="none"/>
              </w:rPr>
              <w:t>、验收合格后，填写产品验收单，并向甲方</w:t>
            </w:r>
            <w:r>
              <w:rPr>
                <w:rFonts w:hint="eastAsia" w:ascii="宋体" w:hAnsi="宋体" w:eastAsia="宋体" w:cs="宋体"/>
                <w:color w:val="auto"/>
                <w:spacing w:val="9"/>
                <w:sz w:val="24"/>
                <w:szCs w:val="24"/>
                <w:highlight w:val="none"/>
              </w:rPr>
              <w:t>提交产品所包含的所有资料，以便使用单位日后管理</w:t>
            </w:r>
            <w:r>
              <w:rPr>
                <w:rFonts w:hint="eastAsia" w:ascii="宋体" w:hAnsi="宋体" w:eastAsia="宋体" w:cs="宋体"/>
                <w:color w:val="auto"/>
                <w:spacing w:val="4"/>
                <w:sz w:val="24"/>
                <w:szCs w:val="24"/>
                <w:highlight w:val="none"/>
              </w:rPr>
              <w:t>和维护。</w:t>
            </w:r>
          </w:p>
          <w:p w14:paraId="7CBBF1C4">
            <w:pPr>
              <w:keepNext w:val="0"/>
              <w:keepLines w:val="0"/>
              <w:pageBreakBefore w:val="0"/>
              <w:widowControl w:val="0"/>
              <w:kinsoku/>
              <w:wordWrap/>
              <w:overflowPunct/>
              <w:topLinePunct w:val="0"/>
              <w:autoSpaceDE/>
              <w:autoSpaceDN/>
              <w:bidi w:val="0"/>
              <w:adjustRightInd/>
              <w:snapToGrid/>
              <w:spacing w:before="223" w:line="240" w:lineRule="auto"/>
              <w:ind w:left="1" w:right="2" w:firstLine="421"/>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5</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8"/>
                <w:sz w:val="24"/>
                <w:szCs w:val="24"/>
                <w:highlight w:val="none"/>
              </w:rPr>
              <w:t>、如因货物的质量问题发生争议，</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8"/>
                <w:sz w:val="24"/>
                <w:szCs w:val="24"/>
                <w:highlight w:val="none"/>
              </w:rPr>
              <w:t>由甲方属地技术质量监督部门进行质量鉴定；货物符合质量标</w:t>
            </w:r>
            <w:r>
              <w:rPr>
                <w:rFonts w:hint="eastAsia" w:ascii="宋体" w:hAnsi="宋体" w:eastAsia="宋体" w:cs="宋体"/>
                <w:color w:val="auto"/>
                <w:spacing w:val="9"/>
                <w:sz w:val="24"/>
                <w:szCs w:val="24"/>
                <w:highlight w:val="none"/>
              </w:rPr>
              <w:t>准的，鉴定费由甲方承担；货物不符合质量标准的，鉴定费由乙方承担。</w:t>
            </w:r>
          </w:p>
          <w:p w14:paraId="13C07328">
            <w:pPr>
              <w:tabs>
                <w:tab w:val="left" w:pos="480"/>
              </w:tabs>
              <w:spacing w:line="360" w:lineRule="auto"/>
              <w:ind w:firstLine="480" w:firstLineChars="200"/>
              <w:rPr>
                <w:rFonts w:hint="eastAsia" w:ascii="宋体" w:hAnsi="宋体" w:eastAsia="宋体" w:cs="宋体"/>
                <w:color w:val="auto"/>
                <w:sz w:val="24"/>
                <w:szCs w:val="24"/>
                <w:highlight w:val="none"/>
                <w:lang w:eastAsia="zh-CN"/>
              </w:rPr>
            </w:pPr>
          </w:p>
        </w:tc>
      </w:tr>
      <w:tr w14:paraId="4275E0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865" w:type="dxa"/>
            <w:noWrap w:val="0"/>
            <w:vAlign w:val="center"/>
          </w:tcPr>
          <w:p w14:paraId="7C0E9512">
            <w:pPr>
              <w:pStyle w:val="11"/>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w:t>
            </w:r>
          </w:p>
        </w:tc>
        <w:tc>
          <w:tcPr>
            <w:tcW w:w="8546" w:type="dxa"/>
            <w:noWrap w:val="0"/>
            <w:vAlign w:val="center"/>
          </w:tcPr>
          <w:p w14:paraId="761FA917">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知识产权、专利权：</w:t>
            </w:r>
          </w:p>
          <w:p w14:paraId="0EC713F0">
            <w:pPr>
              <w:widowControl/>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7F5F2B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865" w:type="dxa"/>
            <w:noWrap w:val="0"/>
            <w:vAlign w:val="center"/>
          </w:tcPr>
          <w:p w14:paraId="002297D3">
            <w:pPr>
              <w:pStyle w:val="11"/>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w:t>
            </w:r>
          </w:p>
        </w:tc>
        <w:tc>
          <w:tcPr>
            <w:tcW w:w="8546" w:type="dxa"/>
            <w:noWrap w:val="0"/>
            <w:vAlign w:val="center"/>
          </w:tcPr>
          <w:p w14:paraId="3387DCC4">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违约责任：</w:t>
            </w:r>
          </w:p>
          <w:p w14:paraId="34A2D31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1、按《中华人民共和国民法典》中的相关条款执行。</w:t>
            </w:r>
          </w:p>
          <w:p w14:paraId="6EBB289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政府采购法》及相关法律法规对服务商的违法行为进行相应的处罚。</w:t>
            </w:r>
          </w:p>
        </w:tc>
      </w:tr>
      <w:tr w14:paraId="66CC8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93" w:hRule="atLeast"/>
        </w:trPr>
        <w:tc>
          <w:tcPr>
            <w:tcW w:w="865" w:type="dxa"/>
            <w:noWrap w:val="0"/>
            <w:vAlign w:val="center"/>
          </w:tcPr>
          <w:p w14:paraId="3F5CE888">
            <w:pPr>
              <w:pStyle w:val="11"/>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13</w:t>
            </w:r>
          </w:p>
        </w:tc>
        <w:tc>
          <w:tcPr>
            <w:tcW w:w="8546" w:type="dxa"/>
            <w:noWrap w:val="0"/>
            <w:vAlign w:val="center"/>
          </w:tcPr>
          <w:p w14:paraId="7EB7C6EE">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政府采购合同：</w:t>
            </w:r>
          </w:p>
          <w:p w14:paraId="0F1560F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政府采购合同适用中华人民共和国民法典。采购人和供应商之间的权利和义务，应当按照平等、自愿的原则以合同方式约定。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采购人可以委托采购代理机构代表其与供应商签订政府采购合同。由采购代理机构以采购人名义签订合同的，应当提交采购人的授权委托书，作为合同附件。</w:t>
            </w:r>
          </w:p>
          <w:p w14:paraId="62EC31F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政府采购合同应当采用书面形式。</w:t>
            </w:r>
          </w:p>
          <w:p w14:paraId="21A0B5C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国务院政府采购监督管理部门应当会同国务院有关部门，规定政府采购合同必须具备的条款。</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采购人与中标、成交供应商应当在中标、成交通知书发出之日起</w:t>
            </w:r>
            <w:r>
              <w:rPr>
                <w:rFonts w:hint="eastAsia" w:ascii="宋体" w:hAnsi="宋体" w:eastAsia="宋体" w:cs="宋体"/>
                <w:color w:val="auto"/>
                <w:sz w:val="24"/>
                <w:szCs w:val="24"/>
                <w:highlight w:val="none"/>
                <w:lang w:val="en-US" w:eastAsia="zh-CN"/>
              </w:rPr>
              <w:t>二十五</w:t>
            </w:r>
            <w:r>
              <w:rPr>
                <w:rFonts w:hint="eastAsia" w:ascii="宋体" w:hAnsi="宋体" w:eastAsia="宋体" w:cs="宋体"/>
                <w:color w:val="auto"/>
                <w:sz w:val="24"/>
                <w:szCs w:val="24"/>
                <w:highlight w:val="none"/>
              </w:rPr>
              <w:t>日内，按照采购文件确定的事项签订政府采购合同。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64A5ACC7">
            <w:pPr>
              <w:widowControl/>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政府采购项目的采购合同自签订之日起七个工作日内，采购人应当将合同副本报同级政府采购监督管理部门和有关部门备案。</w:t>
            </w:r>
          </w:p>
        </w:tc>
      </w:tr>
      <w:bookmarkEnd w:id="69"/>
      <w:bookmarkEnd w:id="70"/>
      <w:bookmarkEnd w:id="71"/>
      <w:bookmarkEnd w:id="72"/>
      <w:bookmarkEnd w:id="73"/>
    </w:tbl>
    <w:p w14:paraId="795414E4">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B3E0F97">
      <w:pPr>
        <w:rPr>
          <w:rFonts w:hint="eastAsia" w:ascii="宋体" w:hAnsi="宋体" w:eastAsia="宋体" w:cs="宋体"/>
          <w:b/>
          <w:color w:val="auto"/>
          <w:sz w:val="24"/>
          <w:szCs w:val="24"/>
          <w:highlight w:val="none"/>
        </w:rPr>
      </w:pPr>
      <w:bookmarkStart w:id="76" w:name="_Toc19199"/>
      <w:bookmarkStart w:id="77" w:name="_Toc389582037"/>
      <w:bookmarkStart w:id="78" w:name="_Toc19246"/>
      <w:bookmarkStart w:id="79" w:name="_Toc31683"/>
      <w:bookmarkStart w:id="80" w:name="_Toc26595"/>
      <w:bookmarkStart w:id="81" w:name="_Toc8333"/>
      <w:bookmarkStart w:id="82" w:name="_Toc29888"/>
      <w:bookmarkStart w:id="83" w:name="_Toc9053"/>
      <w:bookmarkStart w:id="84" w:name="_Toc8954"/>
      <w:bookmarkStart w:id="85" w:name="_Toc20230"/>
      <w:bookmarkStart w:id="86" w:name="_Toc426457696"/>
      <w:bookmarkStart w:id="87" w:name="_Toc31520"/>
      <w:r>
        <w:rPr>
          <w:rFonts w:hint="eastAsia" w:ascii="宋体" w:hAnsi="宋体" w:eastAsia="宋体" w:cs="宋体"/>
          <w:b/>
          <w:color w:val="auto"/>
          <w:sz w:val="24"/>
          <w:szCs w:val="24"/>
          <w:highlight w:val="none"/>
        </w:rPr>
        <w:t>政府采购项目</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 xml:space="preserve">仅供参考）                  </w:t>
      </w:r>
    </w:p>
    <w:p w14:paraId="03CE4D5B">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p w14:paraId="23C23192">
      <w:pPr>
        <w:jc w:val="center"/>
        <w:rPr>
          <w:rFonts w:hint="eastAsia" w:ascii="宋体" w:hAnsi="宋体" w:eastAsia="宋体" w:cs="宋体"/>
          <w:color w:val="auto"/>
          <w:sz w:val="24"/>
          <w:szCs w:val="24"/>
          <w:highlight w:val="none"/>
        </w:rPr>
      </w:pPr>
    </w:p>
    <w:p w14:paraId="5A69391C">
      <w:pPr>
        <w:jc w:val="center"/>
        <w:rPr>
          <w:rFonts w:hint="eastAsia" w:ascii="宋体" w:hAnsi="宋体" w:eastAsia="宋体" w:cs="宋体"/>
          <w:color w:val="auto"/>
          <w:sz w:val="56"/>
          <w:szCs w:val="56"/>
          <w:highlight w:val="none"/>
        </w:rPr>
      </w:pPr>
    </w:p>
    <w:p w14:paraId="59609DAC">
      <w:pPr>
        <w:jc w:val="center"/>
        <w:rPr>
          <w:rFonts w:hint="eastAsia" w:ascii="宋体" w:hAnsi="宋体" w:eastAsia="宋体" w:cs="宋体"/>
          <w:b/>
          <w:color w:val="auto"/>
          <w:sz w:val="56"/>
          <w:szCs w:val="56"/>
          <w:highlight w:val="none"/>
        </w:rPr>
      </w:pPr>
    </w:p>
    <w:p w14:paraId="5A1693CB">
      <w:pPr>
        <w:jc w:val="center"/>
        <w:rPr>
          <w:rFonts w:hint="eastAsia" w:ascii="宋体" w:hAnsi="宋体" w:eastAsia="宋体" w:cs="宋体"/>
          <w:b/>
          <w:color w:val="auto"/>
          <w:sz w:val="112"/>
          <w:szCs w:val="112"/>
          <w:highlight w:val="none"/>
        </w:rPr>
      </w:pPr>
      <w:r>
        <w:rPr>
          <w:rFonts w:hint="eastAsia" w:ascii="宋体" w:hAnsi="宋体" w:eastAsia="宋体" w:cs="宋体"/>
          <w:b/>
          <w:color w:val="auto"/>
          <w:sz w:val="112"/>
          <w:szCs w:val="112"/>
          <w:highlight w:val="none"/>
        </w:rPr>
        <w:t>供 货 合 同</w:t>
      </w:r>
    </w:p>
    <w:p w14:paraId="1DFEBA4B">
      <w:pPr>
        <w:jc w:val="center"/>
        <w:rPr>
          <w:rFonts w:hint="eastAsia" w:ascii="宋体" w:hAnsi="宋体" w:eastAsia="宋体" w:cs="宋体"/>
          <w:color w:val="auto"/>
          <w:sz w:val="40"/>
          <w:szCs w:val="40"/>
          <w:highlight w:val="none"/>
        </w:rPr>
      </w:pPr>
    </w:p>
    <w:p w14:paraId="3209115A">
      <w:pPr>
        <w:jc w:val="center"/>
        <w:rPr>
          <w:rFonts w:hint="eastAsia" w:ascii="宋体" w:hAnsi="宋体" w:eastAsia="宋体" w:cs="宋体"/>
          <w:color w:val="auto"/>
          <w:sz w:val="40"/>
          <w:szCs w:val="40"/>
          <w:highlight w:val="none"/>
        </w:rPr>
      </w:pPr>
    </w:p>
    <w:p w14:paraId="4EE4D2CD">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（项目编号：      ）</w:t>
      </w:r>
    </w:p>
    <w:p w14:paraId="3B9D27E9">
      <w:pPr>
        <w:jc w:val="center"/>
        <w:rPr>
          <w:rFonts w:hint="eastAsia" w:ascii="宋体" w:hAnsi="宋体" w:eastAsia="宋体" w:cs="宋体"/>
          <w:color w:val="auto"/>
          <w:sz w:val="40"/>
          <w:szCs w:val="40"/>
          <w:highlight w:val="none"/>
          <w:u w:val="none"/>
          <w:lang w:val="en-US" w:eastAsia="zh-CN"/>
        </w:rPr>
      </w:pPr>
    </w:p>
    <w:p w14:paraId="082E7115">
      <w:pPr>
        <w:jc w:val="center"/>
        <w:rPr>
          <w:rFonts w:hint="eastAsia" w:ascii="宋体" w:hAnsi="宋体" w:eastAsia="宋体" w:cs="宋体"/>
          <w:color w:val="auto"/>
          <w:sz w:val="56"/>
          <w:szCs w:val="56"/>
          <w:highlight w:val="none"/>
        </w:rPr>
      </w:pPr>
    </w:p>
    <w:p w14:paraId="0019CA36">
      <w:pPr>
        <w:rPr>
          <w:rFonts w:hint="eastAsia" w:ascii="宋体" w:hAnsi="宋体" w:eastAsia="宋体" w:cs="宋体"/>
          <w:color w:val="auto"/>
          <w:sz w:val="56"/>
          <w:szCs w:val="56"/>
          <w:highlight w:val="none"/>
        </w:rPr>
      </w:pPr>
    </w:p>
    <w:p w14:paraId="4E92C4BF">
      <w:pPr>
        <w:ind w:firstLine="3640" w:firstLineChars="650"/>
        <w:rPr>
          <w:rFonts w:hint="eastAsia" w:ascii="宋体" w:hAnsi="宋体" w:eastAsia="宋体" w:cs="宋体"/>
          <w:color w:val="auto"/>
          <w:sz w:val="56"/>
          <w:szCs w:val="56"/>
          <w:highlight w:val="none"/>
        </w:rPr>
      </w:pPr>
    </w:p>
    <w:p w14:paraId="751556F5">
      <w:pPr>
        <w:ind w:firstLine="1820" w:firstLineChars="6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  方： </w:t>
      </w:r>
    </w:p>
    <w:p w14:paraId="55E1B3A0">
      <w:pPr>
        <w:tabs>
          <w:tab w:val="left" w:pos="480"/>
        </w:tabs>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乙  方：</w:t>
      </w:r>
    </w:p>
    <w:p w14:paraId="0009E57F">
      <w:pPr>
        <w:jc w:val="center"/>
        <w:rPr>
          <w:rFonts w:hint="eastAsia" w:ascii="宋体" w:hAnsi="宋体" w:eastAsia="宋体" w:cs="宋体"/>
          <w:color w:val="auto"/>
          <w:sz w:val="28"/>
          <w:szCs w:val="28"/>
          <w:highlight w:val="none"/>
        </w:rPr>
      </w:pPr>
    </w:p>
    <w:p w14:paraId="252AC982">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w:t>
      </w:r>
    </w:p>
    <w:p w14:paraId="2B0B4DB6">
      <w:pPr>
        <w:jc w:val="center"/>
        <w:rPr>
          <w:rFonts w:hint="eastAsia" w:ascii="宋体" w:hAnsi="宋体" w:eastAsia="宋体" w:cs="宋体"/>
          <w:color w:val="auto"/>
          <w:sz w:val="24"/>
          <w:szCs w:val="24"/>
          <w:highlight w:val="none"/>
        </w:rPr>
      </w:pPr>
    </w:p>
    <w:p w14:paraId="0DC615AD">
      <w:pPr>
        <w:keepNext w:val="0"/>
        <w:keepLines w:val="0"/>
        <w:pageBreakBefore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bCs/>
          <w:color w:val="auto"/>
          <w:sz w:val="24"/>
          <w:szCs w:val="24"/>
          <w:highlight w:val="none"/>
        </w:rPr>
        <w:t>第一部分  协议书</w:t>
      </w:r>
    </w:p>
    <w:p w14:paraId="4F701E6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hAnsi="宋体" w:cs="宋体"/>
          <w:color w:val="auto"/>
          <w:sz w:val="24"/>
          <w:szCs w:val="24"/>
          <w:highlight w:val="none"/>
          <w:lang w:eastAsia="zh-CN"/>
        </w:rPr>
        <w:t>山阳县城市管理局</w:t>
      </w:r>
      <w:r>
        <w:rPr>
          <w:rFonts w:hint="eastAsia" w:ascii="宋体" w:hAnsi="宋体" w:eastAsia="宋体" w:cs="宋体"/>
          <w:color w:val="auto"/>
          <w:sz w:val="24"/>
          <w:szCs w:val="24"/>
          <w:highlight w:val="none"/>
        </w:rPr>
        <w:t>，其注册登记地为：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，法定代表人为：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5EDD2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，其注册登记地址为：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C26FBF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甲、乙双方基于公平、公正、平等的原则，依据《中华人民共和国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》、《中华人民共和国</w:t>
      </w:r>
      <w:r>
        <w:rPr>
          <w:rFonts w:hint="eastAsia" w:ascii="宋体" w:hAnsi="宋体" w:eastAsia="宋体" w:cs="宋体"/>
          <w:color w:val="auto"/>
          <w:sz w:val="24"/>
          <w:szCs w:val="24"/>
          <w:highlight w:val="none"/>
          <w:lang w:eastAsia="zh-CN"/>
        </w:rPr>
        <w:t>政府采购法</w:t>
      </w:r>
      <w:r>
        <w:rPr>
          <w:rFonts w:hint="eastAsia" w:ascii="宋体" w:hAnsi="宋体" w:eastAsia="宋体" w:cs="宋体"/>
          <w:color w:val="auto"/>
          <w:sz w:val="24"/>
          <w:szCs w:val="24"/>
          <w:highlight w:val="none"/>
        </w:rPr>
        <w:t>》之相关规定，现经甲、乙双方友好协商，就甲方购买乙方产品设备事宜，达成以下合同条款：</w:t>
      </w:r>
    </w:p>
    <w:p w14:paraId="4FCC9E0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合同标的物：</w:t>
      </w:r>
    </w:p>
    <w:tbl>
      <w:tblPr>
        <w:tblStyle w:val="21"/>
        <w:tblW w:w="94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620"/>
        <w:gridCol w:w="1360"/>
        <w:gridCol w:w="878"/>
        <w:gridCol w:w="750"/>
        <w:gridCol w:w="571"/>
        <w:gridCol w:w="1327"/>
        <w:gridCol w:w="1305"/>
      </w:tblGrid>
      <w:tr w14:paraId="599A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620" w:type="dxa"/>
          </w:tcPr>
          <w:p w14:paraId="195E54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产品名称</w:t>
            </w:r>
          </w:p>
        </w:tc>
        <w:tc>
          <w:tcPr>
            <w:tcW w:w="1620" w:type="dxa"/>
          </w:tcPr>
          <w:p w14:paraId="50EDA45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注册证名称</w:t>
            </w:r>
          </w:p>
        </w:tc>
        <w:tc>
          <w:tcPr>
            <w:tcW w:w="1360" w:type="dxa"/>
          </w:tcPr>
          <w:p w14:paraId="2A6F364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品牌型号</w:t>
            </w:r>
          </w:p>
        </w:tc>
        <w:tc>
          <w:tcPr>
            <w:tcW w:w="878" w:type="dxa"/>
          </w:tcPr>
          <w:p w14:paraId="727552C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产地</w:t>
            </w:r>
          </w:p>
        </w:tc>
        <w:tc>
          <w:tcPr>
            <w:tcW w:w="750" w:type="dxa"/>
          </w:tcPr>
          <w:p w14:paraId="3DBCFEA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571" w:type="dxa"/>
          </w:tcPr>
          <w:p w14:paraId="56E37B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1327" w:type="dxa"/>
          </w:tcPr>
          <w:p w14:paraId="4CB43D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w:t>
            </w:r>
          </w:p>
          <w:p w14:paraId="46DC0CF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（人民币）</w:t>
            </w:r>
          </w:p>
        </w:tc>
        <w:tc>
          <w:tcPr>
            <w:tcW w:w="1305" w:type="dxa"/>
          </w:tcPr>
          <w:p w14:paraId="49E3911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总价</w:t>
            </w:r>
          </w:p>
          <w:p w14:paraId="6F0DF49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（人民币）</w:t>
            </w:r>
          </w:p>
        </w:tc>
      </w:tr>
      <w:tr w14:paraId="3A2EC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620" w:type="dxa"/>
          </w:tcPr>
          <w:p w14:paraId="1CA4299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620" w:type="dxa"/>
          </w:tcPr>
          <w:p w14:paraId="7BCA38C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360" w:type="dxa"/>
          </w:tcPr>
          <w:p w14:paraId="4C563CA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878" w:type="dxa"/>
          </w:tcPr>
          <w:p w14:paraId="1FEFD90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750" w:type="dxa"/>
          </w:tcPr>
          <w:p w14:paraId="0E6E93B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c>
          <w:tcPr>
            <w:tcW w:w="571" w:type="dxa"/>
          </w:tcPr>
          <w:p w14:paraId="0FB5B78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327" w:type="dxa"/>
            <w:vAlign w:val="center"/>
          </w:tcPr>
          <w:p w14:paraId="1268796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305" w:type="dxa"/>
            <w:vAlign w:val="center"/>
          </w:tcPr>
          <w:p w14:paraId="0D2FA1C0">
            <w:pPr>
              <w:keepNext w:val="0"/>
              <w:keepLines w:val="0"/>
              <w:pageBreakBefore w:val="0"/>
              <w:kinsoku/>
              <w:wordWrap/>
              <w:overflowPunct/>
              <w:topLinePunct w:val="0"/>
              <w:autoSpaceDE/>
              <w:autoSpaceDN/>
              <w:bidi w:val="0"/>
              <w:adjustRightInd/>
              <w:snapToGrid/>
              <w:spacing w:line="360" w:lineRule="auto"/>
              <w:ind w:right="9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0985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431" w:type="dxa"/>
            <w:gridSpan w:val="8"/>
          </w:tcPr>
          <w:p w14:paraId="0DEE334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合计（大写）：人民币          元整；                （小写）：￥</w:t>
            </w:r>
          </w:p>
        </w:tc>
      </w:tr>
      <w:tr w14:paraId="317C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431" w:type="dxa"/>
            <w:gridSpan w:val="8"/>
          </w:tcPr>
          <w:p w14:paraId="4E32D20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备注：      </w:t>
            </w:r>
            <w:r>
              <w:rPr>
                <w:rFonts w:hint="eastAsia" w:ascii="宋体" w:hAnsi="宋体" w:eastAsia="宋体" w:cs="宋体"/>
                <w:color w:val="auto"/>
                <w:sz w:val="24"/>
                <w:szCs w:val="24"/>
                <w:highlight w:val="none"/>
              </w:rPr>
              <w:t xml:space="preserve">                                                         </w:t>
            </w:r>
          </w:p>
          <w:p w14:paraId="3ACC12A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14:paraId="02190B3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产品应当符合国家规范规定的标准及乙方投标文件所述和宣传的标准，设备配置详单附后。</w:t>
      </w:r>
    </w:p>
    <w:p w14:paraId="6206FC6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合同价款：</w:t>
      </w:r>
    </w:p>
    <w:p w14:paraId="328B4CC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1、合同总金额：</w:t>
      </w:r>
      <w:r>
        <w:rPr>
          <w:rFonts w:hint="eastAsia" w:ascii="宋体" w:hAnsi="宋体" w:eastAsia="宋体" w:cs="宋体"/>
          <w:b/>
          <w:color w:val="auto"/>
          <w:sz w:val="24"/>
          <w:szCs w:val="24"/>
          <w:highlight w:val="none"/>
          <w:u w:val="single"/>
        </w:rPr>
        <w:t>人民币          元整。</w:t>
      </w:r>
    </w:p>
    <w:p w14:paraId="581572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2、合同总金额包括</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等其他一切相关费用。</w:t>
      </w:r>
    </w:p>
    <w:p w14:paraId="4C12273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交货地点：</w:t>
      </w:r>
    </w:p>
    <w:p w14:paraId="26987F73">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采购人指定地点。</w:t>
      </w:r>
    </w:p>
    <w:p w14:paraId="1D44B37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交货时间：</w:t>
      </w:r>
    </w:p>
    <w:p w14:paraId="251FCF95">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合同签订接采购人通知后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个日历日内。</w:t>
      </w:r>
    </w:p>
    <w:p w14:paraId="5EF0353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甲方指定收件人为：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DCA3D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根据使用需要，甲方如需提前或推迟收货，甲方应当</w:t>
      </w:r>
      <w:r>
        <w:rPr>
          <w:rFonts w:hint="eastAsia" w:ascii="宋体" w:hAnsi="宋体" w:eastAsia="宋体" w:cs="宋体"/>
          <w:b/>
          <w:bCs/>
          <w:color w:val="auto"/>
          <w:sz w:val="24"/>
          <w:szCs w:val="24"/>
          <w:highlight w:val="none"/>
        </w:rPr>
        <w:t>提前电话或邮箱或其他任何在本合同约定的方式通知乙方</w:t>
      </w:r>
      <w:r>
        <w:rPr>
          <w:rFonts w:hint="eastAsia" w:ascii="宋体" w:hAnsi="宋体" w:eastAsia="宋体" w:cs="宋体"/>
          <w:color w:val="auto"/>
          <w:sz w:val="24"/>
          <w:szCs w:val="24"/>
          <w:highlight w:val="none"/>
        </w:rPr>
        <w:t>，乙方应无条件配合，不得收取仓储费等任何费用。</w:t>
      </w:r>
    </w:p>
    <w:p w14:paraId="2BB462E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：货款结算方式：</w:t>
      </w:r>
    </w:p>
    <w:p w14:paraId="783A2B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1、付款方式：</w:t>
      </w:r>
    </w:p>
    <w:p w14:paraId="5CB6DCE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每次付款前</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个工作日内，乙方需提前向甲方开具相应金额的正式税务发票。</w:t>
      </w:r>
    </w:p>
    <w:p w14:paraId="1DAC86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2、支付方式：甲方直接将货款通过银行转账的方式转入乙方指定的专用账号。乙方账户名：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。开户行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2376E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、质量保证：</w:t>
      </w:r>
      <w:r>
        <w:rPr>
          <w:rFonts w:hint="eastAsia" w:ascii="宋体" w:hAnsi="宋体" w:eastAsia="宋体" w:cs="宋体"/>
          <w:color w:val="auto"/>
          <w:sz w:val="24"/>
          <w:szCs w:val="24"/>
          <w:highlight w:val="none"/>
        </w:rPr>
        <w:t>详见“第三章合同条款及格式前附表”</w:t>
      </w:r>
    </w:p>
    <w:p w14:paraId="29CFB991">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安装要求及人员培训：</w:t>
      </w:r>
      <w:r>
        <w:rPr>
          <w:rFonts w:hint="eastAsia" w:ascii="宋体" w:hAnsi="宋体" w:eastAsia="宋体" w:cs="宋体"/>
          <w:color w:val="auto"/>
          <w:sz w:val="24"/>
          <w:szCs w:val="24"/>
          <w:highlight w:val="none"/>
        </w:rPr>
        <w:t>详见“第三章合同条款及格式前附表”</w:t>
      </w:r>
    </w:p>
    <w:p w14:paraId="45913A98">
      <w:pPr>
        <w:adjustRightInd w:val="0"/>
        <w:snapToGrid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技术资料要求</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详见“第三章合同条款及格式前附表”</w:t>
      </w:r>
    </w:p>
    <w:p w14:paraId="4C30FAD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、验收：</w:t>
      </w:r>
      <w:r>
        <w:rPr>
          <w:rFonts w:hint="eastAsia" w:ascii="宋体" w:hAnsi="宋体" w:eastAsia="宋体" w:cs="宋体"/>
          <w:color w:val="auto"/>
          <w:sz w:val="24"/>
          <w:szCs w:val="24"/>
          <w:highlight w:val="none"/>
        </w:rPr>
        <w:t>详见“第三章合同条款及格式前附表”</w:t>
      </w:r>
    </w:p>
    <w:p w14:paraId="7B77A5DA">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color w:val="auto"/>
          <w:sz w:val="24"/>
          <w:szCs w:val="24"/>
          <w:highlight w:val="none"/>
          <w:lang w:eastAsia="zh-CN"/>
        </w:rPr>
        <w:t>一</w:t>
      </w:r>
      <w:r>
        <w:rPr>
          <w:rFonts w:hint="eastAsia" w:ascii="宋体" w:hAnsi="宋体" w:eastAsia="宋体" w:cs="宋体"/>
          <w:b/>
          <w:bCs/>
          <w:color w:val="auto"/>
          <w:sz w:val="24"/>
          <w:szCs w:val="24"/>
          <w:highlight w:val="none"/>
        </w:rPr>
        <w:t>、质保及维保服务：</w:t>
      </w:r>
      <w:r>
        <w:rPr>
          <w:rFonts w:hint="eastAsia" w:ascii="宋体" w:hAnsi="宋体" w:eastAsia="宋体" w:cs="宋体"/>
          <w:color w:val="auto"/>
          <w:sz w:val="24"/>
          <w:szCs w:val="24"/>
          <w:highlight w:val="none"/>
        </w:rPr>
        <w:t>详见“第三章合同条款及格式前附表”</w:t>
      </w:r>
    </w:p>
    <w:p w14:paraId="59601640">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、合同争议的解决</w:t>
      </w:r>
    </w:p>
    <w:p w14:paraId="78D2DEE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合同执行中发生争议的，当事人双方应协商解决。协商达不成一致时，可向当地行政仲裁机关申请仲裁或者向人民法院提请诉讼。</w:t>
      </w:r>
    </w:p>
    <w:p w14:paraId="729513B7">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、不可抗力情况下的免责约定</w:t>
      </w:r>
    </w:p>
    <w:p w14:paraId="25E5EEC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双方约定不可抗力情况指：双方不可预见、不可避免、不可克服的客观情况，但不包括双方的违约或疏忽。这些事件包括但不限于：战争、严重火灾、洪水、台风、地震等。</w:t>
      </w:r>
    </w:p>
    <w:p w14:paraId="76687E35">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、违约责任：</w:t>
      </w:r>
      <w:r>
        <w:rPr>
          <w:rFonts w:hint="eastAsia" w:ascii="宋体" w:hAnsi="宋体" w:eastAsia="宋体" w:cs="宋体"/>
          <w:color w:val="auto"/>
          <w:sz w:val="24"/>
          <w:szCs w:val="24"/>
          <w:highlight w:val="none"/>
        </w:rPr>
        <w:t>详见“第三章合同条款及格式前附表”</w:t>
      </w:r>
    </w:p>
    <w:p w14:paraId="7217320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、以下资料为本合同不可分割部分，与本合同具有同等法律效力：</w:t>
      </w:r>
    </w:p>
    <w:p w14:paraId="203238A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1、本合同所涉产品的国家标准及</w:t>
      </w:r>
      <w:r>
        <w:rPr>
          <w:rFonts w:hint="eastAsia" w:ascii="宋体" w:hAnsi="宋体" w:eastAsia="宋体" w:cs="宋体"/>
          <w:color w:val="auto"/>
          <w:sz w:val="24"/>
          <w:szCs w:val="24"/>
          <w:highlight w:val="none"/>
          <w:lang w:eastAsia="zh-CN"/>
        </w:rPr>
        <w:t>相关行业</w:t>
      </w:r>
      <w:r>
        <w:rPr>
          <w:rFonts w:hint="eastAsia" w:ascii="宋体" w:hAnsi="宋体" w:eastAsia="宋体" w:cs="宋体"/>
          <w:color w:val="auto"/>
          <w:sz w:val="24"/>
          <w:szCs w:val="24"/>
          <w:highlight w:val="none"/>
        </w:rPr>
        <w:t>标准；</w:t>
      </w:r>
    </w:p>
    <w:p w14:paraId="0B6FF8E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2、本产品的详细资料；</w:t>
      </w:r>
    </w:p>
    <w:p w14:paraId="776C5B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3、招投标文件；</w:t>
      </w:r>
    </w:p>
    <w:p w14:paraId="230BEB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4、本套产品配置及配套设备零件报价详单；（附于合同后）</w:t>
      </w:r>
    </w:p>
    <w:p w14:paraId="1CB779B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5、本套产品配套耗材清单、报价详单。（附于合同后）</w:t>
      </w:r>
    </w:p>
    <w:p w14:paraId="69A7E330">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其他（</w:t>
      </w:r>
      <w:r>
        <w:rPr>
          <w:rFonts w:hint="eastAsia" w:ascii="宋体" w:hAnsi="宋体" w:eastAsia="宋体" w:cs="宋体"/>
          <w:color w:val="auto"/>
          <w:sz w:val="24"/>
          <w:szCs w:val="24"/>
          <w:highlight w:val="none"/>
        </w:rPr>
        <w:t>在合同中</w:t>
      </w:r>
      <w:r>
        <w:rPr>
          <w:rFonts w:hint="eastAsia" w:ascii="宋体" w:hAnsi="宋体" w:eastAsia="宋体" w:cs="宋体"/>
          <w:color w:val="auto"/>
          <w:sz w:val="24"/>
          <w:szCs w:val="24"/>
          <w:highlight w:val="none"/>
          <w:lang w:eastAsia="zh-CN"/>
        </w:rPr>
        <w:t>双方自行约定</w:t>
      </w:r>
      <w:r>
        <w:rPr>
          <w:rFonts w:hint="eastAsia" w:ascii="宋体" w:hAnsi="宋体" w:eastAsia="宋体" w:cs="宋体"/>
          <w:color w:val="auto"/>
          <w:sz w:val="24"/>
          <w:szCs w:val="24"/>
          <w:highlight w:val="none"/>
        </w:rPr>
        <w:t>）</w:t>
      </w:r>
    </w:p>
    <w:p w14:paraId="711F4CC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、合同订立</w:t>
      </w:r>
    </w:p>
    <w:p w14:paraId="1D14779A">
      <w:pPr>
        <w:adjustRightInd w:val="0"/>
        <w:snapToGrid w:val="0"/>
        <w:spacing w:line="360" w:lineRule="auto"/>
        <w:ind w:firstLine="475" w:firstLineChars="1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2A58C46">
      <w:pPr>
        <w:adjustRightInd w:val="0"/>
        <w:snapToGrid w:val="0"/>
        <w:spacing w:line="360" w:lineRule="auto"/>
        <w:ind w:firstLine="475" w:firstLineChars="1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A529E0">
      <w:pPr>
        <w:tabs>
          <w:tab w:val="left" w:pos="980"/>
        </w:tabs>
        <w:kinsoku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u w:val="single"/>
        </w:rPr>
        <w:t xml:space="preserve"> 捌 </w:t>
      </w:r>
      <w:r>
        <w:rPr>
          <w:rFonts w:hint="eastAsia" w:ascii="宋体" w:hAnsi="宋体" w:eastAsia="宋体" w:cs="宋体"/>
          <w:color w:val="auto"/>
          <w:sz w:val="24"/>
          <w:szCs w:val="24"/>
          <w:highlight w:val="none"/>
        </w:rPr>
        <w:t>份，具有同等法律效力，双方各执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份，监管部门备案</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份、招标代理机构存档</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份。各方签字盖章后生效，合同执行完毕自动失效。（合同的服务承诺则长期有效）。</w:t>
      </w:r>
    </w:p>
    <w:p w14:paraId="57B33C3B">
      <w:pPr>
        <w:adjustRightInd w:val="0"/>
        <w:snapToGrid w:val="0"/>
        <w:spacing w:line="360" w:lineRule="auto"/>
        <w:ind w:firstLine="475" w:firstLineChars="198"/>
        <w:rPr>
          <w:rFonts w:hint="eastAsia" w:ascii="宋体" w:hAnsi="宋体" w:eastAsia="宋体" w:cs="宋体"/>
          <w:color w:val="auto"/>
          <w:sz w:val="24"/>
          <w:szCs w:val="24"/>
          <w:highlight w:val="none"/>
        </w:rPr>
      </w:pPr>
    </w:p>
    <w:tbl>
      <w:tblPr>
        <w:tblStyle w:val="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1"/>
        <w:gridCol w:w="4945"/>
      </w:tblGrid>
      <w:tr w14:paraId="5777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2337" w:type="pct"/>
            <w:vAlign w:val="center"/>
          </w:tcPr>
          <w:p w14:paraId="6B99760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 方</w:t>
            </w:r>
          </w:p>
        </w:tc>
        <w:tc>
          <w:tcPr>
            <w:tcW w:w="2662" w:type="pct"/>
            <w:vAlign w:val="center"/>
          </w:tcPr>
          <w:p w14:paraId="437E66E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 方</w:t>
            </w:r>
          </w:p>
        </w:tc>
      </w:tr>
      <w:tr w14:paraId="2C5C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2337" w:type="pct"/>
            <w:vAlign w:val="center"/>
          </w:tcPr>
          <w:p w14:paraId="6D2C6F83">
            <w:pPr>
              <w:spacing w:line="360" w:lineRule="auto"/>
              <w:ind w:firstLine="960" w:firstLineChars="400"/>
              <w:rPr>
                <w:rFonts w:hint="eastAsia" w:ascii="宋体" w:hAnsi="宋体" w:eastAsia="宋体" w:cs="宋体"/>
                <w:color w:val="auto"/>
                <w:sz w:val="24"/>
                <w:szCs w:val="24"/>
                <w:highlight w:val="none"/>
              </w:rPr>
            </w:pPr>
          </w:p>
          <w:p w14:paraId="0A94EA8C">
            <w:pPr>
              <w:spacing w:line="360" w:lineRule="auto"/>
              <w:jc w:val="center"/>
              <w:rPr>
                <w:rFonts w:hint="eastAsia" w:ascii="宋体" w:hAnsi="宋体" w:eastAsia="宋体" w:cs="宋体"/>
                <w:color w:val="auto"/>
                <w:sz w:val="24"/>
                <w:szCs w:val="24"/>
                <w:highlight w:val="none"/>
              </w:rPr>
            </w:pPr>
          </w:p>
          <w:p w14:paraId="32D4C327">
            <w:pPr>
              <w:spacing w:line="360" w:lineRule="auto"/>
              <w:jc w:val="center"/>
              <w:rPr>
                <w:rFonts w:hint="eastAsia" w:ascii="宋体" w:hAnsi="宋体" w:eastAsia="宋体" w:cs="宋体"/>
                <w:color w:val="auto"/>
                <w:sz w:val="24"/>
                <w:szCs w:val="24"/>
                <w:highlight w:val="none"/>
              </w:rPr>
            </w:pPr>
          </w:p>
          <w:p w14:paraId="46EC389F">
            <w:pPr>
              <w:spacing w:line="360" w:lineRule="auto"/>
              <w:jc w:val="center"/>
              <w:rPr>
                <w:rFonts w:hint="eastAsia" w:ascii="宋体" w:hAnsi="宋体" w:eastAsia="宋体" w:cs="宋体"/>
                <w:color w:val="auto"/>
                <w:sz w:val="24"/>
                <w:szCs w:val="24"/>
                <w:highlight w:val="none"/>
              </w:rPr>
            </w:pPr>
          </w:p>
          <w:p w14:paraId="33DD5CA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c>
          <w:tcPr>
            <w:tcW w:w="2662" w:type="pct"/>
            <w:vAlign w:val="center"/>
          </w:tcPr>
          <w:p w14:paraId="49CF7003">
            <w:pPr>
              <w:spacing w:line="360" w:lineRule="auto"/>
              <w:jc w:val="center"/>
              <w:rPr>
                <w:rFonts w:hint="eastAsia" w:ascii="宋体" w:hAnsi="宋体" w:eastAsia="宋体" w:cs="宋体"/>
                <w:color w:val="auto"/>
                <w:sz w:val="24"/>
                <w:szCs w:val="24"/>
                <w:highlight w:val="none"/>
              </w:rPr>
            </w:pPr>
          </w:p>
          <w:p w14:paraId="37161879">
            <w:pPr>
              <w:spacing w:line="360" w:lineRule="auto"/>
              <w:jc w:val="center"/>
              <w:rPr>
                <w:rFonts w:hint="eastAsia" w:ascii="宋体" w:hAnsi="宋体" w:eastAsia="宋体" w:cs="宋体"/>
                <w:color w:val="auto"/>
                <w:sz w:val="24"/>
                <w:szCs w:val="24"/>
                <w:highlight w:val="none"/>
              </w:rPr>
            </w:pPr>
          </w:p>
          <w:p w14:paraId="24476A32">
            <w:pPr>
              <w:spacing w:line="360" w:lineRule="auto"/>
              <w:jc w:val="center"/>
              <w:rPr>
                <w:rFonts w:hint="eastAsia" w:ascii="宋体" w:hAnsi="宋体" w:eastAsia="宋体" w:cs="宋体"/>
                <w:color w:val="auto"/>
                <w:sz w:val="24"/>
                <w:szCs w:val="24"/>
                <w:highlight w:val="none"/>
              </w:rPr>
            </w:pPr>
          </w:p>
          <w:p w14:paraId="28F3531A">
            <w:pPr>
              <w:spacing w:line="360" w:lineRule="auto"/>
              <w:jc w:val="center"/>
              <w:rPr>
                <w:rFonts w:hint="eastAsia" w:ascii="宋体" w:hAnsi="宋体" w:eastAsia="宋体" w:cs="宋体"/>
                <w:color w:val="auto"/>
                <w:sz w:val="24"/>
                <w:szCs w:val="24"/>
                <w:highlight w:val="none"/>
              </w:rPr>
            </w:pPr>
          </w:p>
          <w:p w14:paraId="65BD891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r>
      <w:tr w14:paraId="4779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337" w:type="pct"/>
          </w:tcPr>
          <w:p w14:paraId="6AF807D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2662" w:type="pct"/>
          </w:tcPr>
          <w:p w14:paraId="50A3795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r>
      <w:tr w14:paraId="6B3F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2337" w:type="pct"/>
          </w:tcPr>
          <w:p w14:paraId="7F49984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tc>
        <w:tc>
          <w:tcPr>
            <w:tcW w:w="2662" w:type="pct"/>
          </w:tcPr>
          <w:p w14:paraId="7C3432A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tc>
      </w:tr>
      <w:tr w14:paraId="78F7D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37" w:type="pct"/>
          </w:tcPr>
          <w:p w14:paraId="16AF2C5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662" w:type="pct"/>
          </w:tcPr>
          <w:p w14:paraId="6F9ABEA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r>
      <w:tr w14:paraId="03D9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6873D81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被授权代表：（签字）</w:t>
            </w:r>
          </w:p>
        </w:tc>
        <w:tc>
          <w:tcPr>
            <w:tcW w:w="2662" w:type="pct"/>
          </w:tcPr>
          <w:p w14:paraId="5CB701D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被授权代表：（签字）</w:t>
            </w:r>
          </w:p>
        </w:tc>
      </w:tr>
      <w:tr w14:paraId="51DD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6E32B2D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662" w:type="pct"/>
          </w:tcPr>
          <w:p w14:paraId="7DD5755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r>
      <w:tr w14:paraId="328F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5A0982B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662" w:type="pct"/>
          </w:tcPr>
          <w:p w14:paraId="32F7743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r>
      <w:tr w14:paraId="275E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127D4191">
            <w:pPr>
              <w:spacing w:line="360" w:lineRule="auto"/>
              <w:jc w:val="left"/>
              <w:rPr>
                <w:rFonts w:hint="eastAsia" w:ascii="宋体" w:hAnsi="宋体" w:eastAsia="宋体" w:cs="宋体"/>
                <w:color w:val="auto"/>
                <w:sz w:val="24"/>
                <w:szCs w:val="24"/>
                <w:highlight w:val="none"/>
              </w:rPr>
            </w:pPr>
          </w:p>
        </w:tc>
        <w:tc>
          <w:tcPr>
            <w:tcW w:w="2662" w:type="pct"/>
          </w:tcPr>
          <w:p w14:paraId="3AEEAB3A">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开户银行：</w:t>
            </w:r>
          </w:p>
        </w:tc>
      </w:tr>
      <w:tr w14:paraId="2298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3CAE880B">
            <w:pPr>
              <w:spacing w:line="360" w:lineRule="auto"/>
              <w:jc w:val="left"/>
              <w:rPr>
                <w:rFonts w:hint="eastAsia" w:ascii="宋体" w:hAnsi="宋体" w:eastAsia="宋体" w:cs="宋体"/>
                <w:color w:val="auto"/>
                <w:sz w:val="24"/>
                <w:szCs w:val="24"/>
                <w:highlight w:val="none"/>
              </w:rPr>
            </w:pPr>
          </w:p>
        </w:tc>
        <w:tc>
          <w:tcPr>
            <w:tcW w:w="2662" w:type="pct"/>
          </w:tcPr>
          <w:p w14:paraId="1651B82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r>
      <w:tr w14:paraId="179F4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37" w:type="pct"/>
          </w:tcPr>
          <w:p w14:paraId="039446F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c>
          <w:tcPr>
            <w:tcW w:w="2662" w:type="pct"/>
          </w:tcPr>
          <w:p w14:paraId="3FC567F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tc>
      </w:tr>
    </w:tbl>
    <w:p w14:paraId="556D8A81">
      <w:pPr>
        <w:tabs>
          <w:tab w:val="left" w:pos="4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98DA74C">
      <w:pPr>
        <w:tabs>
          <w:tab w:val="left" w:pos="675"/>
        </w:tabs>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附件</w:t>
      </w:r>
    </w:p>
    <w:p w14:paraId="7C8A878D">
      <w:pPr>
        <w:tabs>
          <w:tab w:val="left" w:pos="675"/>
        </w:tabs>
        <w:spacing w:line="360" w:lineRule="auto"/>
        <w:jc w:val="center"/>
        <w:rPr>
          <w:rFonts w:hint="eastAsia" w:ascii="宋体" w:hAnsi="宋体" w:eastAsia="宋体" w:cs="宋体"/>
          <w:b/>
          <w:color w:val="auto"/>
          <w:sz w:val="24"/>
          <w:szCs w:val="24"/>
          <w:highlight w:val="none"/>
        </w:rPr>
      </w:pPr>
    </w:p>
    <w:p w14:paraId="33AAC1FA">
      <w:pPr>
        <w:tabs>
          <w:tab w:val="left" w:pos="675"/>
        </w:tabs>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（项目名称）</w:t>
      </w:r>
      <w:r>
        <w:rPr>
          <w:rFonts w:hint="eastAsia" w:ascii="宋体" w:hAnsi="宋体" w:eastAsia="宋体" w:cs="宋体"/>
          <w:b/>
          <w:color w:val="auto"/>
          <w:sz w:val="24"/>
          <w:szCs w:val="24"/>
          <w:highlight w:val="none"/>
        </w:rPr>
        <w:t>配置清单</w:t>
      </w:r>
    </w:p>
    <w:p w14:paraId="51222C35">
      <w:pPr>
        <w:tabs>
          <w:tab w:val="left" w:pos="675"/>
        </w:tabs>
        <w:spacing w:line="360" w:lineRule="auto"/>
        <w:jc w:val="center"/>
        <w:rPr>
          <w:rFonts w:hint="eastAsia" w:ascii="宋体" w:hAnsi="宋体" w:eastAsia="宋体" w:cs="宋体"/>
          <w:b/>
          <w:color w:val="auto"/>
          <w:sz w:val="24"/>
          <w:szCs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631"/>
        <w:gridCol w:w="1710"/>
        <w:gridCol w:w="1418"/>
        <w:gridCol w:w="1134"/>
        <w:gridCol w:w="1347"/>
      </w:tblGrid>
      <w:tr w14:paraId="4157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center"/>
          </w:tcPr>
          <w:p w14:paraId="08F6DB3E">
            <w:pPr>
              <w:tabs>
                <w:tab w:val="left" w:pos="48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31" w:type="dxa"/>
            <w:tcBorders>
              <w:top w:val="single" w:color="auto" w:sz="4" w:space="0"/>
              <w:left w:val="single" w:color="auto" w:sz="4" w:space="0"/>
              <w:bottom w:val="single" w:color="auto" w:sz="4" w:space="0"/>
              <w:right w:val="single" w:color="auto" w:sz="4" w:space="0"/>
            </w:tcBorders>
            <w:vAlign w:val="center"/>
          </w:tcPr>
          <w:p w14:paraId="104BB7D1">
            <w:pPr>
              <w:tabs>
                <w:tab w:val="left" w:pos="48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1710" w:type="dxa"/>
            <w:tcBorders>
              <w:top w:val="single" w:color="auto" w:sz="4" w:space="0"/>
              <w:left w:val="single" w:color="auto" w:sz="4" w:space="0"/>
              <w:bottom w:val="single" w:color="auto" w:sz="4" w:space="0"/>
              <w:right w:val="single" w:color="auto" w:sz="4" w:space="0"/>
            </w:tcBorders>
            <w:vAlign w:val="center"/>
          </w:tcPr>
          <w:p w14:paraId="52A91D93">
            <w:pPr>
              <w:tabs>
                <w:tab w:val="left" w:pos="48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规格参数</w:t>
            </w:r>
          </w:p>
        </w:tc>
        <w:tc>
          <w:tcPr>
            <w:tcW w:w="1418" w:type="dxa"/>
            <w:tcBorders>
              <w:top w:val="single" w:color="auto" w:sz="4" w:space="0"/>
              <w:left w:val="single" w:color="auto" w:sz="4" w:space="0"/>
              <w:bottom w:val="single" w:color="auto" w:sz="4" w:space="0"/>
              <w:right w:val="single" w:color="auto" w:sz="4" w:space="0"/>
            </w:tcBorders>
            <w:vAlign w:val="center"/>
          </w:tcPr>
          <w:p w14:paraId="4BBA099C">
            <w:pPr>
              <w:tabs>
                <w:tab w:val="left" w:pos="48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134" w:type="dxa"/>
            <w:tcBorders>
              <w:top w:val="single" w:color="auto" w:sz="4" w:space="0"/>
              <w:left w:val="single" w:color="auto" w:sz="4" w:space="0"/>
              <w:bottom w:val="single" w:color="auto" w:sz="4" w:space="0"/>
              <w:right w:val="single" w:color="auto" w:sz="4" w:space="0"/>
            </w:tcBorders>
          </w:tcPr>
          <w:p w14:paraId="4FE39FE1">
            <w:pPr>
              <w:tabs>
                <w:tab w:val="left" w:pos="480"/>
              </w:tabs>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产地</w:t>
            </w:r>
          </w:p>
        </w:tc>
        <w:tc>
          <w:tcPr>
            <w:tcW w:w="1347" w:type="dxa"/>
            <w:tcBorders>
              <w:top w:val="single" w:color="auto" w:sz="4" w:space="0"/>
              <w:left w:val="single" w:color="auto" w:sz="4" w:space="0"/>
              <w:bottom w:val="single" w:color="auto" w:sz="4" w:space="0"/>
              <w:right w:val="single" w:color="auto" w:sz="4" w:space="0"/>
            </w:tcBorders>
          </w:tcPr>
          <w:p w14:paraId="7A1212F9">
            <w:pPr>
              <w:tabs>
                <w:tab w:val="left" w:pos="48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45F9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52B07D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31" w:type="dxa"/>
            <w:tcBorders>
              <w:top w:val="single" w:color="auto" w:sz="4" w:space="0"/>
              <w:left w:val="single" w:color="auto" w:sz="4" w:space="0"/>
              <w:bottom w:val="single" w:color="auto" w:sz="4" w:space="0"/>
              <w:right w:val="single" w:color="auto" w:sz="4" w:space="0"/>
            </w:tcBorders>
            <w:vAlign w:val="bottom"/>
          </w:tcPr>
          <w:p w14:paraId="5B945EA6">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307D6A7">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75F3912">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2ED482C">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7752F04C">
            <w:pPr>
              <w:tabs>
                <w:tab w:val="left" w:pos="480"/>
              </w:tabs>
              <w:spacing w:line="360" w:lineRule="auto"/>
              <w:jc w:val="center"/>
              <w:rPr>
                <w:rFonts w:hint="eastAsia" w:ascii="宋体" w:hAnsi="宋体" w:eastAsia="宋体" w:cs="宋体"/>
                <w:color w:val="auto"/>
                <w:sz w:val="24"/>
                <w:szCs w:val="24"/>
                <w:highlight w:val="none"/>
              </w:rPr>
            </w:pPr>
          </w:p>
        </w:tc>
      </w:tr>
      <w:tr w14:paraId="021E4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9F8EF6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31" w:type="dxa"/>
            <w:tcBorders>
              <w:top w:val="single" w:color="auto" w:sz="4" w:space="0"/>
              <w:left w:val="single" w:color="auto" w:sz="4" w:space="0"/>
              <w:bottom w:val="single" w:color="auto" w:sz="4" w:space="0"/>
              <w:right w:val="single" w:color="auto" w:sz="4" w:space="0"/>
            </w:tcBorders>
            <w:vAlign w:val="bottom"/>
          </w:tcPr>
          <w:p w14:paraId="0A4A0E3A">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F573AC6">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360586C5">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6EF152A">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1D7704C8">
            <w:pPr>
              <w:tabs>
                <w:tab w:val="left" w:pos="480"/>
              </w:tabs>
              <w:spacing w:line="360" w:lineRule="auto"/>
              <w:jc w:val="center"/>
              <w:rPr>
                <w:rFonts w:hint="eastAsia" w:ascii="宋体" w:hAnsi="宋体" w:eastAsia="宋体" w:cs="宋体"/>
                <w:color w:val="auto"/>
                <w:sz w:val="24"/>
                <w:szCs w:val="24"/>
                <w:highlight w:val="none"/>
              </w:rPr>
            </w:pPr>
          </w:p>
        </w:tc>
      </w:tr>
      <w:tr w14:paraId="53144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98532D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31" w:type="dxa"/>
            <w:tcBorders>
              <w:top w:val="single" w:color="auto" w:sz="4" w:space="0"/>
              <w:left w:val="single" w:color="auto" w:sz="4" w:space="0"/>
              <w:bottom w:val="single" w:color="auto" w:sz="4" w:space="0"/>
              <w:right w:val="single" w:color="auto" w:sz="4" w:space="0"/>
            </w:tcBorders>
            <w:vAlign w:val="bottom"/>
          </w:tcPr>
          <w:p w14:paraId="185A5E80">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FB80417">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4AC26FD">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DC1FC9">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714B8F66">
            <w:pPr>
              <w:tabs>
                <w:tab w:val="left" w:pos="480"/>
              </w:tabs>
              <w:spacing w:line="360" w:lineRule="auto"/>
              <w:jc w:val="center"/>
              <w:rPr>
                <w:rFonts w:hint="eastAsia" w:ascii="宋体" w:hAnsi="宋体" w:eastAsia="宋体" w:cs="宋体"/>
                <w:color w:val="auto"/>
                <w:sz w:val="24"/>
                <w:szCs w:val="24"/>
                <w:highlight w:val="none"/>
              </w:rPr>
            </w:pPr>
          </w:p>
        </w:tc>
      </w:tr>
      <w:tr w14:paraId="58A22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D089F8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631" w:type="dxa"/>
            <w:tcBorders>
              <w:top w:val="single" w:color="auto" w:sz="4" w:space="0"/>
              <w:left w:val="single" w:color="auto" w:sz="4" w:space="0"/>
              <w:bottom w:val="single" w:color="auto" w:sz="4" w:space="0"/>
              <w:right w:val="single" w:color="auto" w:sz="4" w:space="0"/>
            </w:tcBorders>
            <w:vAlign w:val="bottom"/>
          </w:tcPr>
          <w:p w14:paraId="6B966FCC">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3CFEBECF">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53DF8A9D">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64501E6">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733D3447">
            <w:pPr>
              <w:tabs>
                <w:tab w:val="left" w:pos="480"/>
              </w:tabs>
              <w:spacing w:line="360" w:lineRule="auto"/>
              <w:jc w:val="center"/>
              <w:rPr>
                <w:rFonts w:hint="eastAsia" w:ascii="宋体" w:hAnsi="宋体" w:eastAsia="宋体" w:cs="宋体"/>
                <w:color w:val="auto"/>
                <w:sz w:val="24"/>
                <w:szCs w:val="24"/>
                <w:highlight w:val="none"/>
              </w:rPr>
            </w:pPr>
          </w:p>
        </w:tc>
      </w:tr>
      <w:tr w14:paraId="5784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469CF20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631" w:type="dxa"/>
            <w:tcBorders>
              <w:top w:val="single" w:color="auto" w:sz="4" w:space="0"/>
              <w:left w:val="single" w:color="auto" w:sz="4" w:space="0"/>
              <w:bottom w:val="single" w:color="auto" w:sz="4" w:space="0"/>
              <w:right w:val="single" w:color="auto" w:sz="4" w:space="0"/>
            </w:tcBorders>
            <w:vAlign w:val="bottom"/>
          </w:tcPr>
          <w:p w14:paraId="33AE02A6">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3269DAE4">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508E4378">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4727A4D">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4CE886EA">
            <w:pPr>
              <w:tabs>
                <w:tab w:val="left" w:pos="480"/>
              </w:tabs>
              <w:spacing w:line="360" w:lineRule="auto"/>
              <w:jc w:val="center"/>
              <w:rPr>
                <w:rFonts w:hint="eastAsia" w:ascii="宋体" w:hAnsi="宋体" w:eastAsia="宋体" w:cs="宋体"/>
                <w:color w:val="auto"/>
                <w:sz w:val="24"/>
                <w:szCs w:val="24"/>
                <w:highlight w:val="none"/>
              </w:rPr>
            </w:pPr>
          </w:p>
        </w:tc>
      </w:tr>
      <w:tr w14:paraId="090E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FC1A4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631" w:type="dxa"/>
            <w:tcBorders>
              <w:top w:val="single" w:color="auto" w:sz="4" w:space="0"/>
              <w:left w:val="single" w:color="auto" w:sz="4" w:space="0"/>
              <w:bottom w:val="single" w:color="auto" w:sz="4" w:space="0"/>
              <w:right w:val="single" w:color="auto" w:sz="4" w:space="0"/>
            </w:tcBorders>
            <w:vAlign w:val="bottom"/>
          </w:tcPr>
          <w:p w14:paraId="2A401947">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3A3A4ECB">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43C2F272">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E26C73">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11138CFC">
            <w:pPr>
              <w:tabs>
                <w:tab w:val="left" w:pos="480"/>
              </w:tabs>
              <w:spacing w:line="360" w:lineRule="auto"/>
              <w:jc w:val="center"/>
              <w:rPr>
                <w:rFonts w:hint="eastAsia" w:ascii="宋体" w:hAnsi="宋体" w:eastAsia="宋体" w:cs="宋体"/>
                <w:color w:val="auto"/>
                <w:sz w:val="24"/>
                <w:szCs w:val="24"/>
                <w:highlight w:val="none"/>
              </w:rPr>
            </w:pPr>
          </w:p>
        </w:tc>
      </w:tr>
      <w:tr w14:paraId="3566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215B61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631" w:type="dxa"/>
            <w:tcBorders>
              <w:top w:val="single" w:color="auto" w:sz="4" w:space="0"/>
              <w:left w:val="single" w:color="auto" w:sz="4" w:space="0"/>
              <w:bottom w:val="single" w:color="auto" w:sz="4" w:space="0"/>
              <w:right w:val="single" w:color="auto" w:sz="4" w:space="0"/>
            </w:tcBorders>
            <w:vAlign w:val="bottom"/>
          </w:tcPr>
          <w:p w14:paraId="442F9EB7">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61BAE4C2">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B377BFA">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7960E69">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055C3F24">
            <w:pPr>
              <w:tabs>
                <w:tab w:val="left" w:pos="480"/>
              </w:tabs>
              <w:spacing w:line="360" w:lineRule="auto"/>
              <w:jc w:val="center"/>
              <w:rPr>
                <w:rFonts w:hint="eastAsia" w:ascii="宋体" w:hAnsi="宋体" w:eastAsia="宋体" w:cs="宋体"/>
                <w:color w:val="auto"/>
                <w:sz w:val="24"/>
                <w:szCs w:val="24"/>
                <w:highlight w:val="none"/>
              </w:rPr>
            </w:pPr>
          </w:p>
        </w:tc>
      </w:tr>
      <w:tr w14:paraId="38AD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5C2C2AD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631" w:type="dxa"/>
            <w:tcBorders>
              <w:top w:val="single" w:color="auto" w:sz="4" w:space="0"/>
              <w:left w:val="single" w:color="auto" w:sz="4" w:space="0"/>
              <w:bottom w:val="single" w:color="auto" w:sz="4" w:space="0"/>
              <w:right w:val="single" w:color="auto" w:sz="4" w:space="0"/>
            </w:tcBorders>
            <w:vAlign w:val="bottom"/>
          </w:tcPr>
          <w:p w14:paraId="5C8CF3C3">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C077AC2">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73F546E">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3D515FD">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70A3D0D6">
            <w:pPr>
              <w:tabs>
                <w:tab w:val="left" w:pos="480"/>
              </w:tabs>
              <w:spacing w:line="360" w:lineRule="auto"/>
              <w:jc w:val="center"/>
              <w:rPr>
                <w:rFonts w:hint="eastAsia" w:ascii="宋体" w:hAnsi="宋体" w:eastAsia="宋体" w:cs="宋体"/>
                <w:color w:val="auto"/>
                <w:sz w:val="24"/>
                <w:szCs w:val="24"/>
                <w:highlight w:val="none"/>
              </w:rPr>
            </w:pPr>
          </w:p>
        </w:tc>
      </w:tr>
      <w:tr w14:paraId="4604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F8BF3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631" w:type="dxa"/>
            <w:tcBorders>
              <w:top w:val="single" w:color="auto" w:sz="4" w:space="0"/>
              <w:left w:val="single" w:color="auto" w:sz="4" w:space="0"/>
              <w:bottom w:val="single" w:color="auto" w:sz="4" w:space="0"/>
              <w:right w:val="single" w:color="auto" w:sz="4" w:space="0"/>
            </w:tcBorders>
            <w:vAlign w:val="bottom"/>
          </w:tcPr>
          <w:p w14:paraId="5CAF4FFB">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00FC9E39">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5823B8A0">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061AEDB">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4753BF39">
            <w:pPr>
              <w:tabs>
                <w:tab w:val="left" w:pos="480"/>
              </w:tabs>
              <w:spacing w:line="360" w:lineRule="auto"/>
              <w:jc w:val="center"/>
              <w:rPr>
                <w:rFonts w:hint="eastAsia" w:ascii="宋体" w:hAnsi="宋体" w:eastAsia="宋体" w:cs="宋体"/>
                <w:color w:val="auto"/>
                <w:sz w:val="24"/>
                <w:szCs w:val="24"/>
                <w:highlight w:val="none"/>
              </w:rPr>
            </w:pPr>
          </w:p>
        </w:tc>
      </w:tr>
      <w:tr w14:paraId="082B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020D7F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631" w:type="dxa"/>
            <w:tcBorders>
              <w:top w:val="single" w:color="auto" w:sz="4" w:space="0"/>
              <w:left w:val="single" w:color="auto" w:sz="4" w:space="0"/>
              <w:bottom w:val="single" w:color="auto" w:sz="4" w:space="0"/>
              <w:right w:val="single" w:color="auto" w:sz="4" w:space="0"/>
            </w:tcBorders>
            <w:vAlign w:val="bottom"/>
          </w:tcPr>
          <w:p w14:paraId="2F622BC5">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1D87C864">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5088E00C">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2FB4FFA">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5AEA7B88">
            <w:pPr>
              <w:tabs>
                <w:tab w:val="left" w:pos="480"/>
              </w:tabs>
              <w:spacing w:line="360" w:lineRule="auto"/>
              <w:jc w:val="center"/>
              <w:rPr>
                <w:rFonts w:hint="eastAsia" w:ascii="宋体" w:hAnsi="宋体" w:eastAsia="宋体" w:cs="宋体"/>
                <w:color w:val="auto"/>
                <w:sz w:val="24"/>
                <w:szCs w:val="24"/>
                <w:highlight w:val="none"/>
              </w:rPr>
            </w:pPr>
          </w:p>
        </w:tc>
      </w:tr>
      <w:tr w14:paraId="7452F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571FA6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631" w:type="dxa"/>
            <w:tcBorders>
              <w:top w:val="single" w:color="auto" w:sz="4" w:space="0"/>
              <w:left w:val="single" w:color="auto" w:sz="4" w:space="0"/>
              <w:bottom w:val="single" w:color="auto" w:sz="4" w:space="0"/>
              <w:right w:val="single" w:color="auto" w:sz="4" w:space="0"/>
            </w:tcBorders>
            <w:vAlign w:val="bottom"/>
          </w:tcPr>
          <w:p w14:paraId="0D6C6442">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14267166">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43FBC27">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835B9A">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2DBFEA6D">
            <w:pPr>
              <w:tabs>
                <w:tab w:val="left" w:pos="480"/>
              </w:tabs>
              <w:spacing w:line="360" w:lineRule="auto"/>
              <w:jc w:val="center"/>
              <w:rPr>
                <w:rFonts w:hint="eastAsia" w:ascii="宋体" w:hAnsi="宋体" w:eastAsia="宋体" w:cs="宋体"/>
                <w:color w:val="auto"/>
                <w:sz w:val="24"/>
                <w:szCs w:val="24"/>
                <w:highlight w:val="none"/>
              </w:rPr>
            </w:pPr>
          </w:p>
        </w:tc>
      </w:tr>
      <w:tr w14:paraId="0D29F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0A04F6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631" w:type="dxa"/>
            <w:tcBorders>
              <w:top w:val="single" w:color="auto" w:sz="4" w:space="0"/>
              <w:left w:val="single" w:color="auto" w:sz="4" w:space="0"/>
              <w:bottom w:val="single" w:color="auto" w:sz="4" w:space="0"/>
              <w:right w:val="single" w:color="auto" w:sz="4" w:space="0"/>
            </w:tcBorders>
            <w:vAlign w:val="bottom"/>
          </w:tcPr>
          <w:p w14:paraId="309A89C3">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16857305">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6C83110">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9B9C9C2">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1AAEC1F2">
            <w:pPr>
              <w:tabs>
                <w:tab w:val="left" w:pos="480"/>
              </w:tabs>
              <w:spacing w:line="360" w:lineRule="auto"/>
              <w:jc w:val="center"/>
              <w:rPr>
                <w:rFonts w:hint="eastAsia" w:ascii="宋体" w:hAnsi="宋体" w:eastAsia="宋体" w:cs="宋体"/>
                <w:color w:val="auto"/>
                <w:sz w:val="24"/>
                <w:szCs w:val="24"/>
                <w:highlight w:val="none"/>
              </w:rPr>
            </w:pPr>
          </w:p>
        </w:tc>
      </w:tr>
      <w:tr w14:paraId="34AC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8D20C7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631" w:type="dxa"/>
            <w:tcBorders>
              <w:top w:val="single" w:color="auto" w:sz="4" w:space="0"/>
              <w:left w:val="single" w:color="auto" w:sz="4" w:space="0"/>
              <w:bottom w:val="single" w:color="auto" w:sz="4" w:space="0"/>
              <w:right w:val="single" w:color="auto" w:sz="4" w:space="0"/>
            </w:tcBorders>
            <w:vAlign w:val="bottom"/>
          </w:tcPr>
          <w:p w14:paraId="31867BB9">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98B2648">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EC4DD08">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CDA49A">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7357A135">
            <w:pPr>
              <w:tabs>
                <w:tab w:val="left" w:pos="480"/>
              </w:tabs>
              <w:spacing w:line="360" w:lineRule="auto"/>
              <w:jc w:val="center"/>
              <w:rPr>
                <w:rFonts w:hint="eastAsia" w:ascii="宋体" w:hAnsi="宋体" w:eastAsia="宋体" w:cs="宋体"/>
                <w:color w:val="auto"/>
                <w:sz w:val="24"/>
                <w:szCs w:val="24"/>
                <w:highlight w:val="none"/>
              </w:rPr>
            </w:pPr>
          </w:p>
        </w:tc>
      </w:tr>
      <w:tr w14:paraId="2A6E4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58E163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631" w:type="dxa"/>
            <w:tcBorders>
              <w:top w:val="single" w:color="auto" w:sz="4" w:space="0"/>
              <w:left w:val="single" w:color="auto" w:sz="4" w:space="0"/>
              <w:bottom w:val="single" w:color="auto" w:sz="4" w:space="0"/>
              <w:right w:val="single" w:color="auto" w:sz="4" w:space="0"/>
            </w:tcBorders>
            <w:vAlign w:val="bottom"/>
          </w:tcPr>
          <w:p w14:paraId="5E492CF1">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9F3B2C9">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4284993E">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021F4CE">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5F4C3ABC">
            <w:pPr>
              <w:tabs>
                <w:tab w:val="left" w:pos="480"/>
              </w:tabs>
              <w:spacing w:line="360" w:lineRule="auto"/>
              <w:jc w:val="center"/>
              <w:rPr>
                <w:rFonts w:hint="eastAsia" w:ascii="宋体" w:hAnsi="宋体" w:eastAsia="宋体" w:cs="宋体"/>
                <w:color w:val="auto"/>
                <w:sz w:val="24"/>
                <w:szCs w:val="24"/>
                <w:highlight w:val="none"/>
              </w:rPr>
            </w:pPr>
          </w:p>
        </w:tc>
      </w:tr>
      <w:tr w14:paraId="5431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4BFA75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2631" w:type="dxa"/>
            <w:tcBorders>
              <w:top w:val="single" w:color="auto" w:sz="4" w:space="0"/>
              <w:left w:val="single" w:color="auto" w:sz="4" w:space="0"/>
              <w:bottom w:val="single" w:color="auto" w:sz="4" w:space="0"/>
              <w:right w:val="single" w:color="auto" w:sz="4" w:space="0"/>
            </w:tcBorders>
            <w:vAlign w:val="bottom"/>
          </w:tcPr>
          <w:p w14:paraId="71F64B2E">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C3015ED">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BB34275">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0451458">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1EF339C8">
            <w:pPr>
              <w:tabs>
                <w:tab w:val="left" w:pos="480"/>
              </w:tabs>
              <w:spacing w:line="360" w:lineRule="auto"/>
              <w:jc w:val="center"/>
              <w:rPr>
                <w:rFonts w:hint="eastAsia" w:ascii="宋体" w:hAnsi="宋体" w:eastAsia="宋体" w:cs="宋体"/>
                <w:color w:val="auto"/>
                <w:sz w:val="24"/>
                <w:szCs w:val="24"/>
                <w:highlight w:val="none"/>
              </w:rPr>
            </w:pPr>
          </w:p>
        </w:tc>
      </w:tr>
      <w:tr w14:paraId="2B40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0F3775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2631" w:type="dxa"/>
            <w:tcBorders>
              <w:top w:val="single" w:color="auto" w:sz="4" w:space="0"/>
              <w:left w:val="single" w:color="auto" w:sz="4" w:space="0"/>
              <w:bottom w:val="single" w:color="auto" w:sz="4" w:space="0"/>
              <w:right w:val="single" w:color="auto" w:sz="4" w:space="0"/>
            </w:tcBorders>
            <w:vAlign w:val="bottom"/>
          </w:tcPr>
          <w:p w14:paraId="48ABFF2F">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1348741">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4280F4A">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659B09E">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6F829455">
            <w:pPr>
              <w:tabs>
                <w:tab w:val="left" w:pos="480"/>
              </w:tabs>
              <w:spacing w:line="360" w:lineRule="auto"/>
              <w:jc w:val="center"/>
              <w:rPr>
                <w:rFonts w:hint="eastAsia" w:ascii="宋体" w:hAnsi="宋体" w:eastAsia="宋体" w:cs="宋体"/>
                <w:color w:val="auto"/>
                <w:sz w:val="24"/>
                <w:szCs w:val="24"/>
                <w:highlight w:val="none"/>
              </w:rPr>
            </w:pPr>
          </w:p>
        </w:tc>
      </w:tr>
      <w:tr w14:paraId="22357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4F1EB4C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2631" w:type="dxa"/>
            <w:tcBorders>
              <w:top w:val="single" w:color="auto" w:sz="4" w:space="0"/>
              <w:left w:val="single" w:color="auto" w:sz="4" w:space="0"/>
              <w:bottom w:val="single" w:color="auto" w:sz="4" w:space="0"/>
              <w:right w:val="single" w:color="auto" w:sz="4" w:space="0"/>
            </w:tcBorders>
            <w:vAlign w:val="bottom"/>
          </w:tcPr>
          <w:p w14:paraId="40369743">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F9BECCE">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1666B7A">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BB3974">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28022754">
            <w:pPr>
              <w:tabs>
                <w:tab w:val="left" w:pos="480"/>
              </w:tabs>
              <w:spacing w:line="360" w:lineRule="auto"/>
              <w:jc w:val="center"/>
              <w:rPr>
                <w:rFonts w:hint="eastAsia" w:ascii="宋体" w:hAnsi="宋体" w:eastAsia="宋体" w:cs="宋体"/>
                <w:color w:val="auto"/>
                <w:sz w:val="24"/>
                <w:szCs w:val="24"/>
                <w:highlight w:val="none"/>
              </w:rPr>
            </w:pPr>
          </w:p>
        </w:tc>
      </w:tr>
      <w:tr w14:paraId="4EE4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590232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2631" w:type="dxa"/>
            <w:tcBorders>
              <w:top w:val="single" w:color="auto" w:sz="4" w:space="0"/>
              <w:left w:val="single" w:color="auto" w:sz="4" w:space="0"/>
              <w:bottom w:val="single" w:color="auto" w:sz="4" w:space="0"/>
              <w:right w:val="single" w:color="auto" w:sz="4" w:space="0"/>
            </w:tcBorders>
            <w:vAlign w:val="bottom"/>
          </w:tcPr>
          <w:p w14:paraId="61357868">
            <w:pPr>
              <w:spacing w:line="360" w:lineRule="auto"/>
              <w:jc w:val="center"/>
              <w:rPr>
                <w:rFonts w:hint="eastAsia" w:ascii="宋体" w:hAnsi="宋体" w:eastAsia="宋体" w:cs="宋体"/>
                <w:color w:val="auto"/>
                <w:sz w:val="24"/>
                <w:szCs w:val="24"/>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35D253C">
            <w:pPr>
              <w:spacing w:line="360" w:lineRule="auto"/>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23EF4A5">
            <w:pPr>
              <w:spacing w:line="360" w:lineRule="auto"/>
              <w:jc w:val="center"/>
              <w:rPr>
                <w:rFonts w:hint="eastAsia" w:ascii="宋体" w:hAnsi="宋体" w:eastAsia="宋体" w:cs="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4340FC4">
            <w:pPr>
              <w:spacing w:line="360" w:lineRule="auto"/>
              <w:jc w:val="center"/>
              <w:rPr>
                <w:rFonts w:hint="eastAsia" w:ascii="宋体" w:hAnsi="宋体" w:eastAsia="宋体" w:cs="宋体"/>
                <w:color w:val="auto"/>
                <w:sz w:val="24"/>
                <w:szCs w:val="24"/>
                <w:highlight w:val="none"/>
              </w:rPr>
            </w:pPr>
          </w:p>
        </w:tc>
        <w:tc>
          <w:tcPr>
            <w:tcW w:w="1347" w:type="dxa"/>
            <w:tcBorders>
              <w:top w:val="single" w:color="auto" w:sz="4" w:space="0"/>
              <w:left w:val="single" w:color="auto" w:sz="4" w:space="0"/>
              <w:bottom w:val="single" w:color="auto" w:sz="4" w:space="0"/>
              <w:right w:val="single" w:color="auto" w:sz="4" w:space="0"/>
            </w:tcBorders>
          </w:tcPr>
          <w:p w14:paraId="09670AEC">
            <w:pPr>
              <w:tabs>
                <w:tab w:val="left" w:pos="480"/>
              </w:tabs>
              <w:spacing w:line="360" w:lineRule="auto"/>
              <w:jc w:val="center"/>
              <w:rPr>
                <w:rFonts w:hint="eastAsia" w:ascii="宋体" w:hAnsi="宋体" w:eastAsia="宋体" w:cs="宋体"/>
                <w:color w:val="auto"/>
                <w:sz w:val="24"/>
                <w:szCs w:val="24"/>
                <w:highlight w:val="none"/>
              </w:rPr>
            </w:pPr>
          </w:p>
        </w:tc>
      </w:tr>
    </w:tbl>
    <w:p w14:paraId="54AEF958">
      <w:pPr>
        <w:pStyle w:val="8"/>
        <w:rPr>
          <w:rFonts w:hint="eastAsia" w:ascii="宋体" w:hAnsi="宋体" w:eastAsia="宋体" w:cs="宋体"/>
          <w:color w:val="auto"/>
          <w:sz w:val="24"/>
          <w:szCs w:val="24"/>
          <w:highlight w:val="none"/>
        </w:rPr>
        <w:sectPr>
          <w:headerReference r:id="rId11" w:type="first"/>
          <w:footerReference r:id="rId13" w:type="first"/>
          <w:footerReference r:id="rId12" w:type="default"/>
          <w:pgSz w:w="11906" w:h="16838"/>
          <w:pgMar w:top="1361" w:right="1417" w:bottom="1361" w:left="1417" w:header="1134" w:footer="992" w:gutter="0"/>
          <w:pgNumType w:fmt="decimal" w:start="1"/>
          <w:cols w:space="720" w:num="1"/>
          <w:docGrid w:type="lines" w:linePitch="333" w:charSpace="0"/>
        </w:sectPr>
      </w:pPr>
    </w:p>
    <w:p w14:paraId="6B9540E9">
      <w:pPr>
        <w:rPr>
          <w:rFonts w:hint="eastAsia"/>
        </w:rPr>
        <w:sectPr>
          <w:type w:val="continuous"/>
          <w:pgSz w:w="11906" w:h="16838"/>
          <w:pgMar w:top="1361" w:right="1417" w:bottom="1361" w:left="1417" w:header="1134" w:footer="992" w:gutter="0"/>
          <w:pgNumType w:fmt="decimal" w:start="1"/>
          <w:cols w:space="720" w:num="1"/>
          <w:docGrid w:type="lines" w:linePitch="333" w:charSpace="0"/>
        </w:sectPr>
      </w:pPr>
    </w:p>
    <w:bookmarkEnd w:id="76"/>
    <w:bookmarkEnd w:id="77"/>
    <w:bookmarkEnd w:id="78"/>
    <w:bookmarkEnd w:id="79"/>
    <w:bookmarkEnd w:id="80"/>
    <w:bookmarkEnd w:id="81"/>
    <w:bookmarkEnd w:id="82"/>
    <w:bookmarkEnd w:id="83"/>
    <w:bookmarkEnd w:id="84"/>
    <w:bookmarkEnd w:id="85"/>
    <w:bookmarkEnd w:id="86"/>
    <w:bookmarkEnd w:id="87"/>
    <w:p w14:paraId="0007E766">
      <w:pPr>
        <w:rPr>
          <w:rFonts w:hint="eastAsia" w:ascii="宋体" w:hAnsi="宋体" w:eastAsia="宋体" w:cs="宋体"/>
          <w:color w:val="auto"/>
          <w:sz w:val="24"/>
          <w:szCs w:val="24"/>
          <w:highlight w:val="none"/>
          <w:lang w:eastAsia="zh-CN"/>
        </w:rPr>
        <w:sectPr>
          <w:footerReference r:id="rId14" w:type="default"/>
          <w:type w:val="continuous"/>
          <w:pgSz w:w="11906" w:h="16838"/>
          <w:pgMar w:top="1361" w:right="1417" w:bottom="1361" w:left="1417" w:header="1134" w:footer="992" w:gutter="0"/>
          <w:pgNumType w:fmt="decimal"/>
          <w:cols w:space="720" w:num="1"/>
          <w:docGrid w:type="lines" w:linePitch="333" w:charSpace="0"/>
        </w:sectPr>
      </w:pPr>
      <w:bookmarkStart w:id="88" w:name="_Toc9850"/>
      <w:r>
        <w:rPr>
          <w:rFonts w:hint="eastAsia" w:ascii="宋体" w:hAnsi="宋体" w:eastAsia="宋体" w:cs="宋体"/>
          <w:color w:val="auto"/>
          <w:sz w:val="24"/>
          <w:szCs w:val="24"/>
          <w:highlight w:val="none"/>
          <w:lang w:eastAsia="zh-CN"/>
        </w:rPr>
        <w:br w:type="page"/>
      </w:r>
    </w:p>
    <w:p w14:paraId="13969A0B">
      <w:pPr>
        <w:rPr>
          <w:rFonts w:hint="eastAsia" w:ascii="宋体" w:hAnsi="宋体" w:eastAsia="宋体" w:cs="宋体"/>
          <w:color w:val="auto"/>
          <w:sz w:val="24"/>
          <w:szCs w:val="24"/>
          <w:highlight w:val="none"/>
          <w:lang w:eastAsia="zh-CN"/>
        </w:rPr>
      </w:pPr>
    </w:p>
    <w:p w14:paraId="436418E5">
      <w:pPr>
        <w:pStyle w:val="2"/>
        <w:numPr>
          <w:ilvl w:val="0"/>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采购内容及</w:t>
      </w:r>
      <w:r>
        <w:rPr>
          <w:rFonts w:hint="eastAsia" w:asci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要求</w:t>
      </w:r>
      <w:bookmarkEnd w:id="88"/>
    </w:p>
    <w:bookmarkEnd w:id="32"/>
    <w:bookmarkEnd w:id="61"/>
    <w:bookmarkEnd w:id="62"/>
    <w:bookmarkEnd w:id="63"/>
    <w:bookmarkEnd w:id="64"/>
    <w:bookmarkEnd w:id="65"/>
    <w:bookmarkEnd w:id="66"/>
    <w:bookmarkEnd w:id="67"/>
    <w:bookmarkEnd w:id="68"/>
    <w:p w14:paraId="2DD6B73B">
      <w:pPr>
        <w:spacing w:before="300" w:after="120" w:line="288" w:lineRule="auto"/>
        <w:ind w:left="0"/>
        <w:jc w:val="left"/>
        <w:outlineLvl w:val="2"/>
        <w:rPr>
          <w:rFonts w:hint="eastAsia" w:ascii="宋体" w:hAnsi="宋体" w:eastAsia="宋体" w:cs="宋体"/>
          <w:b w:val="0"/>
          <w:bCs w:val="0"/>
          <w:color w:val="auto"/>
          <w:sz w:val="24"/>
          <w:szCs w:val="24"/>
          <w:highlight w:val="none"/>
        </w:rPr>
      </w:pPr>
      <w:bookmarkStart w:id="89" w:name="heading_1"/>
      <w:bookmarkStart w:id="90" w:name="_Toc20236"/>
      <w:bookmarkStart w:id="91" w:name="_Toc8126"/>
      <w:bookmarkStart w:id="92" w:name="_Toc22538"/>
      <w:bookmarkStart w:id="93" w:name="_Toc363474025"/>
      <w:bookmarkStart w:id="94" w:name="_Toc426457698"/>
      <w:bookmarkStart w:id="95" w:name="_Toc8830"/>
      <w:bookmarkStart w:id="96" w:name="_Toc28411"/>
      <w:r>
        <w:rPr>
          <w:rFonts w:hint="eastAsia" w:ascii="宋体" w:hAnsi="宋体" w:eastAsia="宋体" w:cs="宋体"/>
          <w:b w:val="0"/>
          <w:bCs w:val="0"/>
          <w:color w:val="auto"/>
          <w:sz w:val="24"/>
          <w:szCs w:val="24"/>
          <w:highlight w:val="none"/>
        </w:rPr>
        <w:t>一、项目概况</w:t>
      </w:r>
      <w:bookmarkEnd w:id="89"/>
    </w:p>
    <w:p w14:paraId="5F449714">
      <w:pPr>
        <w:keepNext w:val="0"/>
        <w:keepLines w:val="0"/>
        <w:pageBreakBefore w:val="0"/>
        <w:widowControl w:val="0"/>
        <w:kinsoku/>
        <w:wordWrap/>
        <w:overflowPunct/>
        <w:topLinePunct w:val="0"/>
        <w:autoSpaceDE/>
        <w:autoSpaceDN/>
        <w:bidi w:val="0"/>
        <w:adjustRightInd/>
        <w:snapToGrid/>
        <w:spacing w:before="120" w:after="120" w:line="360" w:lineRule="auto"/>
        <w:ind w:lef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为政府采购货物类项目，采购内容为山阳县生活垃圾压缩站及环卫配套设施更新改造（二期）所需环卫设施设备，包含设备供应、运输、装卸、现场就位、基座制作、水电接驳、功能调试、成品保护、现场整理、验收及质保等全部内容。</w:t>
      </w:r>
    </w:p>
    <w:p w14:paraId="1D076CF1">
      <w:pPr>
        <w:keepNext w:val="0"/>
        <w:keepLines w:val="0"/>
        <w:pageBreakBefore w:val="0"/>
        <w:widowControl w:val="0"/>
        <w:kinsoku/>
        <w:wordWrap/>
        <w:overflowPunct/>
        <w:topLinePunct w:val="0"/>
        <w:autoSpaceDE/>
        <w:autoSpaceDN/>
        <w:bidi w:val="0"/>
        <w:adjustRightInd/>
        <w:snapToGrid/>
        <w:spacing w:before="120" w:after="120" w:line="360" w:lineRule="auto"/>
        <w:ind w:lef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报价为全费用包干价，包含所有设备价款、运输、就位、基座、固定件、水电接驳、密封防护、调试、验收、人工、辅材、耗材、安全防护、现场整理、税金、保险及完成本项目全部工作的一切费用，采购人不再支付任何额外费用。</w:t>
      </w:r>
    </w:p>
    <w:p w14:paraId="370E0B0C">
      <w:pPr>
        <w:spacing w:before="300" w:after="120" w:line="288" w:lineRule="auto"/>
        <w:ind w:left="0"/>
        <w:jc w:val="left"/>
        <w:outlineLvl w:val="2"/>
        <w:rPr>
          <w:rFonts w:hint="eastAsia" w:ascii="宋体" w:hAnsi="宋体" w:eastAsia="宋体" w:cs="宋体"/>
          <w:b w:val="0"/>
          <w:bCs w:val="0"/>
          <w:color w:val="auto"/>
          <w:sz w:val="24"/>
          <w:szCs w:val="24"/>
          <w:highlight w:val="none"/>
        </w:rPr>
      </w:pPr>
      <w:bookmarkStart w:id="97" w:name="heading_2"/>
      <w:r>
        <w:rPr>
          <w:rFonts w:hint="eastAsia" w:ascii="宋体" w:hAnsi="宋体" w:eastAsia="宋体" w:cs="宋体"/>
          <w:b w:val="0"/>
          <w:bCs w:val="0"/>
          <w:color w:val="auto"/>
          <w:sz w:val="24"/>
          <w:szCs w:val="24"/>
          <w:highlight w:val="none"/>
        </w:rPr>
        <w:t>二、设备一览表及技术参数表</w:t>
      </w:r>
      <w:bookmarkEnd w:id="97"/>
    </w:p>
    <w:tbl>
      <w:tblPr>
        <w:tblStyle w:val="21"/>
        <w:tblW w:w="498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3"/>
        <w:gridCol w:w="1736"/>
        <w:gridCol w:w="655"/>
        <w:gridCol w:w="655"/>
        <w:gridCol w:w="4884"/>
        <w:gridCol w:w="668"/>
      </w:tblGrid>
      <w:tr w14:paraId="24633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DE644">
            <w:pPr>
              <w:keepNext w:val="0"/>
              <w:keepLines w:val="0"/>
              <w:widowControl/>
              <w:suppressLineNumbers w:val="0"/>
              <w:jc w:val="center"/>
              <w:textAlignment w:val="center"/>
              <w:rPr>
                <w:rFonts w:ascii="微软雅黑" w:hAnsi="微软雅黑" w:eastAsia="微软雅黑" w:cs="微软雅黑"/>
                <w:b/>
                <w:bCs/>
                <w:i w:val="0"/>
                <w:iCs w:val="0"/>
                <w:color w:val="auto"/>
                <w:sz w:val="24"/>
                <w:szCs w:val="24"/>
                <w:highlight w:val="none"/>
                <w:u w:val="none"/>
              </w:rPr>
            </w:pPr>
            <w:bookmarkStart w:id="98" w:name="heading_3"/>
            <w:r>
              <w:rPr>
                <w:rFonts w:hint="eastAsia" w:ascii="微软雅黑" w:hAnsi="微软雅黑" w:eastAsia="微软雅黑" w:cs="微软雅黑"/>
                <w:b/>
                <w:bCs/>
                <w:i w:val="0"/>
                <w:iCs w:val="0"/>
                <w:color w:val="auto"/>
                <w:kern w:val="0"/>
                <w:sz w:val="24"/>
                <w:szCs w:val="24"/>
                <w:highlight w:val="none"/>
                <w:u w:val="none"/>
                <w:lang w:val="en-US" w:eastAsia="zh-CN" w:bidi="ar"/>
              </w:rPr>
              <w:t>序号</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3E4E4">
            <w:pPr>
              <w:keepNext w:val="0"/>
              <w:keepLines w:val="0"/>
              <w:widowControl/>
              <w:suppressLineNumbers w:val="0"/>
              <w:jc w:val="center"/>
              <w:textAlignment w:val="center"/>
              <w:rPr>
                <w:rFonts w:hint="eastAsia" w:ascii="微软雅黑" w:hAnsi="微软雅黑" w:eastAsia="微软雅黑" w:cs="微软雅黑"/>
                <w:b/>
                <w:bCs/>
                <w:i w:val="0"/>
                <w:iCs w:val="0"/>
                <w:color w:val="auto"/>
                <w:sz w:val="24"/>
                <w:szCs w:val="24"/>
                <w:highlight w:val="none"/>
                <w:u w:val="none"/>
              </w:rPr>
            </w:pPr>
            <w:r>
              <w:rPr>
                <w:rFonts w:hint="eastAsia" w:ascii="微软雅黑" w:hAnsi="微软雅黑" w:eastAsia="微软雅黑" w:cs="微软雅黑"/>
                <w:b/>
                <w:bCs/>
                <w:i w:val="0"/>
                <w:iCs w:val="0"/>
                <w:color w:val="auto"/>
                <w:kern w:val="0"/>
                <w:sz w:val="24"/>
                <w:szCs w:val="24"/>
                <w:highlight w:val="none"/>
                <w:u w:val="none"/>
                <w:lang w:val="en-US" w:eastAsia="zh-CN" w:bidi="ar"/>
              </w:rPr>
              <w:t>名称</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D9925">
            <w:pPr>
              <w:keepNext w:val="0"/>
              <w:keepLines w:val="0"/>
              <w:widowControl/>
              <w:suppressLineNumbers w:val="0"/>
              <w:jc w:val="center"/>
              <w:textAlignment w:val="center"/>
              <w:rPr>
                <w:rFonts w:hint="eastAsia" w:ascii="微软雅黑" w:hAnsi="微软雅黑" w:eastAsia="微软雅黑" w:cs="微软雅黑"/>
                <w:b/>
                <w:bCs/>
                <w:i w:val="0"/>
                <w:iCs w:val="0"/>
                <w:color w:val="auto"/>
                <w:sz w:val="24"/>
                <w:szCs w:val="24"/>
                <w:highlight w:val="none"/>
                <w:u w:val="none"/>
              </w:rPr>
            </w:pPr>
            <w:r>
              <w:rPr>
                <w:rFonts w:hint="eastAsia" w:ascii="微软雅黑" w:hAnsi="微软雅黑" w:eastAsia="微软雅黑" w:cs="微软雅黑"/>
                <w:b/>
                <w:bCs/>
                <w:i w:val="0"/>
                <w:iCs w:val="0"/>
                <w:color w:val="auto"/>
                <w:kern w:val="0"/>
                <w:sz w:val="24"/>
                <w:szCs w:val="24"/>
                <w:highlight w:val="none"/>
                <w:u w:val="none"/>
                <w:lang w:val="en-US" w:eastAsia="zh-CN" w:bidi="ar"/>
              </w:rPr>
              <w:t>数量</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90924">
            <w:pPr>
              <w:keepNext w:val="0"/>
              <w:keepLines w:val="0"/>
              <w:widowControl/>
              <w:suppressLineNumbers w:val="0"/>
              <w:jc w:val="center"/>
              <w:textAlignment w:val="center"/>
              <w:rPr>
                <w:rFonts w:hint="eastAsia" w:ascii="微软雅黑" w:hAnsi="微软雅黑" w:eastAsia="微软雅黑" w:cs="微软雅黑"/>
                <w:b/>
                <w:bCs/>
                <w:i w:val="0"/>
                <w:iCs w:val="0"/>
                <w:color w:val="auto"/>
                <w:sz w:val="24"/>
                <w:szCs w:val="24"/>
                <w:highlight w:val="none"/>
                <w:u w:val="none"/>
              </w:rPr>
            </w:pPr>
            <w:r>
              <w:rPr>
                <w:rFonts w:hint="eastAsia" w:ascii="微软雅黑" w:hAnsi="微软雅黑" w:eastAsia="微软雅黑" w:cs="微软雅黑"/>
                <w:b/>
                <w:bCs/>
                <w:i w:val="0"/>
                <w:iCs w:val="0"/>
                <w:color w:val="auto"/>
                <w:kern w:val="0"/>
                <w:sz w:val="24"/>
                <w:szCs w:val="24"/>
                <w:highlight w:val="none"/>
                <w:u w:val="none"/>
                <w:lang w:val="en-US" w:eastAsia="zh-CN" w:bidi="ar"/>
              </w:rPr>
              <w:t>单位</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C50E7">
            <w:pPr>
              <w:keepNext w:val="0"/>
              <w:keepLines w:val="0"/>
              <w:widowControl/>
              <w:suppressLineNumbers w:val="0"/>
              <w:jc w:val="center"/>
              <w:textAlignment w:val="center"/>
              <w:rPr>
                <w:rFonts w:hint="eastAsia" w:ascii="微软雅黑" w:hAnsi="微软雅黑" w:eastAsia="微软雅黑" w:cs="微软雅黑"/>
                <w:b/>
                <w:bCs/>
                <w:i w:val="0"/>
                <w:iCs w:val="0"/>
                <w:color w:val="auto"/>
                <w:sz w:val="24"/>
                <w:szCs w:val="24"/>
                <w:highlight w:val="none"/>
                <w:u w:val="none"/>
              </w:rPr>
            </w:pPr>
            <w:r>
              <w:rPr>
                <w:rFonts w:hint="eastAsia" w:ascii="微软雅黑" w:hAnsi="微软雅黑" w:eastAsia="微软雅黑" w:cs="微软雅黑"/>
                <w:b/>
                <w:bCs/>
                <w:i w:val="0"/>
                <w:iCs w:val="0"/>
                <w:color w:val="auto"/>
                <w:kern w:val="0"/>
                <w:sz w:val="24"/>
                <w:szCs w:val="24"/>
                <w:highlight w:val="none"/>
                <w:u w:val="none"/>
                <w:lang w:val="en-US" w:eastAsia="zh-CN" w:bidi="ar"/>
              </w:rPr>
              <w:t>技术参数</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A85C1">
            <w:pPr>
              <w:keepNext w:val="0"/>
              <w:keepLines w:val="0"/>
              <w:widowControl/>
              <w:suppressLineNumbers w:val="0"/>
              <w:jc w:val="center"/>
              <w:textAlignment w:val="center"/>
              <w:rPr>
                <w:rFonts w:hint="eastAsia" w:ascii="微软雅黑" w:hAnsi="微软雅黑" w:eastAsia="微软雅黑" w:cs="微软雅黑"/>
                <w:b/>
                <w:bCs/>
                <w:i w:val="0"/>
                <w:iCs w:val="0"/>
                <w:color w:val="auto"/>
                <w:sz w:val="24"/>
                <w:szCs w:val="24"/>
                <w:highlight w:val="none"/>
                <w:u w:val="none"/>
              </w:rPr>
            </w:pPr>
            <w:r>
              <w:rPr>
                <w:rFonts w:hint="eastAsia" w:ascii="微软雅黑" w:hAnsi="微软雅黑" w:eastAsia="微软雅黑" w:cs="微软雅黑"/>
                <w:b/>
                <w:bCs/>
                <w:i w:val="0"/>
                <w:iCs w:val="0"/>
                <w:color w:val="auto"/>
                <w:kern w:val="0"/>
                <w:sz w:val="24"/>
                <w:szCs w:val="24"/>
                <w:highlight w:val="none"/>
                <w:u w:val="none"/>
                <w:lang w:val="en-US" w:eastAsia="zh-CN" w:bidi="ar"/>
              </w:rPr>
              <w:t>备注</w:t>
            </w:r>
          </w:p>
        </w:tc>
      </w:tr>
      <w:tr w14:paraId="5DE03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2C10E">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335D">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开放垃圾分类亭</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C7C32">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52</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1C1D">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座</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C7255">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 整体尺寸：6000mm×1200mm×2400mm，结构方正稳固，符合户外工程施工标准。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 顶棚配置：1.5mm 不锈钢板激光精切，内置50×50×2.5mm不锈钢方管龙骨；拼缝满焊、打磨平整，汽车级三底三面烤漆，耐候防腐、抗老化。</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 主体框架：主立柱、横梁采用100×100×2.5mm不锈钢方管；后背框架50×50×2.5mm不锈钢方管；节点满焊，焊口除锈防锈，结构抗风压、不变形。</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 画面板材：侧、背面采用铝合金板高清UV喷印，色彩均匀、图案清晰；表层喷涂户外耐候清漆，防水、防尘、防褪色、防氧化。</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5. 防腐工艺：钢架整体除油、喷砂、酸洗磷化预处理；按GB/T 1771-2007标准，采用氟碳底漆1遍+氟碳面漆3遍，涂层附着力强、长效耐腐耐候。</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6. 检修挡门：采用1.5mm 不锈钢板制作，丝网印字，结构牢固、外观统一。</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7. 投放门结构：配备机械式自开启投放门，外置滑轮拉环传动开启；无接触投放，杜绝交叉污染，启闭顺畅、省力无卡顿、经久耐用。</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8013C">
            <w:pPr>
              <w:jc w:val="left"/>
              <w:rPr>
                <w:rFonts w:hint="eastAsia" w:ascii="微软雅黑" w:hAnsi="微软雅黑" w:eastAsia="微软雅黑" w:cs="微软雅黑"/>
                <w:i w:val="0"/>
                <w:iCs w:val="0"/>
                <w:color w:val="auto"/>
                <w:sz w:val="22"/>
                <w:szCs w:val="22"/>
                <w:highlight w:val="none"/>
                <w:u w:val="none"/>
              </w:rPr>
            </w:pPr>
          </w:p>
        </w:tc>
      </w:tr>
      <w:tr w14:paraId="7A383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9"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B0EF0">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2</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CFE06">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异形定制智能垃圾分类亭</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FFAA6">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3</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4D022">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座</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F7ACF">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1、整体尺寸：5500mm×2100mm×1200mm，整体结构方正稳固，造型规整，尺寸误差符合户外工程施工标准。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2、顶棚采用1.5mm 不锈钢板，激光精切下料。内置50×50×2.5mm不锈钢方管龙骨，整体刚度强、不易变形。不锈钢所有拼缝、接驳缝全长连续满焊，无间断、无漏焊、无虚焊；焊缝饱满密实，整体打磨平整无痕，板面平整统一。顶棚整体表面采用汽车级高端烤漆工艺，严格执行三底三面多层喷涂工序，底漆封闭牢固、面漆均匀饱满、色泽统一。漆膜附着力强、硬度高，具备优异的户外耐候、防腐蚀、防氧化、抗紫外线、抗老化性能，长期户外使用不脱皮、不龟裂、不褪色。</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3、主体框架采用100×100×2.5mm不锈钢方管，背部框架采用50×50×2.5mm不锈钢方管。所有节点满焊连接，结构垂直方正，满足户外抗风压及承重要求，焊位整体除锈防锈处理。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4、两侧及背面采用铝板基材，表面高清UV喷印，画面清晰色彩均匀；面层全覆盖户外耐候清漆，有效防褪色、防氧化、防水防尘，适配户外长期使用。</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5、整体结构基层经除油、喷砂、酸洗磷化全套预处理。按《GB/T 1771-2007》标准施工，喷涂氟碳底漆+2-3遍氟碳面漆，涂层附着力强、防腐耐候性能达标。</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6、档门采用1.5mm 不锈钢板定制成型，结构牢固、开合顺畅、外观整洁统一。</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7、搭载P10高清显示屏，设置六组标准垃圾投放位，适配240L标准垃圾桶内胆；投放门采用机械式自开启结构，开合稳定、经久耐用、无需手动推拉，使用便捷。配套洗手池采用304不锈钢一体拉伸成型洗手池，无缝一体结构、易清洁、耐腐蚀、不积水；配套优质进水、排水管件，配备专用控水阀门、防堵下水器，管路排布规整，密封防水、无渗漏。整体贴合垃圾亭主体结构安装，固定牢固，外观整洁统一，满足户外公共区域日常洗手清洁使用需求。</w:t>
            </w:r>
          </w:p>
        </w:tc>
        <w:tc>
          <w:tcPr>
            <w:tcW w:w="3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228A6">
            <w:pPr>
              <w:jc w:val="left"/>
              <w:rPr>
                <w:rFonts w:hint="eastAsia" w:ascii="微软雅黑" w:hAnsi="微软雅黑" w:eastAsia="微软雅黑" w:cs="微软雅黑"/>
                <w:i w:val="0"/>
                <w:iCs w:val="0"/>
                <w:color w:val="auto"/>
                <w:sz w:val="22"/>
                <w:szCs w:val="22"/>
                <w:highlight w:val="none"/>
                <w:u w:val="none"/>
              </w:rPr>
            </w:pPr>
          </w:p>
        </w:tc>
      </w:tr>
      <w:tr w14:paraId="3F267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9"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F10B">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3</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43937">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智能垃圾收集屋</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626E6">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0DDA7">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座</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6983C">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一、主材材质与厚度标准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设备整体尺寸为5500mm×2100mm×2200mm，整体采用不锈钢材质，满足户外防锈、防水、抗老化、易清洁、结构稳固要求，适配户外常态化垃圾分类、收纳、消杀、通风及智能管控使用场景。</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1、外墙板、顶板、侧板、投放口、门窗及检修口面板：采用1.5mm国标不锈钢板，板面完好无瑕疵，折弯成型、边缘无毛刺锐边，杜绝劣质回料板材。</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2、骨架龙骨：主立柱、顶梁、底圈梁采用100×100×3.0mm不锈钢方管；侧副梁、隔墙龙骨采用80×40×2.0mm不锈钢方管；内部辅助龙骨采用40×40×1.5mm不锈钢方管，结构承重、抗风压、防变形。</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3、底部底板：1.5mm不锈钢防滑平板，压制防滑细纹，防滑耐磨、防积水。</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4、辅助配件：合页、锁具、限位器、排水配件均为不锈钢材质；密封胶条采用耐老化三元乙丙材质，适配户外高低温环境。</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二、骨架焊接工艺</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1、整体框架一体满焊，方管对接、十字交接、转角位置全满焊，无点焊、虚焊、漏焊，保障结构刚性，搬运、吊装、落地无变形松动。</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2、采用不锈钢专用氩弧焊，焊缝均匀饱满，无夹渣、气孔、裂纹、咬边等缺陷。</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3、所有焊接点位粗细打磨找平，边角过渡圆润，无尖锐凸起，避免积污积水。</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4、尺寸精度：整体长宽高误差≤±3mm，对角误差≤5mm，立柱垂直偏差≤2mm/m，保障配件、设备贴合安装。</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5、底部圈梁加固处理，预留规整对称的膨胀螺栓固定孔位，适配混凝土基础安装。</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三、表面处理工艺</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1、板面及焊缝统一机械拉丝抛光，纹理均匀、方向一致，消除焊接色差与打磨痕迹。</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2、表面喷涂不锈钢专用透明耐候防护涂层，防雨水、酸雨、紫外线腐蚀，延缓材质氧化发黑、起斑。</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3、彻底清洁表面油污、粉尘、焊渍，无指纹残留，表面光洁耐脏，适配高频消杀、冲洗作业。</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4、分类标识、文字采用丝网印刷，字迹耐磨不褪色，禁止贴纸工艺。</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四、防水、排水与密封工艺</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1、顶部采用微坡排水设计，四周设置不锈钢滴水檐；顶板拼缝内侧打耐候结构胶密封，防水防渗。</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2、门窗、投放口加装耐候密封胶条，关闭密闭严实，阻隔异味、雨水及蚊虫。</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3、底部设导流坡度与集中排水孔，排水快速无死角；排水口配可拆卸不锈钢滤网，防止垃圾堵塞。</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4、内部龙骨与墙板预留通风间隙，有效防止墙体返潮、发霉、板材鼓包。</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五、投放口与门窗工艺</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1、分类投放口布局标准、尺寸规整，边框折弯加固，不变形、不翘边。</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2、投口开合顺畅无卡顿、无异响，限位可靠，关闭贴合紧密。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3、配置不锈钢一体成型导流板，杜绝垃圾抛撒落地，精准适配240L标准环卫垃圾桶。</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4、设备检修门、后门开合灵活，锁具牢固防盗，合页承载力强，长期使用不变形。</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六、智能系统配套安装工艺</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1、预留照明、消杀、通风、烟感、异味监测、电控箱等智能设备安装点位与线槽。</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2、强弱电线路暗装走不锈钢线管，布线规整无外露，线路接头做绝缘防水处理，适配潮湿环卫环境。</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3、全系电器配件为户外防水等级，接线牢固、接地可靠，具备防漏电、防短路保护功能。</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4、对称布置通风系统，快速散除内部异味、湿气，保持仓内干燥通风。</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5、搭载P10高清显示屏；配套304不锈钢一体拉伸洗手池，无缝无积水、耐腐蚀易清洁，给排水管件齐全、密封无渗漏，贴合主体牢固安装，满足户外公共清洁使用需求。</w:t>
            </w:r>
          </w:p>
        </w:tc>
        <w:tc>
          <w:tcPr>
            <w:tcW w:w="3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DB3C4">
            <w:pPr>
              <w:jc w:val="left"/>
              <w:rPr>
                <w:rFonts w:hint="eastAsia" w:ascii="微软雅黑" w:hAnsi="微软雅黑" w:eastAsia="微软雅黑" w:cs="微软雅黑"/>
                <w:i w:val="0"/>
                <w:iCs w:val="0"/>
                <w:color w:val="auto"/>
                <w:sz w:val="22"/>
                <w:szCs w:val="22"/>
                <w:highlight w:val="none"/>
                <w:u w:val="none"/>
              </w:rPr>
            </w:pPr>
          </w:p>
        </w:tc>
      </w:tr>
      <w:tr w14:paraId="5A353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9"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D7E54">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4</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A4BC5">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智能垃圾分类亭</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4BDE2">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54</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D1AC">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座</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A38FD">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1、整体尺寸：5500mm×2100mm×1200mm，整体结构方正稳固，造型规整，尺寸误差符合户外工程施工标准。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2、顶棚采用1.5mm 不锈钢板，激光精切下料。内置50×50×2.5mm不锈钢方管龙骨，整体刚度强、不易变形。不锈钢所有拼缝、接驳缝全长连续满焊，无间断、无漏焊、无虚焊；焊缝饱满密实，整体打磨平整无痕，板面平整统一。顶棚整体表面采用汽车级高端烤漆工艺，严格执行三底三面多层喷涂工序，底漆封闭牢固、面漆均匀饱满、色泽统一。漆膜附着力强、硬度高，具备优异的户外耐候、防腐蚀、防氧化、抗紫外线、抗老化性能，长期户外使用不脱皮、不龟裂、不褪色。</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3、主体框架采用100×100×2.5mm不锈钢方管，背部框架采用50×50×2.5mm不锈钢方管。所有节点满焊连接，结构垂直方正，满足户外抗风压及承重要求，焊位整体除锈防锈处理。</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4、两侧及背面采用铝板基材，表面高清UV喷印，画面清晰色彩均匀；面层全覆盖户外耐候清漆，有效防褪色、防氧化、防水防尘，适配户外长期使用。</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5、整体结构基层经除油、喷砂、酸洗磷化全套预处理。按《GB/T 1771-2007》标准施工，喷涂氟碳底漆+2-3遍氟碳面漆，涂层附着力强、防腐耐候性能达标。</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6、档门采用1.5mm 不锈钢板定制成型，结构牢固、开合顺畅、外观整洁统一。</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7、搭载P10高清显示屏，设置六组标准垃圾投放位，适配240L标准垃圾桶内胆；投放门采用机械式自开启结构，开合稳定、经久耐用、无需手动推拉，使用便捷。配套洗手池采用304不锈钢一体拉伸成型洗手池，无缝一体结构、易清洁、耐腐蚀、不积水；配套优质进水、排水管件，配备专用控水阀门、防堵下水器，管路排布规整，密封防水、无渗漏。整体贴合垃圾亭主体结构安装，固定牢固，外观整洁统一，满足户外公共区域日常洗手清洁使用需求。</w:t>
            </w:r>
          </w:p>
        </w:tc>
        <w:tc>
          <w:tcPr>
            <w:tcW w:w="3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8BC14">
            <w:pPr>
              <w:jc w:val="left"/>
              <w:rPr>
                <w:rFonts w:hint="eastAsia" w:ascii="微软雅黑" w:hAnsi="微软雅黑" w:eastAsia="微软雅黑" w:cs="微软雅黑"/>
                <w:i w:val="0"/>
                <w:iCs w:val="0"/>
                <w:color w:val="auto"/>
                <w:sz w:val="22"/>
                <w:szCs w:val="22"/>
                <w:highlight w:val="none"/>
                <w:u w:val="none"/>
              </w:rPr>
            </w:pPr>
          </w:p>
        </w:tc>
      </w:tr>
      <w:tr w14:paraId="005B8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9"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84E84">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5</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F3F6C">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四分类果皮箱</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25D46">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100</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9F1C8">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个</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83147">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整体尺寸1300mm×900mm×360mm，一体式四分类户外不锈钢箱体。箱体、顶板、隔板、投料口等主体板材采用1.5mm国标不锈钢板；主框架采用25×25×1.5mm不锈钢方管，内部龙骨采用20×20×1.5mm不锈钢方管。所有五金配件均为不锈钢材质，防腐耐用，杜绝回收劣质板材。</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2、采用不锈钢氩弧焊满焊工艺，接点牢固无虚焊、漏焊。焊缝平整饱满、无气孔裂纹，整体打磨抛光无死角。箱体尺寸误差≤±3mm，结构方正稳固，底部加固底框，抗撞、防倾倒、不变形。</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3、整体均匀拉丝抛光，无色差、无焊接痕迹。表面做户外耐候防氧化处理，抗紫外线、防雨腐。表面光洁易冲洗、耐消杀。垃圾分类标识采用丝网印刷，耐磨不褪色，严禁贴纸。</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4、四分类投口规整加固，开合顺畅、密封严实，防雨进水。内部独立四分隔，防串味、无清理死角。箱体顶部微坡排水，缝隙密封防水，底部预留排水透气结构，有效防潮、防积水、防霉变。</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B65FD">
            <w:pPr>
              <w:jc w:val="left"/>
              <w:rPr>
                <w:rFonts w:hint="eastAsia" w:ascii="微软雅黑" w:hAnsi="微软雅黑" w:eastAsia="微软雅黑" w:cs="微软雅黑"/>
                <w:i w:val="0"/>
                <w:iCs w:val="0"/>
                <w:color w:val="auto"/>
                <w:sz w:val="22"/>
                <w:szCs w:val="22"/>
                <w:highlight w:val="none"/>
                <w:u w:val="none"/>
              </w:rPr>
            </w:pPr>
          </w:p>
        </w:tc>
      </w:tr>
      <w:tr w14:paraId="58372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9"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1F51E">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6</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E0AE7">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二分类果皮箱</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3ABE7">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200</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0AF77">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个</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72210">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整体尺寸920mm×900mm×360mm，一体式二分类户外不锈钢箱体。箱体、顶板、隔板、投料口等主体板材采用1.5mm国标不锈钢板；主框架采用25×25×1.5mm不锈钢方管，内部龙骨采用20×20×1.5mm不锈钢方管。所有五金配件均为不锈钢材质，防腐耐用，杜绝回收劣质板材。</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2、采用不锈钢氩弧焊满焊工艺，接点牢固无虚焊、漏焊。焊缝平整饱满、无气孔裂纹，整体打磨抛光无死角。箱体尺寸误差≤±3mm，结构方正稳固，底部加固底框，抗撞、防倾倒、不变形。</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3、整体均匀拉丝抛光，无色差、无焊接痕迹。表面做户外耐候防氧化处理，抗紫外线、防雨腐。表面光洁易冲洗、耐消杀。垃圾分类标识采用丝网印刷，耐磨不褪色，严禁贴纸。</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4、二分类投口规整加固，开合顺畅、密封严实，防雨进水。内部独立分隔，防串味、无清理死角。箱体顶部微坡排水，缝隙密封防水，底部预留排水透气结构，有效防潮、防积水、防霉变。</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EBC4C">
            <w:pPr>
              <w:jc w:val="left"/>
              <w:rPr>
                <w:rFonts w:hint="eastAsia" w:ascii="微软雅黑" w:hAnsi="微软雅黑" w:eastAsia="微软雅黑" w:cs="微软雅黑"/>
                <w:i w:val="0"/>
                <w:iCs w:val="0"/>
                <w:color w:val="auto"/>
                <w:sz w:val="22"/>
                <w:szCs w:val="22"/>
                <w:highlight w:val="none"/>
                <w:u w:val="none"/>
              </w:rPr>
            </w:pPr>
          </w:p>
        </w:tc>
      </w:tr>
      <w:tr w14:paraId="233B3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4" w:hRule="atLeast"/>
        </w:trPr>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DA397">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7</w:t>
            </w: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8DA12">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环卫工工具箱</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31DB2">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100</w:t>
            </w:r>
          </w:p>
        </w:tc>
        <w:tc>
          <w:tcPr>
            <w:tcW w:w="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DF91A">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个</w:t>
            </w:r>
          </w:p>
        </w:tc>
        <w:tc>
          <w:tcPr>
            <w:tcW w:w="2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9DCDC">
            <w:pPr>
              <w:keepNext w:val="0"/>
              <w:keepLines w:val="0"/>
              <w:widowControl/>
              <w:suppressLineNumbers w:val="0"/>
              <w:jc w:val="left"/>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1、整体尺寸：2700mm×530mm×840mm；尺寸公差≤±1.5mm，箱体方正度误差≤2mm，整体无扭曲、变形、翘边，外观规整、落地平稳。</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2、外框、箱体采用1.5mm厚不锈钢板，内置50*50*1.5mm不锈钢方管承重龙骨，型材完好无缺陷，承重性强、不易变形；顶部盖板采用30mm×60mm型材，选用高密度防水防霉塑木或防腐防虫实木材质，板材经专业固化处理，不易开裂变形，拼接贴合紧密、牢固稳定，具备良好防水防尘性能。所有型材经激光精切，切口无毛刺挂渣，整体精工满焊，焊缝平整无虚焊、漏焊、裂纹，焊位打磨顺滑无尖锐棱角；整体结构基层经除油、喷砂、酸洗磷化全套预处理。按《GB/T 1771-2007》标准施工，喷涂氟碳底漆+2-3遍氟碳面漆，涂层附着力强、防腐耐候性能达标，适配环卫多尘潮湿工况。</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3、门体锁具采用单面开门设计，门体开合顺畅，配三角锁/弹子锁，锁具牢固灵敏，门缝配密封胶条，防水防尘防盗。内置柜体标配35cm高专用工具柜，结构稳固、承重性好，开合顺畅，可分类收纳环卫作业耗材及工具。</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4、预留12V太阳能充电接口，充电电流≥1A，接口防水绝缘、接线稳固，无漏电短路隐患，适配户外设备充电。</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5、箱体标识图文采用符合GB 18587-2017标准的环保油墨丝网印刷，无重金属、绿色环保。印刷图文清晰规整、着色均匀，图层耐磨、耐暴晒、长期户外使用不褪色脱落。</w:t>
            </w:r>
            <w:r>
              <w:rPr>
                <w:rFonts w:hint="eastAsia" w:ascii="微软雅黑" w:hAnsi="微软雅黑" w:eastAsia="微软雅黑" w:cs="微软雅黑"/>
                <w:i w:val="0"/>
                <w:iCs w:val="0"/>
                <w:color w:val="auto"/>
                <w:kern w:val="0"/>
                <w:sz w:val="22"/>
                <w:szCs w:val="22"/>
                <w:highlight w:val="none"/>
                <w:u w:val="none"/>
                <w:lang w:val="en-US" w:eastAsia="zh-CN" w:bidi="ar"/>
              </w:rPr>
              <w:br w:type="textWrapping"/>
            </w:r>
            <w:r>
              <w:rPr>
                <w:rFonts w:hint="eastAsia" w:ascii="微软雅黑" w:hAnsi="微软雅黑" w:eastAsia="微软雅黑" w:cs="微软雅黑"/>
                <w:i w:val="0"/>
                <w:iCs w:val="0"/>
                <w:color w:val="auto"/>
                <w:kern w:val="0"/>
                <w:sz w:val="22"/>
                <w:szCs w:val="22"/>
                <w:highlight w:val="none"/>
                <w:u w:val="none"/>
                <w:lang w:val="en-US" w:eastAsia="zh-CN" w:bidi="ar"/>
              </w:rPr>
              <w:t>6、所有材料及工艺符合国家环保及行业标准。</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A9CE6">
            <w:pPr>
              <w:jc w:val="left"/>
              <w:rPr>
                <w:rFonts w:hint="eastAsia" w:ascii="微软雅黑" w:hAnsi="微软雅黑" w:eastAsia="微软雅黑" w:cs="微软雅黑"/>
                <w:i w:val="0"/>
                <w:iCs w:val="0"/>
                <w:color w:val="auto"/>
                <w:sz w:val="22"/>
                <w:szCs w:val="22"/>
                <w:highlight w:val="none"/>
                <w:u w:val="none"/>
              </w:rPr>
            </w:pPr>
          </w:p>
        </w:tc>
      </w:tr>
      <w:bookmarkEnd w:id="98"/>
    </w:tbl>
    <w:p w14:paraId="0F08680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color w:val="auto"/>
          <w:highlight w:val="none"/>
        </w:rPr>
      </w:pPr>
      <w:bookmarkStart w:id="99" w:name="heading_11"/>
      <w:r>
        <w:rPr>
          <w:rFonts w:hint="eastAsia"/>
          <w:b/>
          <w:bCs/>
          <w:color w:val="auto"/>
          <w:highlight w:val="none"/>
          <w:lang w:val="en-US" w:eastAsia="zh-CN"/>
        </w:rPr>
        <w:t>三、</w:t>
      </w:r>
      <w:r>
        <w:rPr>
          <w:rFonts w:hint="eastAsia"/>
          <w:b/>
          <w:bCs/>
          <w:color w:val="auto"/>
          <w:highlight w:val="none"/>
        </w:rPr>
        <w:t>施工安装要求</w:t>
      </w:r>
    </w:p>
    <w:p w14:paraId="6876C4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b/>
          <w:bCs/>
          <w:color w:val="auto"/>
          <w:highlight w:val="none"/>
          <w:lang w:val="en-US" w:eastAsia="zh-CN"/>
        </w:rPr>
      </w:pPr>
      <w:r>
        <w:rPr>
          <w:rFonts w:hint="eastAsia"/>
          <w:b/>
          <w:bCs/>
          <w:color w:val="auto"/>
          <w:highlight w:val="none"/>
          <w:lang w:val="en-US" w:eastAsia="zh-CN"/>
        </w:rPr>
        <w:t>&lt;一&gt;开放垃圾分类亭：</w:t>
      </w:r>
    </w:p>
    <w:p w14:paraId="76A1FF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1. 场地与基础施工：原地面整平、渣土清理，机械+人工夯实压实，现场浇筑专用基座，垫层及主体基座强度不低于C30，浇筑厚度≥20cm，基座浇筑密实、养护到位，配套锚固构件齐全，整体结构抗风、抗倾覆、承重性能满足户外开放式露天使用标准。</w:t>
      </w:r>
    </w:p>
    <w:p w14:paraId="406D9C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2. 主体组装安装：开放式整体框架对位精准、横平竖直，拼接缝隙均匀一致；所有连接点位紧固牢靠，焊接、螺丝固定点位无松动、无偏移。整体结构无变形、翘边，外观平整统一，适配开放式公共场景美观要求。</w:t>
      </w:r>
    </w:p>
    <w:p w14:paraId="07CB30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3. 投放系统安装：八组投放位定位规整、间距均匀，240L垃圾桶内胆摆放贴合、推拉顺畅、对位精准；机械式自开启投放门安装调试到位，开合灵敏、启闭平稳、无卡顿、无异响，密封贴合良好。</w:t>
      </w:r>
    </w:p>
    <w:p w14:paraId="6F87A8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4. 防水密封施工：顶棚、立面拼接缝全部做专业密封防水处理，杜绝雨水渗入、漏水、渗水问题，适配户外开放式淋雨、暴晒工况。</w:t>
      </w:r>
    </w:p>
    <w:p w14:paraId="7E8C61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5. 成品保护及交付：施工全程做好成品保护，杜绝漆面、不锈钢面划伤、磕碰；施工完成后全面清洁修整，设备运行正常、外观完好、场地整洁，符合开放式垃圾分类亭竣工验收标准。</w:t>
      </w:r>
    </w:p>
    <w:p w14:paraId="35CF09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b/>
          <w:bCs/>
          <w:color w:val="auto"/>
          <w:highlight w:val="none"/>
          <w:lang w:val="en-US" w:eastAsia="zh-CN"/>
        </w:rPr>
      </w:pPr>
      <w:r>
        <w:rPr>
          <w:rFonts w:hint="eastAsia"/>
          <w:b/>
          <w:bCs/>
          <w:color w:val="auto"/>
          <w:highlight w:val="none"/>
          <w:lang w:val="en-US" w:eastAsia="zh-CN"/>
        </w:rPr>
        <w:t>&lt;二&gt;异形定制智能垃圾分类亭、智能垃圾收集屋、智能垃圾分类亭：</w:t>
      </w:r>
    </w:p>
    <w:p w14:paraId="3EDF8E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1.</w:t>
      </w:r>
      <w:r>
        <w:rPr>
          <w:rFonts w:hint="default"/>
          <w:color w:val="auto"/>
          <w:highlight w:val="none"/>
          <w:lang w:val="en-US" w:eastAsia="zh-CN"/>
        </w:rPr>
        <w:t>施工前期准备</w:t>
      </w:r>
    </w:p>
    <w:p w14:paraId="2EE195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场地要求：提前勘测场地，避开管线、低洼积水、消防通道。选址通风排水良好，预留清运、检修空间。</w:t>
      </w:r>
    </w:p>
    <w:p w14:paraId="7CB311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材料进场：所有材料、设备需带合格证明，无变形、锈蚀、破损、故障。进场后做好防雨、防潮、防磕碰保护。</w:t>
      </w:r>
    </w:p>
    <w:p w14:paraId="3D4F04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施工准备：完成技术、安全交底，电工、焊工持证上岗。现场设置围挡及安全警示，落实安全防护措施。</w:t>
      </w:r>
    </w:p>
    <w:p w14:paraId="1024AE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2.</w:t>
      </w:r>
      <w:r>
        <w:rPr>
          <w:rFonts w:hint="default"/>
          <w:color w:val="auto"/>
          <w:highlight w:val="none"/>
          <w:lang w:val="en-US" w:eastAsia="zh-CN"/>
        </w:rPr>
        <w:t>基础施工要求</w:t>
      </w:r>
    </w:p>
    <w:p w14:paraId="26AE2A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地基处理：按图开挖基坑，坑底夯实平整，软土区域换填碾压，杜绝地基沉降、开裂。</w:t>
      </w:r>
    </w:p>
    <w:p w14:paraId="218379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基座浇筑：采用现浇商品混凝土，垫层及主体基座强度不低于C30，浇筑厚度≥20cm，振捣密实无缺陷；平整度误差≤3mm。精准预埋地脚螺栓、水电及接地管线，固定无移位。</w:t>
      </w:r>
    </w:p>
    <w:p w14:paraId="481525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养护标准：覆膜养护不少于7天，养护期禁止重压、踩踏，验收合格后方可安装主体。</w:t>
      </w:r>
    </w:p>
    <w:p w14:paraId="562312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3.</w:t>
      </w:r>
      <w:r>
        <w:rPr>
          <w:rFonts w:hint="default"/>
          <w:color w:val="auto"/>
          <w:highlight w:val="none"/>
          <w:lang w:val="en-US" w:eastAsia="zh-CN"/>
        </w:rPr>
        <w:t>主体结构安装</w:t>
      </w:r>
    </w:p>
    <w:p w14:paraId="71410F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顶棚施工：龙骨焊接牢固，顶板拼接密封严实，无渗水隐患。排水坡度合规，无积水，表面平整耐候。</w:t>
      </w:r>
    </w:p>
    <w:p w14:paraId="108051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墙板门板：板面安装平整贴合，拼缝均匀密封。投放门、检修门开合顺畅、无异响、缝隙统一，加装加强筋，牢固不变形。</w:t>
      </w:r>
    </w:p>
    <w:p w14:paraId="1AA2D3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防水、防腐工艺</w:t>
      </w:r>
    </w:p>
    <w:p w14:paraId="251294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防腐处理：钢结构彻底除锈除油，喷涂防锈底漆+耐候面漆，全覆盖无漏涂，焊口、外露部位重点防腐，杜绝生锈老化。</w:t>
      </w:r>
    </w:p>
    <w:p w14:paraId="6E2C4D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防水密封：板缝、门窗缝、管线口、顶棚搭接处全部采用耐候防水胶密封，交接位置加强防水，杜绝渗水、返潮。</w:t>
      </w:r>
    </w:p>
    <w:p w14:paraId="644B19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5.</w:t>
      </w:r>
      <w:r>
        <w:rPr>
          <w:rFonts w:hint="default"/>
          <w:color w:val="auto"/>
          <w:highlight w:val="none"/>
          <w:lang w:val="en-US" w:eastAsia="zh-CN"/>
        </w:rPr>
        <w:t>电气与智能系统安装</w:t>
      </w:r>
    </w:p>
    <w:p w14:paraId="5A8043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线路布设：强弱电分路套管布线，线路规整绝缘，接线牢固无隐患。配备防水配电箱，空开、漏保齐全有效，接地可靠。</w:t>
      </w:r>
    </w:p>
    <w:p w14:paraId="1DC3F0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设备调试：人脸识别、扫码投放、感应门、称重、播报、屏显、消杀照明等设备安装牢固、功能正常。识别灵敏、开门无延迟、数据上传正常，全天候运行稳定。</w:t>
      </w:r>
    </w:p>
    <w:p w14:paraId="25E98C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安全防护：整机钢结构、电气设备可靠接地。户外电气设备防护等级≥IP65，防水、防尘、耐老化、防雷防静电。</w:t>
      </w:r>
    </w:p>
    <w:p w14:paraId="341D99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6.</w:t>
      </w:r>
      <w:r>
        <w:rPr>
          <w:rFonts w:hint="default"/>
          <w:color w:val="auto"/>
          <w:highlight w:val="none"/>
          <w:lang w:val="en-US" w:eastAsia="zh-CN"/>
        </w:rPr>
        <w:t>配套设施施工</w:t>
      </w:r>
    </w:p>
    <w:p w14:paraId="666899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排水系统：基座预留排水坡度，排水管路通畅，无积水、无堵塞、无倒灌，满足雨天及设备清洗排水需求。</w:t>
      </w:r>
    </w:p>
    <w:p w14:paraId="32A152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通风除臭：通风设备布局合理，亭内空气流通顺畅。智能除臭杀菌设备运行稳定、低噪节能，有效去除异味、抑制细菌滋生。</w:t>
      </w:r>
    </w:p>
    <w:p w14:paraId="53E2D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标识附件：分类标识、警示标识醒目牢固、清晰耐久。各类检修、辅助配件安装齐全、规整到位。</w:t>
      </w:r>
    </w:p>
    <w:p w14:paraId="7D9AAE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7.</w:t>
      </w:r>
      <w:r>
        <w:rPr>
          <w:rFonts w:hint="default"/>
          <w:color w:val="auto"/>
          <w:highlight w:val="none"/>
          <w:lang w:val="en-US" w:eastAsia="zh-CN"/>
        </w:rPr>
        <w:t>成品验收标准</w:t>
      </w:r>
    </w:p>
    <w:p w14:paraId="42C80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结构验收：整体结构稳固方正，无变形、松动、开裂、沉降。焊接、防腐达标，门窗密封严实、开合顺畅。</w:t>
      </w:r>
    </w:p>
    <w:p w14:paraId="6E97AC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外观验收：板面平整、色泽统一，无磕碰、划痕、色差。胶缝平整，漆面无脱皮、龟裂、褪色。</w:t>
      </w:r>
    </w:p>
    <w:p w14:paraId="22949A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功能验收：所有电气、智能、排水、通风、消杀功能运行稳定，防水、耐候、防腐性能达标，无故障隐患。</w:t>
      </w:r>
    </w:p>
    <w:p w14:paraId="65FFBC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安全验收：电气绝缘、接地、防水防护全部达标，结构安全、设备安全，符合户外长期使用安全标准。</w:t>
      </w:r>
    </w:p>
    <w:p w14:paraId="4A81B0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8.</w:t>
      </w:r>
      <w:r>
        <w:rPr>
          <w:rFonts w:hint="default"/>
          <w:color w:val="auto"/>
          <w:highlight w:val="none"/>
          <w:lang w:val="en-US" w:eastAsia="zh-CN"/>
        </w:rPr>
        <w:t>施工安全与售后</w:t>
      </w:r>
    </w:p>
    <w:p w14:paraId="1710B2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安全施工：规范作业，落实安全防护，杜绝安全事故。现场工完场清，做好成品保护。</w:t>
      </w:r>
    </w:p>
    <w:p w14:paraId="5FB105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交付售后：安装完成后整机试运行合格方可交付，同步移交全套资料并完成使用培训。质保期内所有施工、设备质量问题免费维保更换。</w:t>
      </w:r>
    </w:p>
    <w:p w14:paraId="6336A5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b/>
          <w:bCs/>
          <w:color w:val="auto"/>
          <w:highlight w:val="none"/>
          <w:lang w:val="en-US" w:eastAsia="zh-CN"/>
        </w:rPr>
      </w:pPr>
      <w:r>
        <w:rPr>
          <w:rFonts w:hint="eastAsia"/>
          <w:b/>
          <w:bCs/>
          <w:color w:val="auto"/>
          <w:highlight w:val="none"/>
          <w:lang w:val="en-US" w:eastAsia="zh-CN"/>
        </w:rPr>
        <w:t>&lt;三&gt;四分类果皮箱：</w:t>
      </w:r>
    </w:p>
    <w:p w14:paraId="3FBE97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1、安装地面需平整、坚实、无起砂、无沉降空鼓，提前清理杂物、浮尘，保证安装基面受力均匀，满足设备承重安装条件。</w:t>
      </w:r>
    </w:p>
    <w:p w14:paraId="038796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2、采用不锈钢膨胀螺栓固定安装，打孔深度、孔径符合配套标准，螺栓完全锁紧、垫片配齐，箱体与基面贴合紧密，无松动、无偏移。</w:t>
      </w:r>
    </w:p>
    <w:p w14:paraId="4DE1BA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3、箱体安装整体垂直端正，垂直度偏差≤2mm/m，机身平稳无晃动、无倾斜，多组箱体安装间距均匀、排布规整、线型统一。</w:t>
      </w:r>
    </w:p>
    <w:p w14:paraId="0AF5DF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4、安装完成后全面调试投口开合、密封等所有功能，保证使用顺畅无故障；清理安装粉尘、污渍、废料，还原现场环境。</w:t>
      </w:r>
    </w:p>
    <w:p w14:paraId="63A4A3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5、安装成品牢固稳定、外观整洁统一，贴合户外环卫使用及验收规范，无安全隐患。</w:t>
      </w:r>
    </w:p>
    <w:p w14:paraId="5B2940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b/>
          <w:bCs/>
          <w:color w:val="auto"/>
          <w:highlight w:val="none"/>
          <w:lang w:val="en-US" w:eastAsia="zh-CN"/>
        </w:rPr>
      </w:pPr>
      <w:r>
        <w:rPr>
          <w:rFonts w:hint="eastAsia"/>
          <w:b/>
          <w:bCs/>
          <w:color w:val="auto"/>
          <w:highlight w:val="none"/>
          <w:lang w:val="en-US" w:eastAsia="zh-CN"/>
        </w:rPr>
        <w:t>&lt;四&gt;二分类果皮箱：</w:t>
      </w:r>
    </w:p>
    <w:p w14:paraId="07AFC9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1、安装地面需平整、坚实、无起砂、无沉降空鼓，提前清理杂物、浮尘，保证安装基面受力均匀，满足设备承重安装条件。</w:t>
      </w:r>
    </w:p>
    <w:p w14:paraId="7EA886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2、采用不锈钢膨胀螺栓固定安装，打孔深度、孔径符合配套标准，螺栓完全锁紧、垫片配齐，箱体与基面贴合紧密，无松动、无偏移。</w:t>
      </w:r>
    </w:p>
    <w:p w14:paraId="2A5239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3、箱体安装整体垂直端正，垂直度偏差≤2mm/m，机身平稳无晃动、无倾斜，多组箱体安装间距均匀、排布规整、线型统一。</w:t>
      </w:r>
    </w:p>
    <w:p w14:paraId="3553D1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4、安装完成后全面调试投口开合、密封等所有功能，保证使用顺畅无故障；清理安装粉尘、污渍、废料，还原现场环境。</w:t>
      </w:r>
    </w:p>
    <w:p w14:paraId="227F06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color w:val="auto"/>
          <w:highlight w:val="none"/>
          <w:lang w:val="en-US" w:eastAsia="zh-CN"/>
        </w:rPr>
        <w:t>5、安装成品牢固稳定、外观整洁统一，贴合户外环卫使用及验收规范，无安全隐患。</w:t>
      </w:r>
    </w:p>
    <w:p w14:paraId="1A3099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default"/>
          <w:b/>
          <w:bCs/>
          <w:color w:val="auto"/>
          <w:highlight w:val="none"/>
          <w:lang w:val="en-US" w:eastAsia="zh-CN"/>
        </w:rPr>
      </w:pPr>
      <w:r>
        <w:rPr>
          <w:rFonts w:hint="eastAsia"/>
          <w:b/>
          <w:bCs/>
          <w:color w:val="auto"/>
          <w:highlight w:val="none"/>
          <w:lang w:val="en-US" w:eastAsia="zh-CN"/>
        </w:rPr>
        <w:t>&lt;五&gt;环卫工工具箱：</w:t>
      </w:r>
    </w:p>
    <w:p w14:paraId="74D4C7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1. 安装基面需平整、坚实、无凸起凹陷，基面平整度误差≤2mm，保证箱体整体落地平稳、无悬空、无晃动、无倾斜偏移。</w:t>
      </w:r>
    </w:p>
    <w:p w14:paraId="097814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2. 箱体安装定位精准，横竖端正，安装间距、摆放位置严格按照现场施工点位执行，整体摆放整齐统一，贴合环卫设备配套安装标准。</w:t>
      </w:r>
    </w:p>
    <w:p w14:paraId="548480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3. 采用牢固固定安装方式，固定点位隐蔽处理，安装配件防腐防锈、适配户外环境；安装后箱体无松动、无位移，可抵御日常风雨、车辆颠簸震动。</w:t>
      </w:r>
    </w:p>
    <w:p w14:paraId="06A08D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4. 太阳能充电端口安装规整，线路排布整齐、绝缘防护到位，接口防水封堵严实，杜绝进水、短路、漏电隐患，接线符合电气安全规范。</w:t>
      </w:r>
    </w:p>
    <w:p w14:paraId="048202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5. 安装全过程轻拿轻放，避免磕碰、划伤、漆面磨损；安装完成后清理箱体表面灰尘、污渍，检查门体、锁具、柜体开合及密封性能，确保安装后设备完好、功能正常。</w:t>
      </w:r>
    </w:p>
    <w:p w14:paraId="53298BF0">
      <w:pPr>
        <w:keepNext w:val="0"/>
        <w:keepLines w:val="0"/>
        <w:pageBreakBefore w:val="0"/>
        <w:widowControl w:val="0"/>
        <w:kinsoku/>
        <w:wordWrap/>
        <w:overflowPunct/>
        <w:topLinePunct w:val="0"/>
        <w:autoSpaceDE/>
        <w:autoSpaceDN/>
        <w:bidi w:val="0"/>
        <w:adjustRightInd/>
        <w:snapToGrid/>
        <w:spacing w:before="300" w:after="120" w:line="360" w:lineRule="auto"/>
        <w:jc w:val="left"/>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w:t>
      </w:r>
      <w:r>
        <w:rPr>
          <w:rFonts w:hint="eastAsia" w:ascii="宋体" w:hAnsi="宋体" w:eastAsia="宋体" w:cs="宋体"/>
          <w:b w:val="0"/>
          <w:bCs w:val="0"/>
          <w:color w:val="auto"/>
          <w:sz w:val="24"/>
          <w:szCs w:val="24"/>
          <w:highlight w:val="none"/>
          <w:lang w:val="en-US" w:eastAsia="zh-CN"/>
        </w:rPr>
        <w:t>其他</w:t>
      </w:r>
      <w:r>
        <w:rPr>
          <w:rFonts w:hint="eastAsia" w:ascii="宋体" w:hAnsi="宋体" w:eastAsia="宋体" w:cs="宋体"/>
          <w:b w:val="0"/>
          <w:bCs w:val="0"/>
          <w:color w:val="auto"/>
          <w:sz w:val="24"/>
          <w:szCs w:val="24"/>
          <w:highlight w:val="none"/>
        </w:rPr>
        <w:t>要求</w:t>
      </w:r>
      <w:bookmarkEnd w:id="99"/>
    </w:p>
    <w:p w14:paraId="250338E2">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所有固定件、密封件、防水材料、辅材、耗材均由供应商提供，符合国家标准。</w:t>
      </w:r>
    </w:p>
    <w:p w14:paraId="00FCB62A">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全部设备完成整体调试，功能正常、外观完好。</w:t>
      </w:r>
    </w:p>
    <w:p w14:paraId="4570C06D">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作业过程做好安全防护与成品保护。</w:t>
      </w:r>
    </w:p>
    <w:p w14:paraId="527F4B99">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完工后负责现场清理、环境整理，达到交付使用标准。</w:t>
      </w:r>
    </w:p>
    <w:p w14:paraId="0F84CD8A">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质保期：自验收合格之日起</w:t>
      </w:r>
      <w:r>
        <w:rPr>
          <w:rFonts w:hint="eastAsia" w:hAnsi="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年。</w:t>
      </w:r>
    </w:p>
    <w:p w14:paraId="4809399F">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验收按照国家相关标准。</w:t>
      </w:r>
    </w:p>
    <w:p w14:paraId="2F1F091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B57CA76">
      <w:pPr>
        <w:pStyle w:val="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评标方法</w:t>
      </w:r>
      <w:bookmarkEnd w:id="90"/>
    </w:p>
    <w:p w14:paraId="71CD65E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sz w:val="24"/>
          <w:szCs w:val="24"/>
          <w:highlight w:val="none"/>
        </w:rPr>
      </w:pPr>
      <w:bookmarkStart w:id="100" w:name="_Toc363463332"/>
      <w:r>
        <w:rPr>
          <w:rFonts w:hint="eastAsia" w:ascii="宋体" w:hAnsi="宋体" w:eastAsia="宋体" w:cs="宋体"/>
          <w:b/>
          <w:color w:val="auto"/>
          <w:sz w:val="24"/>
          <w:szCs w:val="24"/>
          <w:highlight w:val="none"/>
        </w:rPr>
        <w:t>一、评标方法</w:t>
      </w:r>
      <w:bookmarkEnd w:id="100"/>
    </w:p>
    <w:p w14:paraId="31C66797">
      <w:pPr>
        <w:keepNext w:val="0"/>
        <w:keepLines w:val="0"/>
        <w:pageBreakBefore w:val="0"/>
        <w:widowControl w:val="0"/>
        <w:kinsoku/>
        <w:wordWrap/>
        <w:overflowPunct/>
        <w:topLinePunct w:val="0"/>
        <w:autoSpaceDE/>
        <w:autoSpaceDN/>
        <w:bidi w:val="0"/>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按照</w:t>
      </w:r>
      <w:r>
        <w:rPr>
          <w:rFonts w:hint="eastAsia" w:ascii="宋体" w:hAnsi="宋体" w:eastAsia="宋体" w:cs="宋体"/>
          <w:color w:val="auto"/>
          <w:sz w:val="24"/>
          <w:szCs w:val="24"/>
          <w:highlight w:val="none"/>
        </w:rPr>
        <w:t>《中华人民共和国政府采购法》及实施条例和</w:t>
      </w:r>
      <w:r>
        <w:rPr>
          <w:rFonts w:hint="eastAsia" w:ascii="宋体" w:hAnsi="宋体" w:eastAsia="宋体" w:cs="宋体"/>
          <w:color w:val="auto"/>
          <w:spacing w:val="4"/>
          <w:sz w:val="24"/>
          <w:szCs w:val="24"/>
          <w:highlight w:val="none"/>
        </w:rPr>
        <w:t>中华人民共和国财政部令第87号--《政府采购货物和服务招标投标管理办法》的规定，本次评标采用</w:t>
      </w:r>
      <w:r>
        <w:rPr>
          <w:rFonts w:hint="eastAsia" w:ascii="宋体" w:hAnsi="宋体" w:eastAsia="宋体" w:cs="宋体"/>
          <w:b/>
          <w:color w:val="auto"/>
          <w:spacing w:val="4"/>
          <w:sz w:val="24"/>
          <w:szCs w:val="24"/>
          <w:highlight w:val="none"/>
        </w:rPr>
        <w:t>综合评分法</w:t>
      </w:r>
      <w:r>
        <w:rPr>
          <w:rFonts w:hint="eastAsia" w:ascii="宋体" w:hAnsi="宋体" w:eastAsia="宋体" w:cs="宋体"/>
          <w:color w:val="auto"/>
          <w:spacing w:val="4"/>
          <w:sz w:val="24"/>
          <w:szCs w:val="24"/>
          <w:highlight w:val="none"/>
        </w:rPr>
        <w:t>，即在最大限度地满足招标文件实质性要求前提下，按照招标文件中规定的各项因素和相应的权重分值进行综合评审后，以总得分最高的供应商作为中标候选人并依次排序（最低报价不是中标的唯一标准）。</w:t>
      </w:r>
    </w:p>
    <w:p w14:paraId="3C57A27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二、评审标准</w:t>
      </w:r>
    </w:p>
    <w:p w14:paraId="5A8369B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2" w:firstLineChars="196"/>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2.1初步评审标准</w:t>
      </w:r>
    </w:p>
    <w:p w14:paraId="71E87EF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2.1.1资格性审查标准：见附件1初步审查要素表。</w:t>
      </w:r>
    </w:p>
    <w:p w14:paraId="336EF8B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2.1.2符合性审查标准：见附件1初步审查要素表。</w:t>
      </w:r>
    </w:p>
    <w:p w14:paraId="0AFF7EE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2" w:firstLineChars="196"/>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2.2分值构成与评分标准</w:t>
      </w:r>
    </w:p>
    <w:p w14:paraId="06F02C4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2.2.1 分值构成</w:t>
      </w:r>
    </w:p>
    <w:p w14:paraId="46DE6DD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（1）投标价格：见附件2评标因素及权重分值表。</w:t>
      </w:r>
    </w:p>
    <w:p w14:paraId="02DDC4C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hAnsi="宋体" w:cs="宋体"/>
          <w:bCs/>
          <w:color w:val="auto"/>
          <w:sz w:val="24"/>
          <w:szCs w:val="24"/>
          <w:highlight w:val="none"/>
          <w:lang w:val="en-US" w:eastAsia="zh-CN"/>
        </w:rPr>
        <w:t>详细</w:t>
      </w:r>
      <w:r>
        <w:rPr>
          <w:rFonts w:hint="eastAsia" w:ascii="宋体" w:hAnsi="宋体" w:eastAsia="宋体" w:cs="宋体"/>
          <w:bCs/>
          <w:color w:val="auto"/>
          <w:sz w:val="24"/>
          <w:szCs w:val="24"/>
          <w:highlight w:val="none"/>
        </w:rPr>
        <w:t>评审：见附件2评标因素及权重分值表。</w:t>
      </w:r>
    </w:p>
    <w:p w14:paraId="700CCBF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sz w:val="24"/>
          <w:szCs w:val="24"/>
          <w:highlight w:val="none"/>
        </w:rPr>
      </w:pPr>
      <w:bookmarkStart w:id="101" w:name="_Toc363463333"/>
      <w:r>
        <w:rPr>
          <w:rFonts w:hint="eastAsia" w:ascii="宋体" w:hAnsi="宋体" w:eastAsia="宋体" w:cs="宋体"/>
          <w:b/>
          <w:color w:val="auto"/>
          <w:sz w:val="24"/>
          <w:szCs w:val="24"/>
          <w:highlight w:val="none"/>
        </w:rPr>
        <w:t>三、评标程序</w:t>
      </w:r>
      <w:bookmarkEnd w:id="101"/>
    </w:p>
    <w:p w14:paraId="224C9E4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1.本采购项目评标按照下列工作程序进行</w:t>
      </w:r>
      <w:r>
        <w:rPr>
          <w:rFonts w:hint="eastAsia" w:ascii="宋体" w:hAnsi="宋体" w:eastAsia="宋体" w:cs="宋体"/>
          <w:bCs/>
          <w:color w:val="auto"/>
          <w:sz w:val="24"/>
          <w:szCs w:val="24"/>
          <w:highlight w:val="none"/>
        </w:rPr>
        <w:t>（在上一步评审中被认定无效投标者，不进入下一步的评审）</w:t>
      </w:r>
      <w:r>
        <w:rPr>
          <w:rFonts w:hint="eastAsia" w:ascii="宋体" w:hAnsi="宋体" w:eastAsia="宋体" w:cs="宋体"/>
          <w:b/>
          <w:color w:val="auto"/>
          <w:sz w:val="24"/>
          <w:szCs w:val="24"/>
          <w:highlight w:val="none"/>
        </w:rPr>
        <w:t>。</w:t>
      </w:r>
    </w:p>
    <w:p w14:paraId="6E6DEFB8">
      <w:pPr>
        <w:keepNext w:val="0"/>
        <w:keepLines w:val="0"/>
        <w:pageBreakBefore w:val="0"/>
        <w:widowControl w:val="0"/>
        <w:kinsoku/>
        <w:wordWrap/>
        <w:overflowPunct/>
        <w:topLinePunct w:val="0"/>
        <w:autoSpaceDE/>
        <w:autoSpaceDN/>
        <w:bidi w:val="0"/>
        <w:spacing w:line="360" w:lineRule="auto"/>
        <w:ind w:firstLine="4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（1）投标文件初审；</w:t>
      </w:r>
    </w:p>
    <w:p w14:paraId="12CC95E6">
      <w:pPr>
        <w:keepNext w:val="0"/>
        <w:keepLines w:val="0"/>
        <w:pageBreakBefore w:val="0"/>
        <w:widowControl w:val="0"/>
        <w:kinsoku/>
        <w:wordWrap/>
        <w:overflowPunct/>
        <w:topLinePunct w:val="0"/>
        <w:autoSpaceDE/>
        <w:autoSpaceDN/>
        <w:bidi w:val="0"/>
        <w:spacing w:line="360" w:lineRule="auto"/>
        <w:ind w:firstLine="4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（2）澄清有关问题；</w:t>
      </w:r>
    </w:p>
    <w:p w14:paraId="52DA5333">
      <w:pPr>
        <w:keepNext w:val="0"/>
        <w:keepLines w:val="0"/>
        <w:pageBreakBefore w:val="0"/>
        <w:widowControl w:val="0"/>
        <w:kinsoku/>
        <w:wordWrap/>
        <w:overflowPunct/>
        <w:topLinePunct w:val="0"/>
        <w:autoSpaceDE/>
        <w:autoSpaceDN/>
        <w:bidi w:val="0"/>
        <w:spacing w:line="360" w:lineRule="auto"/>
        <w:ind w:firstLine="4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（3）比较与评价；</w:t>
      </w:r>
    </w:p>
    <w:p w14:paraId="4C6AA7B3">
      <w:pPr>
        <w:keepNext w:val="0"/>
        <w:keepLines w:val="0"/>
        <w:pageBreakBefore w:val="0"/>
        <w:widowControl w:val="0"/>
        <w:kinsoku/>
        <w:wordWrap/>
        <w:overflowPunct/>
        <w:topLinePunct w:val="0"/>
        <w:autoSpaceDE/>
        <w:autoSpaceDN/>
        <w:bidi w:val="0"/>
        <w:spacing w:line="360" w:lineRule="auto"/>
        <w:ind w:firstLine="4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（4）推荐中标候选人名单。</w:t>
      </w:r>
    </w:p>
    <w:p w14:paraId="147A43ED">
      <w:pPr>
        <w:keepNext w:val="0"/>
        <w:keepLines w:val="0"/>
        <w:pageBreakBefore w:val="0"/>
        <w:widowControl w:val="0"/>
        <w:kinsoku/>
        <w:wordWrap/>
        <w:overflowPunct/>
        <w:topLinePunct w:val="0"/>
        <w:autoSpaceDE/>
        <w:autoSpaceDN/>
        <w:bidi w:val="0"/>
        <w:spacing w:before="120" w:after="120"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2.投标文件初审</w:t>
      </w:r>
    </w:p>
    <w:p w14:paraId="4273449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72" w:firstLineChars="19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在资格性审查阶段</w:t>
      </w:r>
      <w:r>
        <w:rPr>
          <w:rFonts w:hint="eastAsia" w:ascii="宋体" w:hAnsi="宋体" w:eastAsia="宋体" w:cs="宋体"/>
          <w:b/>
          <w:bCs/>
          <w:color w:val="auto"/>
          <w:sz w:val="24"/>
          <w:szCs w:val="24"/>
          <w:highlight w:val="none"/>
          <w:lang w:val="en-US" w:eastAsia="zh-CN"/>
        </w:rPr>
        <w:t>由采购人及采购代理机构共同审查</w:t>
      </w:r>
      <w:r>
        <w:rPr>
          <w:rFonts w:hint="eastAsia" w:ascii="宋体" w:hAnsi="宋体" w:eastAsia="宋体" w:cs="宋体"/>
          <w:b/>
          <w:bCs/>
          <w:color w:val="auto"/>
          <w:sz w:val="24"/>
          <w:szCs w:val="24"/>
          <w:highlight w:val="none"/>
        </w:rPr>
        <w:t>，不符合文件要求的，不得进入符合性审查，在资格性审查和符合性审查时未通过的，不得进入后续评审环节。</w:t>
      </w:r>
    </w:p>
    <w:p w14:paraId="19CAE937">
      <w:pPr>
        <w:keepNext w:val="0"/>
        <w:keepLines w:val="0"/>
        <w:pageBreakBefore w:val="0"/>
        <w:widowControl w:val="0"/>
        <w:kinsoku/>
        <w:wordWrap/>
        <w:overflowPunct/>
        <w:topLinePunct w:val="0"/>
        <w:autoSpaceDE/>
        <w:autoSpaceDN/>
        <w:bidi w:val="0"/>
        <w:spacing w:before="120" w:after="12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评标委员会根据本章第 2.1 项规定的评审标准对投标文件进行</w:t>
      </w:r>
      <w:r>
        <w:rPr>
          <w:rFonts w:hint="eastAsia" w:ascii="宋体" w:hAnsi="宋体" w:eastAsia="宋体" w:cs="宋体"/>
          <w:b/>
          <w:bCs/>
          <w:color w:val="auto"/>
          <w:sz w:val="24"/>
          <w:szCs w:val="24"/>
          <w:highlight w:val="none"/>
          <w:lang w:val="en-US" w:eastAsia="zh-CN"/>
        </w:rPr>
        <w:t>符合性审查</w:t>
      </w:r>
      <w:r>
        <w:rPr>
          <w:rFonts w:hint="eastAsia" w:ascii="宋体" w:hAnsi="宋体" w:eastAsia="宋体" w:cs="宋体"/>
          <w:b/>
          <w:bCs/>
          <w:color w:val="auto"/>
          <w:sz w:val="24"/>
          <w:szCs w:val="24"/>
          <w:highlight w:val="none"/>
        </w:rPr>
        <w:t>。有一项不符合评审标准的，评标委员会应当否决其投标。</w:t>
      </w:r>
    </w:p>
    <w:p w14:paraId="42372F20">
      <w:pPr>
        <w:keepNext w:val="0"/>
        <w:keepLines w:val="0"/>
        <w:pageBreakBefore w:val="0"/>
        <w:widowControl w:val="0"/>
        <w:kinsoku/>
        <w:wordWrap/>
        <w:overflowPunct/>
        <w:topLinePunct w:val="0"/>
        <w:autoSpaceDE/>
        <w:autoSpaceDN/>
        <w:bidi w:val="0"/>
        <w:spacing w:before="120" w:after="120"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3.投标文件的澄清</w:t>
      </w:r>
    </w:p>
    <w:p w14:paraId="7E2C84D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为有助于投标文件的审查、比较和评价，评标委员会可要求供应商对其投标文件中非实质性（投标文件中含义不明确、同类问题表述不一致或者有明显文字和计算错误的内容）的有关问题进行澄清、说明或者补正。有关澄清、说明或者补正的要求和答复应以书面形式提交，并由其法定代表人或负责人或授权代表签字。供应商的澄清、说明或者补正不得超出投标文件的范围或者改变投标文件的实质性内容。评标委员会不接受供应商主动提出的澄清、说明。</w:t>
      </w:r>
    </w:p>
    <w:p w14:paraId="1AB9D69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3.2有效的书面澄清材料，是投标文件的补充材料，成为投标文件的组成部分。</w:t>
      </w:r>
    </w:p>
    <w:p w14:paraId="14D5CFF0">
      <w:pPr>
        <w:keepNext w:val="0"/>
        <w:keepLines w:val="0"/>
        <w:pageBreakBefore w:val="0"/>
        <w:widowControl w:val="0"/>
        <w:tabs>
          <w:tab w:val="left" w:pos="851"/>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3AEB396B">
      <w:pPr>
        <w:keepNext w:val="0"/>
        <w:keepLines w:val="0"/>
        <w:pageBreakBefore w:val="0"/>
        <w:widowControl w:val="0"/>
        <w:kinsoku/>
        <w:wordWrap/>
        <w:overflowPunct/>
        <w:topLinePunct w:val="0"/>
        <w:autoSpaceDE/>
        <w:autoSpaceDN/>
        <w:bidi w:val="0"/>
        <w:spacing w:before="120" w:after="120"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4.投标文件比较与评价</w:t>
      </w:r>
    </w:p>
    <w:p w14:paraId="416E44BE">
      <w:pPr>
        <w:keepNext w:val="0"/>
        <w:keepLines w:val="0"/>
        <w:pageBreakBefore w:val="0"/>
        <w:widowControl w:val="0"/>
        <w:tabs>
          <w:tab w:val="left" w:pos="0"/>
        </w:tabs>
        <w:kinsoku/>
        <w:wordWrap/>
        <w:overflowPunct/>
        <w:topLinePunct w:val="0"/>
        <w:autoSpaceDE/>
        <w:autoSpaceDN/>
        <w:bidi w:val="0"/>
        <w:adjustRightInd w:val="0"/>
        <w:snapToGrid w:val="0"/>
        <w:spacing w:before="12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bCs/>
          <w:color w:val="auto"/>
          <w:sz w:val="24"/>
          <w:szCs w:val="24"/>
          <w:highlight w:val="none"/>
        </w:rPr>
        <w:t>评委会应按照招标文件中规定的评标方法</w:t>
      </w:r>
      <w:r>
        <w:rPr>
          <w:rFonts w:hint="eastAsia" w:ascii="宋体" w:hAnsi="宋体" w:eastAsia="宋体" w:cs="宋体"/>
          <w:color w:val="auto"/>
          <w:sz w:val="24"/>
          <w:szCs w:val="24"/>
          <w:highlight w:val="none"/>
        </w:rPr>
        <w:t>和标准，</w:t>
      </w:r>
      <w:r>
        <w:rPr>
          <w:rFonts w:hint="eastAsia" w:ascii="宋体" w:hAnsi="宋体" w:eastAsia="宋体" w:cs="宋体"/>
          <w:bCs/>
          <w:color w:val="auto"/>
          <w:sz w:val="24"/>
          <w:szCs w:val="24"/>
          <w:highlight w:val="none"/>
        </w:rPr>
        <w:t>对</w:t>
      </w:r>
      <w:r>
        <w:rPr>
          <w:rFonts w:hint="eastAsia" w:ascii="宋体" w:hAnsi="宋体" w:eastAsia="宋体" w:cs="宋体"/>
          <w:color w:val="auto"/>
          <w:sz w:val="24"/>
          <w:szCs w:val="24"/>
          <w:highlight w:val="none"/>
        </w:rPr>
        <w:t>资格性检查和符合性检查</w:t>
      </w:r>
      <w:r>
        <w:rPr>
          <w:rFonts w:hint="eastAsia" w:ascii="宋体" w:hAnsi="宋体" w:eastAsia="宋体" w:cs="宋体"/>
          <w:bCs/>
          <w:color w:val="auto"/>
          <w:sz w:val="24"/>
          <w:szCs w:val="24"/>
          <w:highlight w:val="none"/>
        </w:rPr>
        <w:t>合格的投标文件进行商务和技术评估，综合比较与评价。</w:t>
      </w:r>
    </w:p>
    <w:p w14:paraId="3337CD35">
      <w:pPr>
        <w:keepNext w:val="0"/>
        <w:keepLines w:val="0"/>
        <w:pageBreakBefore w:val="0"/>
        <w:widowControl w:val="0"/>
        <w:kinsoku/>
        <w:wordWrap/>
        <w:overflowPunct/>
        <w:topLinePunct w:val="0"/>
        <w:autoSpaceDE/>
        <w:autoSpaceDN/>
        <w:bidi w:val="0"/>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4.2如果投标文件没有实质性响应招标文件的要求，评委会将予以拒绝。供应商不得通过修正或撤销不合要求的偏离或保留，从而使其投标成为实质性响应的投标。</w:t>
      </w:r>
    </w:p>
    <w:p w14:paraId="3C0FA2D3">
      <w:pPr>
        <w:keepNext w:val="0"/>
        <w:keepLines w:val="0"/>
        <w:pageBreakBefore w:val="0"/>
        <w:widowControl w:val="0"/>
        <w:kinsoku/>
        <w:wordWrap/>
        <w:overflowPunct/>
        <w:topLinePunct w:val="0"/>
        <w:autoSpaceDE/>
        <w:autoSpaceDN/>
        <w:bidi w:val="0"/>
        <w:spacing w:line="360" w:lineRule="auto"/>
        <w:ind w:firstLine="120" w:firstLineChars="5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四、政策性扣减</w:t>
      </w:r>
    </w:p>
    <w:p w14:paraId="216DAF70">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1、政策性扣减范围</w:t>
      </w:r>
    </w:p>
    <w:p w14:paraId="40BEE92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1.1供应商符合小型、微型企业或监狱企业、残疾人福利性单位条件的，其投标报价价格评审时将按相应比例进行扣减。</w:t>
      </w:r>
    </w:p>
    <w:p w14:paraId="698C38F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1.2依照&lt;关于印发《政府采购促进中小企业发展暂行办法》的通知&gt;财库〔2020〕46号的规定，小型、微型企业应当同时符合以下条件：</w:t>
      </w:r>
    </w:p>
    <w:p w14:paraId="1D8B148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1.2.1符合中小企业划分标准（中小企业划分标准是指国务院有关部门根据企业从业人员、营业收入、资产总额等指标制定的中小企业划型标准（工信部联企业〔2011〕300号））。</w:t>
      </w:r>
    </w:p>
    <w:p w14:paraId="321D4A2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1.2.2提供本企业制造的货物、承担的工程或者服务，或者提供其他中小企业制造的货物，不包括提供或使用大型企业注册商标的货物。</w:t>
      </w:r>
    </w:p>
    <w:p w14:paraId="6E24432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1.2.3小型、微型企业提供中型企业制造的货物的，视同为中型企业；小型、微型、中型企业提供大型企业制造的货物的，视同为大型企业。</w:t>
      </w:r>
    </w:p>
    <w:p w14:paraId="7D6C0B1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所投产品符合政府采购强制采购政策的，实行强制采购。</w:t>
      </w:r>
    </w:p>
    <w:p w14:paraId="6698642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节能产品政府采购清单”：符合政府采购优先采购政策的，所投产品属于“节能产品政府采购清单”中品目的产品，需提供最新一期“节能产品政府采购清单”中投标产品所在清单页并加盖供应商公章。该清单可在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25"/>
          <w:rFonts w:hint="eastAsia" w:ascii="宋体" w:hAnsi="宋体" w:eastAsia="宋体" w:cs="宋体"/>
          <w:color w:val="auto"/>
          <w:sz w:val="24"/>
          <w:szCs w:val="24"/>
          <w:highlight w:val="none"/>
        </w:rPr>
        <w:t>http://www.ccgp.gov.cn/</w:t>
      </w:r>
      <w:r>
        <w:rPr>
          <w:rStyle w:val="25"/>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）上查找。</w:t>
      </w:r>
    </w:p>
    <w:p w14:paraId="17B6E20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环境标志产品政府采购清单”：所投产品属于“环境标志产品政府采购清单”中品目的产品，需提供最新一期“环境标志产品政府采购清单”中投标产品所在清单页并加盖供应商公章。该清单可在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25"/>
          <w:rFonts w:hint="eastAsia" w:ascii="宋体" w:hAnsi="宋体" w:eastAsia="宋体" w:cs="宋体"/>
          <w:color w:val="auto"/>
          <w:sz w:val="24"/>
          <w:szCs w:val="24"/>
          <w:highlight w:val="none"/>
        </w:rPr>
        <w:t>http://www.ccgp.gov.cn/</w:t>
      </w:r>
      <w:r>
        <w:rPr>
          <w:rStyle w:val="25"/>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）上查找。</w:t>
      </w:r>
    </w:p>
    <w:p w14:paraId="3AF5136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BC4A8E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90C782D">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2、政策性扣减方式：</w:t>
      </w:r>
    </w:p>
    <w:p w14:paraId="259D997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2.1在投标报价的基础上，对小微企业、监狱企业、残疾人福利性单位，按“投标报价×</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%”进行扣减；</w:t>
      </w:r>
    </w:p>
    <w:p w14:paraId="68CEAC9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2.2供应商为联合体参与投标，且联合协议中约定小型或微型企业的协议合同金额占到联合体协议合同总金额30％以上的，按“投标报价×2%”进行扣减；</w:t>
      </w:r>
    </w:p>
    <w:p w14:paraId="2E44AC4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2.3供应商享受</w:t>
      </w:r>
      <w:r>
        <w:rPr>
          <w:rFonts w:hint="eastAsia" w:ascii="宋体" w:hAnsi="宋体" w:eastAsia="宋体" w:cs="宋体"/>
          <w:bCs/>
          <w:color w:val="auto"/>
          <w:sz w:val="24"/>
          <w:szCs w:val="24"/>
          <w:highlight w:val="none"/>
        </w:rPr>
        <w:t>支持</w:t>
      </w:r>
      <w:r>
        <w:rPr>
          <w:rFonts w:hint="eastAsia" w:ascii="宋体" w:hAnsi="宋体" w:eastAsia="宋体" w:cs="宋体"/>
          <w:color w:val="auto"/>
          <w:sz w:val="24"/>
          <w:szCs w:val="24"/>
          <w:highlight w:val="none"/>
        </w:rPr>
        <w:t>中小型企业发展政策</w:t>
      </w:r>
      <w:bookmarkStart w:id="213" w:name="_GoBack"/>
      <w:r>
        <w:rPr>
          <w:rFonts w:hint="eastAsia" w:ascii="宋体" w:hAnsi="宋体" w:eastAsia="宋体" w:cs="宋体"/>
          <w:color w:val="auto"/>
          <w:sz w:val="24"/>
          <w:szCs w:val="24"/>
          <w:highlight w:val="none"/>
        </w:rPr>
        <w:t>优惠</w:t>
      </w:r>
      <w:bookmarkEnd w:id="213"/>
      <w:r>
        <w:rPr>
          <w:rFonts w:hint="eastAsia" w:ascii="宋体" w:hAnsi="宋体" w:eastAsia="宋体" w:cs="宋体"/>
          <w:color w:val="auto"/>
          <w:sz w:val="24"/>
          <w:szCs w:val="24"/>
          <w:highlight w:val="none"/>
        </w:rPr>
        <w:t>的，可以同时享受节能、环境标志产品优先采购政策；</w:t>
      </w:r>
    </w:p>
    <w:p w14:paraId="5CCA5C3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3、中标价格=中标供应商的有效投标报价。</w:t>
      </w:r>
    </w:p>
    <w:p w14:paraId="36355B96">
      <w:pPr>
        <w:pStyle w:val="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4"/>
          <w:szCs w:val="24"/>
          <w:highlight w:val="none"/>
        </w:rPr>
        <w:t>附件1：</w:t>
      </w:r>
    </w:p>
    <w:p w14:paraId="2371543B">
      <w:pPr>
        <w:pStyle w:val="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初步审查要素表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892"/>
        <w:gridCol w:w="703"/>
        <w:gridCol w:w="1678"/>
        <w:gridCol w:w="3885"/>
      </w:tblGrid>
      <w:tr w14:paraId="50558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1" w:hRule="atLeast"/>
          <w:jc w:val="center"/>
        </w:trPr>
        <w:tc>
          <w:tcPr>
            <w:tcW w:w="2953" w:type="dxa"/>
            <w:gridSpan w:val="2"/>
            <w:noWrap w:val="0"/>
            <w:vAlign w:val="center"/>
          </w:tcPr>
          <w:p w14:paraId="16F6ADBA">
            <w:pPr>
              <w:tabs>
                <w:tab w:val="left" w:pos="0"/>
              </w:tabs>
              <w:adjustRightInd w:val="0"/>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6266" w:type="dxa"/>
            <w:gridSpan w:val="3"/>
            <w:noWrap w:val="0"/>
            <w:vAlign w:val="center"/>
          </w:tcPr>
          <w:p w14:paraId="193D1037">
            <w:pPr>
              <w:tabs>
                <w:tab w:val="left" w:pos="0"/>
              </w:tabs>
              <w:adjustRightInd w:val="0"/>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37AD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restart"/>
            <w:noWrap w:val="0"/>
            <w:vAlign w:val="center"/>
          </w:tcPr>
          <w:p w14:paraId="63D74855">
            <w:pPr>
              <w:tabs>
                <w:tab w:val="left" w:pos="0"/>
              </w:tabs>
              <w:adjustRightInd w:val="0"/>
              <w:snapToGrid w:val="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资格审查标准</w:t>
            </w:r>
          </w:p>
        </w:tc>
        <w:tc>
          <w:tcPr>
            <w:tcW w:w="1892" w:type="dxa"/>
            <w:noWrap w:val="0"/>
            <w:vAlign w:val="center"/>
          </w:tcPr>
          <w:p w14:paraId="0ADAA6BE">
            <w:pPr>
              <w:tabs>
                <w:tab w:val="left" w:pos="0"/>
              </w:tabs>
              <w:adjustRightInd w:val="0"/>
              <w:snapToGrid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营业执照</w:t>
            </w:r>
          </w:p>
        </w:tc>
        <w:tc>
          <w:tcPr>
            <w:tcW w:w="6266" w:type="dxa"/>
            <w:gridSpan w:val="3"/>
            <w:noWrap w:val="0"/>
            <w:vAlign w:val="center"/>
          </w:tcPr>
          <w:p w14:paraId="46D2B15D">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具有独立承担民事责任能力的法人、其他组织或自然人，并出具合法有效的统一社会信用代码的营业执照或事业单位法人证书等国家规定的相关证明，自然人参与的提供其身份证明；</w:t>
            </w:r>
          </w:p>
        </w:tc>
      </w:tr>
      <w:tr w14:paraId="1E2E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061" w:type="dxa"/>
            <w:vMerge w:val="continue"/>
            <w:noWrap w:val="0"/>
            <w:vAlign w:val="center"/>
          </w:tcPr>
          <w:p w14:paraId="5853EFFF">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02ABB075">
            <w:pPr>
              <w:tabs>
                <w:tab w:val="left" w:pos="0"/>
              </w:tabs>
              <w:adjustRightInd w:val="0"/>
              <w:snapToGrid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授权书</w:t>
            </w:r>
          </w:p>
        </w:tc>
        <w:tc>
          <w:tcPr>
            <w:tcW w:w="6266" w:type="dxa"/>
            <w:gridSpan w:val="3"/>
            <w:noWrap w:val="0"/>
            <w:vAlign w:val="center"/>
          </w:tcPr>
          <w:p w14:paraId="032B552B">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提供法定代表人授权书（附法定代表人、被授权人身份证复印件），法定代表人直接参加投标，须提供法定代表人身份证明（附法定代表人身份证复印件）；</w:t>
            </w:r>
          </w:p>
        </w:tc>
      </w:tr>
      <w:tr w14:paraId="6F9B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061" w:type="dxa"/>
            <w:vMerge w:val="continue"/>
            <w:noWrap w:val="0"/>
            <w:vAlign w:val="center"/>
          </w:tcPr>
          <w:p w14:paraId="009C475F">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472EEDEC">
            <w:pPr>
              <w:tabs>
                <w:tab w:val="left" w:pos="0"/>
              </w:tabs>
              <w:adjustRightInd w:val="0"/>
              <w:snapToGrid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财务状况</w:t>
            </w:r>
          </w:p>
        </w:tc>
        <w:tc>
          <w:tcPr>
            <w:tcW w:w="6266" w:type="dxa"/>
            <w:gridSpan w:val="3"/>
            <w:noWrap w:val="0"/>
            <w:vAlign w:val="center"/>
          </w:tcPr>
          <w:p w14:paraId="0637066D">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p>
        </w:tc>
      </w:tr>
      <w:tr w14:paraId="4A85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7FFED712">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0AB7DA00">
            <w:pPr>
              <w:tabs>
                <w:tab w:val="left" w:pos="0"/>
              </w:tabs>
              <w:adjustRightInd w:val="0"/>
              <w:snapToGrid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税收缴纳证明</w:t>
            </w:r>
          </w:p>
        </w:tc>
        <w:tc>
          <w:tcPr>
            <w:tcW w:w="6266" w:type="dxa"/>
            <w:gridSpan w:val="3"/>
            <w:noWrap w:val="0"/>
            <w:vAlign w:val="center"/>
          </w:tcPr>
          <w:p w14:paraId="714DE4F1">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提供投标截止日前近一年内至少一个月的纳税证明或完税证明，依法免税的单位应提供相关证明材料；</w:t>
            </w:r>
          </w:p>
        </w:tc>
      </w:tr>
      <w:tr w14:paraId="7090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061" w:type="dxa"/>
            <w:vMerge w:val="continue"/>
            <w:noWrap w:val="0"/>
            <w:vAlign w:val="center"/>
          </w:tcPr>
          <w:p w14:paraId="57713C7B">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7E93E6AA">
            <w:pPr>
              <w:tabs>
                <w:tab w:val="left" w:pos="0"/>
              </w:tabs>
              <w:adjustRightInd w:val="0"/>
              <w:snapToGrid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社会保障资金缴纳证明</w:t>
            </w:r>
          </w:p>
        </w:tc>
        <w:tc>
          <w:tcPr>
            <w:tcW w:w="6266" w:type="dxa"/>
            <w:gridSpan w:val="3"/>
            <w:noWrap w:val="0"/>
            <w:vAlign w:val="center"/>
          </w:tcPr>
          <w:p w14:paraId="1B3EF142">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提供投标截止日前近一年内至少一个月的社会保障资金缴存单据或社保机构开具的社会保险 参保缴费情况证明，依法不需要缴纳社会保障资金的单位应提供相关证明材料；</w:t>
            </w:r>
          </w:p>
        </w:tc>
      </w:tr>
      <w:tr w14:paraId="6E6C4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2C76F89E">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18152BD9">
            <w:pPr>
              <w:tabs>
                <w:tab w:val="left" w:pos="0"/>
              </w:tabs>
              <w:adjustRightInd w:val="0"/>
              <w:snapToGrid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承诺书</w:t>
            </w:r>
          </w:p>
        </w:tc>
        <w:tc>
          <w:tcPr>
            <w:tcW w:w="6266" w:type="dxa"/>
            <w:gridSpan w:val="3"/>
            <w:noWrap w:val="0"/>
            <w:vAlign w:val="center"/>
          </w:tcPr>
          <w:p w14:paraId="5B535A07">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提供具有履行本合同所必需的设备和专业技术能力的说明及承诺书；</w:t>
            </w:r>
          </w:p>
        </w:tc>
      </w:tr>
      <w:tr w14:paraId="2A70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061" w:type="dxa"/>
            <w:vMerge w:val="continue"/>
            <w:noWrap w:val="0"/>
            <w:vAlign w:val="center"/>
          </w:tcPr>
          <w:p w14:paraId="28CD0A54">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508E25F1">
            <w:pPr>
              <w:tabs>
                <w:tab w:val="left" w:pos="0"/>
              </w:tabs>
              <w:adjustRightInd w:val="0"/>
              <w:snapToGrid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供应商信用记录书面声明函</w:t>
            </w:r>
          </w:p>
        </w:tc>
        <w:tc>
          <w:tcPr>
            <w:tcW w:w="6266" w:type="dxa"/>
            <w:gridSpan w:val="3"/>
            <w:noWrap w:val="0"/>
            <w:vAlign w:val="center"/>
          </w:tcPr>
          <w:p w14:paraId="3C2C3E0E">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tc>
      </w:tr>
      <w:tr w14:paraId="154B0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0DD94FC0">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7717CF28">
            <w:pPr>
              <w:tabs>
                <w:tab w:val="left" w:pos="0"/>
              </w:tabs>
              <w:adjustRightInd w:val="0"/>
              <w:snapToGrid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没有重大违法记录的书面声明</w:t>
            </w:r>
          </w:p>
        </w:tc>
        <w:tc>
          <w:tcPr>
            <w:tcW w:w="6266" w:type="dxa"/>
            <w:gridSpan w:val="3"/>
            <w:noWrap w:val="0"/>
            <w:vAlign w:val="center"/>
          </w:tcPr>
          <w:p w14:paraId="6A34A178">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参加政府采购活动前3年内，在经营活动中没有重大违法记录的书面声明；</w:t>
            </w:r>
          </w:p>
        </w:tc>
      </w:tr>
      <w:tr w14:paraId="35E3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4D059528">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3C226015">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投标人提供直接控股和管理关系清单</w:t>
            </w:r>
          </w:p>
        </w:tc>
        <w:tc>
          <w:tcPr>
            <w:tcW w:w="6266" w:type="dxa"/>
            <w:gridSpan w:val="3"/>
            <w:noWrap w:val="0"/>
            <w:vAlign w:val="center"/>
          </w:tcPr>
          <w:p w14:paraId="05EEA97E">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提供直接控股和管理关系清单。若与其他供应商存在单位负责人为同一人或者存在直接控股、管理关系的，则投标无效；</w:t>
            </w:r>
          </w:p>
        </w:tc>
      </w:tr>
      <w:tr w14:paraId="2336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3F35D4E1">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6B59EB3A">
            <w:pPr>
              <w:tabs>
                <w:tab w:val="left" w:pos="0"/>
              </w:tabs>
              <w:adjustRightInd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中小企业声明函</w:t>
            </w:r>
          </w:p>
        </w:tc>
        <w:tc>
          <w:tcPr>
            <w:tcW w:w="6266" w:type="dxa"/>
            <w:gridSpan w:val="3"/>
            <w:noWrap w:val="0"/>
            <w:vAlign w:val="center"/>
          </w:tcPr>
          <w:p w14:paraId="4FAC7346">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本项目专门面向中小企业采购，提供中小企业声明函；</w:t>
            </w:r>
          </w:p>
        </w:tc>
      </w:tr>
      <w:tr w14:paraId="2791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7E1E5082">
            <w:pPr>
              <w:tabs>
                <w:tab w:val="left" w:pos="0"/>
              </w:tabs>
              <w:adjustRightInd w:val="0"/>
              <w:snapToGrid w:val="0"/>
              <w:jc w:val="center"/>
              <w:rPr>
                <w:rFonts w:hint="eastAsia" w:ascii="宋体" w:hAnsi="宋体" w:eastAsia="宋体" w:cs="宋体"/>
                <w:b/>
                <w:bCs/>
                <w:color w:val="auto"/>
                <w:sz w:val="24"/>
                <w:szCs w:val="24"/>
                <w:highlight w:val="none"/>
                <w:lang w:eastAsia="zh-CN"/>
              </w:rPr>
            </w:pPr>
          </w:p>
        </w:tc>
        <w:tc>
          <w:tcPr>
            <w:tcW w:w="1892" w:type="dxa"/>
            <w:noWrap w:val="0"/>
            <w:vAlign w:val="center"/>
          </w:tcPr>
          <w:p w14:paraId="44C0215C">
            <w:pPr>
              <w:tabs>
                <w:tab w:val="left" w:pos="0"/>
              </w:tabs>
              <w:adjustRightInd w:val="0"/>
              <w:snapToGrid w:val="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不接受联合体投标</w:t>
            </w:r>
          </w:p>
        </w:tc>
        <w:tc>
          <w:tcPr>
            <w:tcW w:w="6266" w:type="dxa"/>
            <w:gridSpan w:val="3"/>
            <w:noWrap w:val="0"/>
            <w:vAlign w:val="center"/>
          </w:tcPr>
          <w:p w14:paraId="089320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本项目不接受联合体投标（提供承诺书）。</w:t>
            </w:r>
          </w:p>
        </w:tc>
      </w:tr>
      <w:tr w14:paraId="7ECC1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061" w:type="dxa"/>
            <w:vMerge w:val="restart"/>
            <w:noWrap w:val="0"/>
            <w:vAlign w:val="center"/>
          </w:tcPr>
          <w:p w14:paraId="6B1CD9E6">
            <w:pPr>
              <w:tabs>
                <w:tab w:val="left" w:pos="0"/>
              </w:tabs>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1</w:t>
            </w:r>
          </w:p>
        </w:tc>
        <w:tc>
          <w:tcPr>
            <w:tcW w:w="1892" w:type="dxa"/>
            <w:vMerge w:val="restart"/>
            <w:noWrap w:val="0"/>
            <w:vAlign w:val="center"/>
          </w:tcPr>
          <w:p w14:paraId="4B186E8A">
            <w:pPr>
              <w:tabs>
                <w:tab w:val="left" w:pos="0"/>
              </w:tabs>
              <w:adjustRightInd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符合性评审标准</w:t>
            </w:r>
          </w:p>
        </w:tc>
        <w:tc>
          <w:tcPr>
            <w:tcW w:w="703" w:type="dxa"/>
            <w:vMerge w:val="restart"/>
            <w:noWrap w:val="0"/>
            <w:vAlign w:val="center"/>
          </w:tcPr>
          <w:p w14:paraId="53E80338">
            <w:pPr>
              <w:tabs>
                <w:tab w:val="left" w:pos="0"/>
              </w:tabs>
              <w:adjustRightInd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有效性审查</w:t>
            </w:r>
          </w:p>
        </w:tc>
        <w:tc>
          <w:tcPr>
            <w:tcW w:w="1678" w:type="dxa"/>
            <w:noWrap w:val="0"/>
            <w:vAlign w:val="center"/>
          </w:tcPr>
          <w:p w14:paraId="0A0DF3E4">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投标文件的签署盖章</w:t>
            </w:r>
          </w:p>
        </w:tc>
        <w:tc>
          <w:tcPr>
            <w:tcW w:w="3885" w:type="dxa"/>
            <w:noWrap w:val="0"/>
            <w:vAlign w:val="center"/>
          </w:tcPr>
          <w:p w14:paraId="46320E56">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投标文件上法定代表人或负责人或其授权代表人的签字齐全并加盖公章</w:t>
            </w:r>
            <w:r>
              <w:rPr>
                <w:rFonts w:hint="eastAsia" w:ascii="宋体" w:hAnsi="宋体" w:eastAsia="宋体" w:cs="宋体"/>
                <w:color w:val="auto"/>
                <w:sz w:val="24"/>
                <w:szCs w:val="24"/>
                <w:highlight w:val="none"/>
                <w:lang w:eastAsia="zh-CN"/>
              </w:rPr>
              <w:t>。</w:t>
            </w:r>
          </w:p>
        </w:tc>
      </w:tr>
      <w:tr w14:paraId="2791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1061" w:type="dxa"/>
            <w:vMerge w:val="continue"/>
            <w:noWrap w:val="0"/>
            <w:vAlign w:val="top"/>
          </w:tcPr>
          <w:p w14:paraId="23D1F947">
            <w:pPr>
              <w:tabs>
                <w:tab w:val="left" w:pos="0"/>
              </w:tabs>
              <w:adjustRightInd w:val="0"/>
              <w:snapToGrid w:val="0"/>
              <w:spacing w:line="360" w:lineRule="auto"/>
              <w:rPr>
                <w:rFonts w:hint="eastAsia" w:ascii="宋体" w:hAnsi="宋体" w:eastAsia="宋体" w:cs="宋体"/>
                <w:color w:val="auto"/>
                <w:sz w:val="24"/>
                <w:szCs w:val="24"/>
                <w:highlight w:val="none"/>
              </w:rPr>
            </w:pPr>
          </w:p>
        </w:tc>
        <w:tc>
          <w:tcPr>
            <w:tcW w:w="1892" w:type="dxa"/>
            <w:vMerge w:val="continue"/>
            <w:noWrap w:val="0"/>
            <w:vAlign w:val="top"/>
          </w:tcPr>
          <w:p w14:paraId="4B3A065D">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703" w:type="dxa"/>
            <w:vMerge w:val="continue"/>
            <w:noWrap w:val="0"/>
            <w:vAlign w:val="top"/>
          </w:tcPr>
          <w:p w14:paraId="32D90350">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1678" w:type="dxa"/>
            <w:noWrap w:val="0"/>
            <w:vAlign w:val="center"/>
          </w:tcPr>
          <w:p w14:paraId="356389B2">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投标文件格式</w:t>
            </w:r>
          </w:p>
        </w:tc>
        <w:tc>
          <w:tcPr>
            <w:tcW w:w="3885" w:type="dxa"/>
            <w:noWrap w:val="0"/>
            <w:vAlign w:val="center"/>
          </w:tcPr>
          <w:p w14:paraId="29A1DBCA">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应符合“投标文件格式”要求</w:t>
            </w:r>
            <w:r>
              <w:rPr>
                <w:rFonts w:hint="eastAsia" w:ascii="宋体" w:hAnsi="宋体" w:eastAsia="宋体" w:cs="宋体"/>
                <w:color w:val="auto"/>
                <w:sz w:val="24"/>
                <w:szCs w:val="24"/>
                <w:highlight w:val="none"/>
                <w:lang w:eastAsia="zh-CN"/>
              </w:rPr>
              <w:t>。</w:t>
            </w:r>
          </w:p>
        </w:tc>
      </w:tr>
      <w:tr w14:paraId="3DAF4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061" w:type="dxa"/>
            <w:vMerge w:val="continue"/>
            <w:noWrap w:val="0"/>
            <w:vAlign w:val="top"/>
          </w:tcPr>
          <w:p w14:paraId="2AD194DD">
            <w:pPr>
              <w:tabs>
                <w:tab w:val="left" w:pos="0"/>
              </w:tabs>
              <w:adjustRightInd w:val="0"/>
              <w:snapToGrid w:val="0"/>
              <w:spacing w:line="360" w:lineRule="auto"/>
              <w:rPr>
                <w:rFonts w:hint="eastAsia" w:ascii="宋体" w:hAnsi="宋体" w:eastAsia="宋体" w:cs="宋体"/>
                <w:color w:val="auto"/>
                <w:sz w:val="24"/>
                <w:szCs w:val="24"/>
                <w:highlight w:val="none"/>
              </w:rPr>
            </w:pPr>
          </w:p>
        </w:tc>
        <w:tc>
          <w:tcPr>
            <w:tcW w:w="1892" w:type="dxa"/>
            <w:vMerge w:val="continue"/>
            <w:noWrap w:val="0"/>
            <w:vAlign w:val="top"/>
          </w:tcPr>
          <w:p w14:paraId="4A91CDA3">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703" w:type="dxa"/>
            <w:vMerge w:val="continue"/>
            <w:noWrap w:val="0"/>
            <w:vAlign w:val="top"/>
          </w:tcPr>
          <w:p w14:paraId="40829776">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1678" w:type="dxa"/>
            <w:noWrap w:val="0"/>
            <w:vAlign w:val="center"/>
          </w:tcPr>
          <w:p w14:paraId="66F9EAEE">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报价唯一</w:t>
            </w:r>
          </w:p>
        </w:tc>
        <w:tc>
          <w:tcPr>
            <w:tcW w:w="3885" w:type="dxa"/>
            <w:noWrap w:val="0"/>
            <w:vAlign w:val="center"/>
          </w:tcPr>
          <w:p w14:paraId="6CB74E43">
            <w:pPr>
              <w:tabs>
                <w:tab w:val="left" w:pos="0"/>
              </w:tabs>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只能有一个有效报价，不得提交选择性报价，且报价不超过采购预算金额或最高限价</w:t>
            </w:r>
            <w:r>
              <w:rPr>
                <w:rFonts w:hint="eastAsia" w:ascii="宋体" w:hAnsi="宋体" w:eastAsia="宋体" w:cs="宋体"/>
                <w:color w:val="auto"/>
                <w:sz w:val="24"/>
                <w:szCs w:val="24"/>
                <w:highlight w:val="none"/>
                <w:lang w:val="en-US" w:eastAsia="zh-CN"/>
              </w:rPr>
              <w:t>及单品最高限价</w:t>
            </w:r>
            <w:r>
              <w:rPr>
                <w:rFonts w:hint="eastAsia" w:ascii="宋体" w:hAnsi="宋体" w:eastAsia="宋体" w:cs="宋体"/>
                <w:color w:val="auto"/>
                <w:sz w:val="24"/>
                <w:szCs w:val="24"/>
                <w:highlight w:val="none"/>
              </w:rPr>
              <w:t>。</w:t>
            </w:r>
          </w:p>
        </w:tc>
      </w:tr>
      <w:tr w14:paraId="22CE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4EB31840">
            <w:pPr>
              <w:tabs>
                <w:tab w:val="left" w:pos="0"/>
              </w:tabs>
              <w:adjustRightInd w:val="0"/>
              <w:snapToGrid w:val="0"/>
              <w:spacing w:line="360" w:lineRule="auto"/>
              <w:jc w:val="center"/>
              <w:rPr>
                <w:rFonts w:hint="eastAsia" w:ascii="宋体" w:hAnsi="宋体" w:eastAsia="宋体" w:cs="宋体"/>
                <w:color w:val="auto"/>
                <w:sz w:val="24"/>
                <w:szCs w:val="24"/>
                <w:highlight w:val="none"/>
              </w:rPr>
            </w:pPr>
          </w:p>
        </w:tc>
        <w:tc>
          <w:tcPr>
            <w:tcW w:w="1892" w:type="dxa"/>
            <w:vMerge w:val="continue"/>
            <w:noWrap w:val="0"/>
            <w:vAlign w:val="center"/>
          </w:tcPr>
          <w:p w14:paraId="7636CCD2">
            <w:pPr>
              <w:tabs>
                <w:tab w:val="left" w:pos="0"/>
              </w:tabs>
              <w:adjustRightInd w:val="0"/>
              <w:snapToGrid w:val="0"/>
              <w:jc w:val="center"/>
              <w:rPr>
                <w:rFonts w:hint="eastAsia" w:ascii="宋体" w:hAnsi="宋体" w:eastAsia="宋体" w:cs="宋体"/>
                <w:b/>
                <w:bCs/>
                <w:color w:val="auto"/>
                <w:sz w:val="24"/>
                <w:szCs w:val="24"/>
                <w:highlight w:val="none"/>
              </w:rPr>
            </w:pPr>
          </w:p>
        </w:tc>
        <w:tc>
          <w:tcPr>
            <w:tcW w:w="703" w:type="dxa"/>
            <w:vMerge w:val="restart"/>
            <w:noWrap w:val="0"/>
            <w:vAlign w:val="center"/>
          </w:tcPr>
          <w:p w14:paraId="6C06A1AF">
            <w:pPr>
              <w:tabs>
                <w:tab w:val="left" w:pos="0"/>
              </w:tabs>
              <w:adjustRightInd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完整性审查</w:t>
            </w:r>
          </w:p>
        </w:tc>
        <w:tc>
          <w:tcPr>
            <w:tcW w:w="1678" w:type="dxa"/>
            <w:noWrap w:val="0"/>
            <w:vAlign w:val="center"/>
          </w:tcPr>
          <w:p w14:paraId="34683536">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投标文件份数</w:t>
            </w:r>
          </w:p>
        </w:tc>
        <w:tc>
          <w:tcPr>
            <w:tcW w:w="3885" w:type="dxa"/>
            <w:noWrap w:val="0"/>
            <w:vAlign w:val="center"/>
          </w:tcPr>
          <w:p w14:paraId="5647E73E">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应符合“供应商须知前附表”规定的正本、副本、电子文件数量</w:t>
            </w:r>
            <w:r>
              <w:rPr>
                <w:rFonts w:hint="eastAsia" w:ascii="宋体" w:hAnsi="宋体" w:eastAsia="宋体" w:cs="宋体"/>
                <w:color w:val="auto"/>
                <w:sz w:val="24"/>
                <w:szCs w:val="24"/>
                <w:highlight w:val="none"/>
                <w:lang w:eastAsia="zh-CN"/>
              </w:rPr>
              <w:t>。</w:t>
            </w:r>
          </w:p>
        </w:tc>
      </w:tr>
      <w:tr w14:paraId="3FAD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1061" w:type="dxa"/>
            <w:vMerge w:val="continue"/>
            <w:noWrap w:val="0"/>
            <w:vAlign w:val="top"/>
          </w:tcPr>
          <w:p w14:paraId="30FDDB9C">
            <w:pPr>
              <w:tabs>
                <w:tab w:val="left" w:pos="0"/>
              </w:tabs>
              <w:adjustRightInd w:val="0"/>
              <w:snapToGrid w:val="0"/>
              <w:spacing w:line="360" w:lineRule="auto"/>
              <w:rPr>
                <w:rFonts w:hint="eastAsia" w:ascii="宋体" w:hAnsi="宋体" w:eastAsia="宋体" w:cs="宋体"/>
                <w:color w:val="auto"/>
                <w:sz w:val="24"/>
                <w:szCs w:val="24"/>
                <w:highlight w:val="none"/>
              </w:rPr>
            </w:pPr>
          </w:p>
        </w:tc>
        <w:tc>
          <w:tcPr>
            <w:tcW w:w="1892" w:type="dxa"/>
            <w:vMerge w:val="continue"/>
            <w:noWrap w:val="0"/>
            <w:vAlign w:val="top"/>
          </w:tcPr>
          <w:p w14:paraId="0E8CF11A">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703" w:type="dxa"/>
            <w:vMerge w:val="continue"/>
            <w:noWrap w:val="0"/>
            <w:vAlign w:val="top"/>
          </w:tcPr>
          <w:p w14:paraId="1C8D6CA1">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1678" w:type="dxa"/>
            <w:noWrap w:val="0"/>
            <w:vAlign w:val="center"/>
          </w:tcPr>
          <w:p w14:paraId="05076E80">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投标文件内容</w:t>
            </w:r>
          </w:p>
        </w:tc>
        <w:tc>
          <w:tcPr>
            <w:tcW w:w="3885" w:type="dxa"/>
            <w:noWrap w:val="0"/>
            <w:vAlign w:val="center"/>
          </w:tcPr>
          <w:p w14:paraId="231357F9">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投标文件内容齐全、无遗漏</w:t>
            </w:r>
            <w:r>
              <w:rPr>
                <w:rFonts w:hint="eastAsia" w:ascii="宋体" w:hAnsi="宋体" w:eastAsia="宋体" w:cs="宋体"/>
                <w:color w:val="auto"/>
                <w:sz w:val="24"/>
                <w:szCs w:val="24"/>
                <w:highlight w:val="none"/>
                <w:lang w:eastAsia="zh-CN"/>
              </w:rPr>
              <w:t>。</w:t>
            </w:r>
          </w:p>
        </w:tc>
      </w:tr>
      <w:tr w14:paraId="6318E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center"/>
          </w:tcPr>
          <w:p w14:paraId="25AE0A31">
            <w:pPr>
              <w:tabs>
                <w:tab w:val="left" w:pos="0"/>
              </w:tabs>
              <w:adjustRightInd w:val="0"/>
              <w:snapToGrid w:val="0"/>
              <w:spacing w:line="360" w:lineRule="auto"/>
              <w:jc w:val="center"/>
              <w:rPr>
                <w:rFonts w:hint="eastAsia" w:ascii="宋体" w:hAnsi="宋体" w:eastAsia="宋体" w:cs="宋体"/>
                <w:color w:val="auto"/>
                <w:sz w:val="24"/>
                <w:szCs w:val="24"/>
                <w:highlight w:val="none"/>
              </w:rPr>
            </w:pPr>
          </w:p>
        </w:tc>
        <w:tc>
          <w:tcPr>
            <w:tcW w:w="1892" w:type="dxa"/>
            <w:vMerge w:val="continue"/>
            <w:noWrap w:val="0"/>
            <w:vAlign w:val="center"/>
          </w:tcPr>
          <w:p w14:paraId="74AA4DB2">
            <w:pPr>
              <w:tabs>
                <w:tab w:val="left" w:pos="0"/>
              </w:tabs>
              <w:adjustRightInd w:val="0"/>
              <w:snapToGrid w:val="0"/>
              <w:jc w:val="center"/>
              <w:rPr>
                <w:rFonts w:hint="eastAsia" w:ascii="宋体" w:hAnsi="宋体" w:eastAsia="宋体" w:cs="宋体"/>
                <w:b/>
                <w:bCs/>
                <w:color w:val="auto"/>
                <w:sz w:val="24"/>
                <w:szCs w:val="24"/>
                <w:highlight w:val="none"/>
              </w:rPr>
            </w:pPr>
          </w:p>
        </w:tc>
        <w:tc>
          <w:tcPr>
            <w:tcW w:w="703" w:type="dxa"/>
            <w:vMerge w:val="restart"/>
            <w:noWrap w:val="0"/>
            <w:vAlign w:val="center"/>
          </w:tcPr>
          <w:p w14:paraId="478B1781">
            <w:pPr>
              <w:tabs>
                <w:tab w:val="left" w:pos="0"/>
              </w:tabs>
              <w:adjustRightInd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响应性审查</w:t>
            </w:r>
          </w:p>
        </w:tc>
        <w:tc>
          <w:tcPr>
            <w:tcW w:w="1678" w:type="dxa"/>
            <w:noWrap w:val="0"/>
            <w:vAlign w:val="center"/>
          </w:tcPr>
          <w:p w14:paraId="2813C201">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对招标文件响应程度</w:t>
            </w:r>
          </w:p>
        </w:tc>
        <w:tc>
          <w:tcPr>
            <w:tcW w:w="3885" w:type="dxa"/>
            <w:noWrap w:val="0"/>
            <w:vAlign w:val="center"/>
          </w:tcPr>
          <w:p w14:paraId="4B3A98A9">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要求全面响应，不能有任何采购人不能接受的附加条件</w:t>
            </w:r>
            <w:r>
              <w:rPr>
                <w:rFonts w:hint="eastAsia" w:ascii="宋体" w:hAnsi="宋体" w:eastAsia="宋体" w:cs="宋体"/>
                <w:color w:val="auto"/>
                <w:sz w:val="24"/>
                <w:szCs w:val="24"/>
                <w:highlight w:val="none"/>
                <w:lang w:eastAsia="zh-CN"/>
              </w:rPr>
              <w:t>。</w:t>
            </w:r>
          </w:p>
        </w:tc>
      </w:tr>
      <w:tr w14:paraId="12A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061" w:type="dxa"/>
            <w:vMerge w:val="continue"/>
            <w:noWrap w:val="0"/>
            <w:vAlign w:val="top"/>
          </w:tcPr>
          <w:p w14:paraId="540E9FCC">
            <w:pPr>
              <w:tabs>
                <w:tab w:val="left" w:pos="0"/>
              </w:tabs>
              <w:adjustRightInd w:val="0"/>
              <w:snapToGrid w:val="0"/>
              <w:spacing w:line="360" w:lineRule="auto"/>
              <w:rPr>
                <w:rFonts w:hint="eastAsia" w:ascii="宋体" w:hAnsi="宋体" w:eastAsia="宋体" w:cs="宋体"/>
                <w:color w:val="auto"/>
                <w:sz w:val="24"/>
                <w:szCs w:val="24"/>
                <w:highlight w:val="none"/>
              </w:rPr>
            </w:pPr>
          </w:p>
        </w:tc>
        <w:tc>
          <w:tcPr>
            <w:tcW w:w="1892" w:type="dxa"/>
            <w:vMerge w:val="continue"/>
            <w:noWrap w:val="0"/>
            <w:vAlign w:val="top"/>
          </w:tcPr>
          <w:p w14:paraId="157825C7">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703" w:type="dxa"/>
            <w:vMerge w:val="continue"/>
            <w:noWrap w:val="0"/>
            <w:vAlign w:val="top"/>
          </w:tcPr>
          <w:p w14:paraId="5B996667">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1678" w:type="dxa"/>
            <w:noWrap w:val="0"/>
            <w:vAlign w:val="center"/>
          </w:tcPr>
          <w:p w14:paraId="3FB1E1FC">
            <w:pPr>
              <w:tabs>
                <w:tab w:val="left" w:pos="0"/>
              </w:tabs>
              <w:adjustRightInd w:val="0"/>
              <w:snapToGrid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交付期、</w:t>
            </w:r>
            <w:r>
              <w:rPr>
                <w:rFonts w:hint="eastAsia" w:ascii="宋体" w:hAnsi="宋体" w:eastAsia="宋体" w:cs="宋体"/>
                <w:b/>
                <w:bCs/>
                <w:color w:val="auto"/>
                <w:sz w:val="24"/>
                <w:szCs w:val="24"/>
                <w:highlight w:val="none"/>
                <w:lang w:val="en-US" w:eastAsia="zh-CN"/>
              </w:rPr>
              <w:t>质保期</w:t>
            </w:r>
          </w:p>
        </w:tc>
        <w:tc>
          <w:tcPr>
            <w:tcW w:w="3885" w:type="dxa"/>
            <w:noWrap w:val="0"/>
            <w:vAlign w:val="center"/>
          </w:tcPr>
          <w:p w14:paraId="4CB8ABEF">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应满足招标文件中要求的交付期、质保期</w:t>
            </w:r>
            <w:r>
              <w:rPr>
                <w:rFonts w:hint="eastAsia" w:ascii="宋体" w:hAnsi="宋体" w:eastAsia="宋体" w:cs="宋体"/>
                <w:color w:val="auto"/>
                <w:sz w:val="24"/>
                <w:szCs w:val="24"/>
                <w:highlight w:val="none"/>
                <w:lang w:eastAsia="zh-CN"/>
              </w:rPr>
              <w:t>。</w:t>
            </w:r>
          </w:p>
        </w:tc>
      </w:tr>
      <w:tr w14:paraId="35D6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1061" w:type="dxa"/>
            <w:vMerge w:val="continue"/>
            <w:noWrap w:val="0"/>
            <w:vAlign w:val="top"/>
          </w:tcPr>
          <w:p w14:paraId="529EBB66">
            <w:pPr>
              <w:tabs>
                <w:tab w:val="left" w:pos="0"/>
              </w:tabs>
              <w:adjustRightInd w:val="0"/>
              <w:snapToGrid w:val="0"/>
              <w:spacing w:line="360" w:lineRule="auto"/>
              <w:rPr>
                <w:rFonts w:hint="eastAsia" w:ascii="宋体" w:hAnsi="宋体" w:eastAsia="宋体" w:cs="宋体"/>
                <w:color w:val="auto"/>
                <w:sz w:val="24"/>
                <w:szCs w:val="24"/>
                <w:highlight w:val="none"/>
              </w:rPr>
            </w:pPr>
          </w:p>
        </w:tc>
        <w:tc>
          <w:tcPr>
            <w:tcW w:w="1892" w:type="dxa"/>
            <w:vMerge w:val="continue"/>
            <w:noWrap w:val="0"/>
            <w:vAlign w:val="top"/>
          </w:tcPr>
          <w:p w14:paraId="433D374C">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703" w:type="dxa"/>
            <w:vMerge w:val="continue"/>
            <w:noWrap w:val="0"/>
            <w:vAlign w:val="top"/>
          </w:tcPr>
          <w:p w14:paraId="37C662B9">
            <w:pPr>
              <w:tabs>
                <w:tab w:val="left" w:pos="0"/>
              </w:tabs>
              <w:adjustRightInd w:val="0"/>
              <w:snapToGrid w:val="0"/>
              <w:spacing w:line="360" w:lineRule="auto"/>
              <w:rPr>
                <w:rFonts w:hint="eastAsia" w:ascii="宋体" w:hAnsi="宋体" w:eastAsia="宋体" w:cs="宋体"/>
                <w:b/>
                <w:bCs/>
                <w:color w:val="auto"/>
                <w:sz w:val="24"/>
                <w:szCs w:val="24"/>
                <w:highlight w:val="none"/>
              </w:rPr>
            </w:pPr>
          </w:p>
        </w:tc>
        <w:tc>
          <w:tcPr>
            <w:tcW w:w="1678" w:type="dxa"/>
            <w:noWrap w:val="0"/>
            <w:vAlign w:val="center"/>
          </w:tcPr>
          <w:p w14:paraId="59E0006D">
            <w:pPr>
              <w:tabs>
                <w:tab w:val="left" w:pos="0"/>
              </w:tabs>
              <w:adjustRightInd w:val="0"/>
              <w:snapToGrid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投标有效期</w:t>
            </w:r>
          </w:p>
        </w:tc>
        <w:tc>
          <w:tcPr>
            <w:tcW w:w="3885" w:type="dxa"/>
            <w:noWrap w:val="0"/>
            <w:vAlign w:val="center"/>
          </w:tcPr>
          <w:p w14:paraId="08E1AD23">
            <w:pPr>
              <w:tabs>
                <w:tab w:val="left" w:pos="0"/>
              </w:tabs>
              <w:adjustRightInd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应满足招标文件中的规定</w:t>
            </w:r>
            <w:r>
              <w:rPr>
                <w:rFonts w:hint="eastAsia" w:ascii="宋体" w:hAnsi="宋体" w:eastAsia="宋体" w:cs="宋体"/>
                <w:color w:val="auto"/>
                <w:sz w:val="24"/>
                <w:szCs w:val="24"/>
                <w:highlight w:val="none"/>
                <w:lang w:eastAsia="zh-CN"/>
              </w:rPr>
              <w:t>。</w:t>
            </w:r>
          </w:p>
        </w:tc>
      </w:tr>
    </w:tbl>
    <w:p w14:paraId="115BD1AC">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4C159053">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附件2：</w:t>
      </w:r>
    </w:p>
    <w:p w14:paraId="2BCA2F73">
      <w:pPr>
        <w:jc w:val="center"/>
        <w:rPr>
          <w:rFonts w:hint="default" w:hAnsi="宋体" w:cs="宋体"/>
          <w:b/>
          <w:color w:val="auto"/>
          <w:sz w:val="24"/>
          <w:szCs w:val="24"/>
          <w:highlight w:val="none"/>
          <w:lang w:val="en-US" w:eastAsia="zh-CN"/>
        </w:rPr>
      </w:pPr>
      <w:r>
        <w:rPr>
          <w:rFonts w:hint="eastAsia" w:hAnsi="宋体" w:cs="宋体"/>
          <w:b/>
          <w:color w:val="auto"/>
          <w:sz w:val="24"/>
          <w:szCs w:val="24"/>
          <w:highlight w:val="none"/>
          <w:lang w:val="en-US" w:eastAsia="zh-CN"/>
        </w:rPr>
        <w:t>合同包1</w:t>
      </w:r>
      <w:r>
        <w:rPr>
          <w:rFonts w:hint="eastAsia" w:ascii="宋体" w:hAnsi="宋体" w:eastAsia="宋体" w:cs="宋体"/>
          <w:b/>
          <w:color w:val="auto"/>
          <w:sz w:val="24"/>
          <w:szCs w:val="24"/>
          <w:highlight w:val="none"/>
        </w:rPr>
        <w:t>评分标准</w:t>
      </w:r>
    </w:p>
    <w:tbl>
      <w:tblPr>
        <w:tblStyle w:val="21"/>
        <w:tblW w:w="493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8"/>
        <w:gridCol w:w="1411"/>
        <w:gridCol w:w="5776"/>
        <w:gridCol w:w="863"/>
      </w:tblGrid>
      <w:tr w14:paraId="2D023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1375"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3F903DB">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评审因素</w:t>
            </w:r>
          </w:p>
        </w:tc>
        <w:tc>
          <w:tcPr>
            <w:tcW w:w="362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CEEF727">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评审标准</w:t>
            </w:r>
          </w:p>
        </w:tc>
      </w:tr>
      <w:tr w14:paraId="73AEB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1375"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AFD7E9A">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分值构成</w:t>
            </w:r>
          </w:p>
        </w:tc>
        <w:tc>
          <w:tcPr>
            <w:tcW w:w="362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60B2B1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详细评审</w:t>
            </w:r>
            <w:r>
              <w:rPr>
                <w:rFonts w:hint="eastAsia" w:hAnsi="宋体" w:cs="宋体"/>
                <w:i w:val="0"/>
                <w:iCs w:val="0"/>
                <w:color w:val="auto"/>
                <w:kern w:val="0"/>
                <w:sz w:val="24"/>
                <w:szCs w:val="24"/>
                <w:highlight w:val="none"/>
                <w:u w:val="none"/>
                <w:lang w:val="en-US" w:eastAsia="zh-CN" w:bidi="ar"/>
              </w:rPr>
              <w:t>65</w:t>
            </w:r>
            <w:r>
              <w:rPr>
                <w:rFonts w:hint="eastAsia" w:ascii="宋体" w:hAnsi="宋体" w:eastAsia="宋体" w:cs="宋体"/>
                <w:i w:val="0"/>
                <w:iCs w:val="0"/>
                <w:color w:val="auto"/>
                <w:kern w:val="0"/>
                <w:sz w:val="24"/>
                <w:szCs w:val="24"/>
                <w:highlight w:val="none"/>
                <w:u w:val="none"/>
                <w:lang w:val="en-US" w:eastAsia="zh-CN" w:bidi="ar"/>
              </w:rPr>
              <w:t>.00分</w:t>
            </w:r>
          </w:p>
        </w:tc>
      </w:tr>
      <w:tr w14:paraId="0FE0E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137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09DD470">
            <w:pPr>
              <w:jc w:val="center"/>
              <w:rPr>
                <w:rFonts w:hint="eastAsia" w:ascii="宋体" w:hAnsi="宋体" w:eastAsia="宋体" w:cs="宋体"/>
                <w:i w:val="0"/>
                <w:iCs w:val="0"/>
                <w:color w:val="auto"/>
                <w:sz w:val="24"/>
                <w:szCs w:val="24"/>
                <w:highlight w:val="none"/>
                <w:u w:val="none"/>
              </w:rPr>
            </w:pPr>
          </w:p>
        </w:tc>
        <w:tc>
          <w:tcPr>
            <w:tcW w:w="362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9B4923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报价得分3</w:t>
            </w:r>
            <w:r>
              <w:rPr>
                <w:rFonts w:hint="eastAsia"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.00分</w:t>
            </w:r>
          </w:p>
        </w:tc>
      </w:tr>
      <w:tr w14:paraId="78D04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2" w:hRule="atLeast"/>
        </w:trPr>
        <w:tc>
          <w:tcPr>
            <w:tcW w:w="605" w:type="pct"/>
            <w:tcBorders>
              <w:top w:val="single" w:color="000000" w:sz="4" w:space="0"/>
              <w:left w:val="single" w:color="000000" w:sz="4" w:space="0"/>
              <w:bottom w:val="single" w:color="000000" w:sz="4" w:space="0"/>
              <w:right w:val="single" w:color="000000" w:sz="4" w:space="0"/>
            </w:tcBorders>
            <w:shd w:val="clear" w:color="auto" w:fill="auto"/>
            <w:vAlign w:val="top"/>
          </w:tcPr>
          <w:p w14:paraId="7EB1904E">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评审因素分类</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top"/>
          </w:tcPr>
          <w:p w14:paraId="419F3A78">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评审项</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7E74372E">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详细描述</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top"/>
          </w:tcPr>
          <w:p w14:paraId="1E62851D">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分值</w:t>
            </w:r>
          </w:p>
        </w:tc>
      </w:tr>
      <w:tr w14:paraId="1F2E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3" w:hRule="atLeast"/>
        </w:trPr>
        <w:tc>
          <w:tcPr>
            <w:tcW w:w="60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92035C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详细评审</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A3D1B">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技术参数响应</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292DA78E">
            <w:pPr>
              <w:keepNext w:val="0"/>
              <w:keepLines w:val="0"/>
              <w:widowControl/>
              <w:numPr>
                <w:ilvl w:val="0"/>
                <w:numId w:val="0"/>
              </w:numPr>
              <w:suppressLineNumbers w:val="0"/>
              <w:jc w:val="left"/>
              <w:textAlignment w:val="top"/>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投标产品技术参数表述清晰、内容明确，所附技术资料完整齐全，完全响应招标文件技术参数要求的，得2</w:t>
            </w:r>
            <w:r>
              <w:rPr>
                <w:rFonts w:hint="eastAsia" w:hAnsi="宋体" w:cs="宋体"/>
                <w:color w:val="auto"/>
                <w:szCs w:val="21"/>
                <w:highlight w:val="none"/>
                <w:lang w:val="en-US" w:eastAsia="zh-CN"/>
              </w:rPr>
              <w:t>0</w:t>
            </w:r>
            <w:r>
              <w:rPr>
                <w:rFonts w:hint="eastAsia" w:ascii="宋体" w:hAnsi="宋体" w:cs="宋体"/>
                <w:color w:val="auto"/>
                <w:szCs w:val="21"/>
                <w:highlight w:val="none"/>
                <w:lang w:val="en-US" w:eastAsia="zh-CN"/>
              </w:rPr>
              <w:t>分；存在一项负偏离扣1分，</w:t>
            </w:r>
            <w:r>
              <w:rPr>
                <w:rFonts w:hint="eastAsia" w:hAnsi="宋体" w:cs="宋体"/>
                <w:color w:val="auto"/>
                <w:szCs w:val="21"/>
                <w:highlight w:val="none"/>
                <w:lang w:val="en-US" w:eastAsia="zh-CN"/>
              </w:rPr>
              <w:t>超过10项，按0分处理。</w:t>
            </w:r>
          </w:p>
          <w:p w14:paraId="48745B81">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cs="宋体"/>
                <w:color w:val="auto"/>
                <w:szCs w:val="21"/>
                <w:highlight w:val="none"/>
                <w:lang w:val="en-US" w:eastAsia="zh-CN"/>
              </w:rPr>
              <w:t>投标人可提供形式不限的有效佐证材料予以证明，例如产品技术资料、官方宣传资料、第三方检测文件、相关资质文件、技术承诺文件等。</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16B22">
            <w:pPr>
              <w:keepNext w:val="0"/>
              <w:keepLines w:val="0"/>
              <w:widowControl/>
              <w:suppressLineNumbers w:val="0"/>
              <w:jc w:val="center"/>
              <w:textAlignment w:val="top"/>
              <w:rPr>
                <w:rFonts w:hint="default" w:ascii="宋体" w:hAnsi="宋体" w:eastAsia="宋体" w:cs="宋体"/>
                <w:i w:val="0"/>
                <w:iCs w:val="0"/>
                <w:color w:val="auto"/>
                <w:sz w:val="24"/>
                <w:szCs w:val="24"/>
                <w:highlight w:val="none"/>
                <w:u w:val="none"/>
                <w:lang w:val="en-US"/>
              </w:rPr>
            </w:pPr>
            <w:r>
              <w:rPr>
                <w:rFonts w:hint="eastAsia" w:hAnsi="宋体" w:cs="宋体"/>
                <w:i w:val="0"/>
                <w:iCs w:val="0"/>
                <w:color w:val="auto"/>
                <w:kern w:val="0"/>
                <w:sz w:val="24"/>
                <w:szCs w:val="24"/>
                <w:highlight w:val="none"/>
                <w:u w:val="none"/>
                <w:lang w:val="en-US" w:eastAsia="zh-CN" w:bidi="ar"/>
              </w:rPr>
              <w:t>20</w:t>
            </w:r>
          </w:p>
        </w:tc>
      </w:tr>
      <w:tr w14:paraId="1330D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7"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3B71AD">
            <w:pPr>
              <w:rPr>
                <w:rFonts w:hint="eastAsia" w:ascii="宋体" w:hAnsi="宋体" w:eastAsia="宋体" w:cs="宋体"/>
                <w:i w:val="0"/>
                <w:iCs w:val="0"/>
                <w:color w:val="auto"/>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665D0">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供货方案</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6E0FCD5B">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一、评审内容：供应商针对本项目需求，提供供货方案，至少包含：</w:t>
            </w:r>
          </w:p>
          <w:p w14:paraId="62ACB61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①供货计划</w:t>
            </w:r>
            <w:r>
              <w:rPr>
                <w:rFonts w:hint="eastAsia" w:hAnsi="宋体" w:cs="宋体"/>
                <w:i w:val="0"/>
                <w:iCs w:val="0"/>
                <w:color w:val="auto"/>
                <w:kern w:val="0"/>
                <w:sz w:val="24"/>
                <w:szCs w:val="24"/>
                <w:highlight w:val="none"/>
                <w:u w:val="none"/>
                <w:lang w:val="en-US" w:eastAsia="zh-CN" w:bidi="ar"/>
              </w:rPr>
              <w:t>、安装方案</w:t>
            </w:r>
            <w:r>
              <w:rPr>
                <w:rFonts w:hint="eastAsia" w:ascii="宋体" w:hAnsi="宋体" w:eastAsia="宋体" w:cs="宋体"/>
                <w:i w:val="0"/>
                <w:iCs w:val="0"/>
                <w:color w:val="auto"/>
                <w:kern w:val="0"/>
                <w:sz w:val="24"/>
                <w:szCs w:val="24"/>
                <w:highlight w:val="none"/>
                <w:u w:val="none"/>
                <w:lang w:val="en-US" w:eastAsia="zh-CN" w:bidi="ar"/>
              </w:rPr>
              <w:t>；</w:t>
            </w:r>
          </w:p>
          <w:p w14:paraId="369B1EC0">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②供货渠道及产能保障；</w:t>
            </w:r>
          </w:p>
          <w:p w14:paraId="246D1E0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③运输方案；</w:t>
            </w:r>
          </w:p>
          <w:p w14:paraId="16AA575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④设备包装防护方案。</w:t>
            </w:r>
          </w:p>
          <w:p w14:paraId="21CCBA53">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二、分项评审标准：</w:t>
            </w:r>
          </w:p>
          <w:p w14:paraId="5D521DA1">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1.完整性：方案内容完整、要素齐全；</w:t>
            </w:r>
          </w:p>
          <w:p w14:paraId="344DCAAE">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2.可实施性：供货计划科学合理，运输、产能保障充足，能够确保设备按时、完好送达；</w:t>
            </w:r>
          </w:p>
          <w:p w14:paraId="277F823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3.针对性：规避供货过程中的各类风险。</w:t>
            </w:r>
          </w:p>
          <w:p w14:paraId="1DDAF85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三、赋分标准（满分12分）：</w:t>
            </w:r>
          </w:p>
          <w:p w14:paraId="68F2D220">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①供货计划</w:t>
            </w:r>
            <w:r>
              <w:rPr>
                <w:rFonts w:hint="eastAsia" w:hAnsi="宋体" w:cs="宋体"/>
                <w:i w:val="0"/>
                <w:iCs w:val="0"/>
                <w:color w:val="auto"/>
                <w:kern w:val="0"/>
                <w:sz w:val="24"/>
                <w:szCs w:val="24"/>
                <w:highlight w:val="none"/>
                <w:u w:val="none"/>
                <w:lang w:val="en-US" w:eastAsia="zh-CN" w:bidi="ar"/>
              </w:rPr>
              <w:t>、安装方案</w:t>
            </w:r>
            <w:r>
              <w:rPr>
                <w:rFonts w:hint="eastAsia" w:ascii="宋体" w:hAnsi="宋体" w:eastAsia="宋体" w:cs="宋体"/>
                <w:i w:val="0"/>
                <w:iCs w:val="0"/>
                <w:color w:val="auto"/>
                <w:kern w:val="0"/>
                <w:sz w:val="24"/>
                <w:szCs w:val="24"/>
                <w:highlight w:val="none"/>
                <w:u w:val="none"/>
                <w:lang w:val="en-US" w:eastAsia="zh-CN" w:bidi="ar"/>
              </w:rPr>
              <w:t>：每满足一个分项评审标准得 1 分，满分 3 分；</w:t>
            </w:r>
          </w:p>
          <w:p w14:paraId="539733E1">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②供货渠道及产能保障：每满足一个分项评审标准得 1 分，满分 3 分；</w:t>
            </w:r>
          </w:p>
          <w:p w14:paraId="01D54D4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③运输方案：每满足一个分项评审标准得 1 分，满分 3 分；</w:t>
            </w:r>
          </w:p>
          <w:p w14:paraId="2549997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④设备包装防护方案：每满足一个分项评审标准得 1 分，满分 3 分；</w:t>
            </w:r>
          </w:p>
          <w:p w14:paraId="1E1BD42E">
            <w:pPr>
              <w:keepNext w:val="0"/>
              <w:keepLines w:val="0"/>
              <w:widowControl/>
              <w:suppressLineNumbers w:val="0"/>
              <w:jc w:val="left"/>
              <w:textAlignment w:val="top"/>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未提供不得分。</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78CB3">
            <w:pPr>
              <w:keepNext w:val="0"/>
              <w:keepLines w:val="0"/>
              <w:widowControl/>
              <w:suppressLineNumbers w:val="0"/>
              <w:jc w:val="center"/>
              <w:textAlignment w:val="top"/>
              <w:rPr>
                <w:rFonts w:hint="default" w:ascii="宋体" w:hAnsi="宋体" w:eastAsia="宋体" w:cs="宋体"/>
                <w:i w:val="0"/>
                <w:iCs w:val="0"/>
                <w:color w:val="auto"/>
                <w:sz w:val="24"/>
                <w:szCs w:val="24"/>
                <w:highlight w:val="none"/>
                <w:u w:val="none"/>
                <w:lang w:val="en-US"/>
              </w:rPr>
            </w:pPr>
            <w:r>
              <w:rPr>
                <w:rFonts w:hint="eastAsia" w:hAnsi="宋体" w:cs="宋体"/>
                <w:i w:val="0"/>
                <w:iCs w:val="0"/>
                <w:color w:val="auto"/>
                <w:kern w:val="0"/>
                <w:sz w:val="24"/>
                <w:szCs w:val="24"/>
                <w:highlight w:val="none"/>
                <w:u w:val="none"/>
                <w:lang w:val="en-US" w:eastAsia="zh-CN" w:bidi="ar"/>
              </w:rPr>
              <w:t>12</w:t>
            </w:r>
          </w:p>
        </w:tc>
      </w:tr>
      <w:tr w14:paraId="6A657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AB8CAC">
            <w:pPr>
              <w:rPr>
                <w:rFonts w:hint="eastAsia" w:ascii="宋体" w:hAnsi="宋体" w:eastAsia="宋体" w:cs="宋体"/>
                <w:i w:val="0"/>
                <w:iCs w:val="0"/>
                <w:color w:val="auto"/>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11EBB">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质量保证方案</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73E9D61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一、评审内容：供应商针对本项目需求，提供质量保证方案，至少包含：</w:t>
            </w:r>
          </w:p>
          <w:p w14:paraId="6027BE9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①质量管控机制</w:t>
            </w:r>
          </w:p>
          <w:p w14:paraId="1000B7E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②成品检验管控</w:t>
            </w:r>
          </w:p>
          <w:p w14:paraId="26CCB56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③安装质量保证</w:t>
            </w:r>
          </w:p>
          <w:p w14:paraId="1C5101C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二、分项评审标准：</w:t>
            </w:r>
          </w:p>
          <w:p w14:paraId="0EDC2C8E">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1.完整性：方案内容完整、要素齐全；</w:t>
            </w:r>
          </w:p>
          <w:p w14:paraId="1012C43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2.可实施性：质量保证措施具体、可落地，检验标准清晰、责任分工明确，能够有效保障产品质量；</w:t>
            </w:r>
          </w:p>
          <w:p w14:paraId="1BE9893C">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3.针对性：贴合本项目的质量要求，适配县域环卫长期使用场景，能够有效规避质量隐患。</w:t>
            </w:r>
          </w:p>
          <w:p w14:paraId="0BB6B730">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三、赋分标准（满分9分）：</w:t>
            </w:r>
          </w:p>
          <w:p w14:paraId="45D99AF2">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①质量管控机制：每满足一个分项评审标准得 1 分，满分 3 分；</w:t>
            </w:r>
          </w:p>
          <w:p w14:paraId="442A42EA">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②成品检验管控：每满足一个分项评审标准得 1 分，满分 3 分；</w:t>
            </w:r>
          </w:p>
          <w:p w14:paraId="44CAB5AB">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③安装质量保证：每满足一个分项评审标准得 1 分，满分 3 分；</w:t>
            </w:r>
          </w:p>
          <w:p w14:paraId="75993E2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未提供不得分。</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EC16D">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hAnsi="宋体" w:cs="宋体"/>
                <w:i w:val="0"/>
                <w:iCs w:val="0"/>
                <w:color w:val="auto"/>
                <w:kern w:val="0"/>
                <w:sz w:val="24"/>
                <w:szCs w:val="24"/>
                <w:highlight w:val="none"/>
                <w:u w:val="none"/>
                <w:lang w:val="en-US" w:eastAsia="zh-CN" w:bidi="ar"/>
              </w:rPr>
              <w:t>9</w:t>
            </w:r>
          </w:p>
        </w:tc>
      </w:tr>
      <w:tr w14:paraId="0A380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7"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831BE11">
            <w:pPr>
              <w:rPr>
                <w:rFonts w:hint="eastAsia" w:ascii="宋体" w:hAnsi="宋体" w:eastAsia="宋体" w:cs="宋体"/>
                <w:i w:val="0"/>
                <w:iCs w:val="0"/>
                <w:color w:val="auto"/>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5F24F">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售后服务方案</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7AE5A6D0">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一、评审内容：供应商针对本项目需求，提供售后服务方案，至少包含：</w:t>
            </w:r>
          </w:p>
          <w:p w14:paraId="0DB9C90F">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①质保期售后服务维保响应时间；</w:t>
            </w:r>
          </w:p>
          <w:p w14:paraId="477B0675">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②维修服务流程保障；</w:t>
            </w:r>
          </w:p>
          <w:p w14:paraId="6FBA4D2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③备品备件保障；</w:t>
            </w:r>
          </w:p>
          <w:p w14:paraId="7DF914FF">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④技术培训服务；</w:t>
            </w:r>
          </w:p>
          <w:p w14:paraId="6CEB7E6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⑤售后回访服务。</w:t>
            </w:r>
          </w:p>
          <w:p w14:paraId="25110CE8">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二、分项评审标准：</w:t>
            </w:r>
          </w:p>
          <w:p w14:paraId="772BE353">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1.完整性：方案内容完整、要素齐全；</w:t>
            </w:r>
          </w:p>
          <w:p w14:paraId="10F6E168">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2.可实施性：售后服务措施能够有效保障设备长期稳定运行；</w:t>
            </w:r>
          </w:p>
          <w:p w14:paraId="6FDC6D8A">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3.针对性：售后服务能够快速响应、高效处置。</w:t>
            </w:r>
          </w:p>
          <w:p w14:paraId="11669D9F">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三、赋分标准（满分7.5分）：</w:t>
            </w:r>
          </w:p>
          <w:p w14:paraId="4F1EA0EE">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①质保期售后服务维保响应时间：每满足一个分项评审标准得 0.5分，满分1.5 分；</w:t>
            </w:r>
          </w:p>
          <w:p w14:paraId="451BE561">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②维修服务流程保障：每满足一个分项评审标准得 0.5分，满分1.5 分；</w:t>
            </w:r>
          </w:p>
          <w:p w14:paraId="34E0D3E2">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③备品备件保障：每满足一个分项评审标准得 0.5分，满分1.5 分；</w:t>
            </w:r>
          </w:p>
          <w:p w14:paraId="70C7969C">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④技术培训服务：每满足一个分项评审标准得 0.5分，满分1.5 分；</w:t>
            </w:r>
          </w:p>
          <w:p w14:paraId="66A95E97">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⑤售后回访服务：每满足一个分项评审标准得 0.5分，满分1.5 分；</w:t>
            </w:r>
          </w:p>
          <w:p w14:paraId="58DB8E3C">
            <w:pPr>
              <w:keepNext w:val="0"/>
              <w:keepLines w:val="0"/>
              <w:widowControl/>
              <w:suppressLineNumbers w:val="0"/>
              <w:jc w:val="left"/>
              <w:textAlignment w:val="top"/>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未提供不得分。</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EEF33">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7.5</w:t>
            </w:r>
          </w:p>
        </w:tc>
      </w:tr>
      <w:tr w14:paraId="17549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3"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DD717A4">
            <w:pPr>
              <w:rPr>
                <w:rFonts w:hint="eastAsia" w:ascii="宋体" w:hAnsi="宋体" w:eastAsia="宋体" w:cs="宋体"/>
                <w:i w:val="0"/>
                <w:iCs w:val="0"/>
                <w:color w:val="auto"/>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9318">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人员配置</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255E853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一、评审内容：供应商针对本项目需求，提供人员配备方案，至少包含：</w:t>
            </w:r>
          </w:p>
          <w:p w14:paraId="24FDCAF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①人员配备情况；</w:t>
            </w:r>
          </w:p>
          <w:p w14:paraId="5E9354C3">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②人员分工职责；</w:t>
            </w:r>
          </w:p>
          <w:p w14:paraId="1B9AC6B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③人员管理制度；</w:t>
            </w:r>
          </w:p>
          <w:p w14:paraId="23D73613">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二、分项评审标准：</w:t>
            </w:r>
          </w:p>
          <w:p w14:paraId="2E6D9FB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 完整性：方案内容完整，覆盖人员配备、分工职责、管理制度全部分项，信息详实无遗漏；</w:t>
            </w:r>
          </w:p>
          <w:p w14:paraId="20FE93AE">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 可实施性：人员配置合理、分工明确，管理制度可落地、可执行，能够有效规范人员行为、保障项目履约；</w:t>
            </w:r>
          </w:p>
          <w:p w14:paraId="2360D85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 针对性：贴合本项目采购履约需求，适配项目各环节工作特点。</w:t>
            </w:r>
          </w:p>
          <w:p w14:paraId="75A6FD9C">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三、赋分标准（满分 4.5 分）：</w:t>
            </w:r>
          </w:p>
          <w:p w14:paraId="1DE3D33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①人员配备情况：每满足一个分项评审标准得 0.5分，满分1.5 分；</w:t>
            </w:r>
          </w:p>
          <w:p w14:paraId="7B78AB7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②人员分工职责：每满足一个分项评审标准得 0.5分，满分1.5 分；</w:t>
            </w:r>
          </w:p>
          <w:p w14:paraId="2ED2886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③人员管理制度：每满足一个分项评审标准得 0.5分，满分1.5 分；</w:t>
            </w:r>
          </w:p>
          <w:p w14:paraId="1FBEECD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未提供不得分。</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74F78">
            <w:pPr>
              <w:keepNext w:val="0"/>
              <w:keepLines w:val="0"/>
              <w:widowControl/>
              <w:suppressLineNumbers w:val="0"/>
              <w:jc w:val="center"/>
              <w:textAlignment w:val="top"/>
              <w:rPr>
                <w:rFonts w:hint="default" w:ascii="宋体" w:hAnsi="宋体" w:eastAsia="宋体" w:cs="宋体"/>
                <w:i w:val="0"/>
                <w:iCs w:val="0"/>
                <w:color w:val="auto"/>
                <w:sz w:val="24"/>
                <w:szCs w:val="24"/>
                <w:highlight w:val="none"/>
                <w:u w:val="none"/>
                <w:lang w:val="en-US" w:eastAsia="zh-CN"/>
              </w:rPr>
            </w:pPr>
            <w:r>
              <w:rPr>
                <w:rFonts w:hint="eastAsia" w:hAnsi="宋体" w:cs="宋体"/>
                <w:i w:val="0"/>
                <w:iCs w:val="0"/>
                <w:color w:val="auto"/>
                <w:sz w:val="24"/>
                <w:szCs w:val="24"/>
                <w:highlight w:val="none"/>
                <w:u w:val="none"/>
                <w:lang w:val="en-US" w:eastAsia="zh-CN"/>
              </w:rPr>
              <w:t>4.5</w:t>
            </w:r>
          </w:p>
        </w:tc>
      </w:tr>
      <w:tr w14:paraId="5A55F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8"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7AA0206">
            <w:pPr>
              <w:rPr>
                <w:rFonts w:hint="eastAsia" w:ascii="宋体" w:hAnsi="宋体" w:eastAsia="宋体" w:cs="宋体"/>
                <w:i w:val="0"/>
                <w:iCs w:val="0"/>
                <w:color w:val="auto"/>
                <w:sz w:val="24"/>
                <w:szCs w:val="24"/>
                <w:highlight w:val="none"/>
                <w:u w:val="none"/>
              </w:rPr>
            </w:pPr>
          </w:p>
        </w:tc>
        <w:tc>
          <w:tcPr>
            <w:tcW w:w="7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329BFE">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应急预案</w:t>
            </w:r>
          </w:p>
        </w:tc>
        <w:tc>
          <w:tcPr>
            <w:tcW w:w="315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B0C9046">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一、评审内容：供应商针对本项目需求，，提供设备应急处置及履约保障方案，至少包含：</w:t>
            </w:r>
          </w:p>
          <w:p w14:paraId="50FB13CC">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①设备故障应急维修方案；</w:t>
            </w:r>
          </w:p>
          <w:p w14:paraId="1AB61ED5">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②设备运输应急保障方案；</w:t>
            </w:r>
          </w:p>
          <w:p w14:paraId="4591115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③核心部件应急储备方案；</w:t>
            </w:r>
          </w:p>
          <w:p w14:paraId="18B55DED">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④极端天气设备防护及应急处置方案。</w:t>
            </w:r>
          </w:p>
          <w:p w14:paraId="315F0927">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二、分项评审标准：</w:t>
            </w:r>
          </w:p>
          <w:p w14:paraId="48CB6520">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1.完整性：方案内容完整、要素齐全，覆盖各类应急场景；</w:t>
            </w:r>
          </w:p>
          <w:p w14:paraId="20068DA5">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2.可实施性：应急措施具体、响应及时，能够快速处置各类突发情况；</w:t>
            </w:r>
          </w:p>
          <w:p w14:paraId="404F434B">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3.针对性：贴合山阳县县域地理、气候特点，适配环卫设备应急需求。</w:t>
            </w:r>
          </w:p>
          <w:p w14:paraId="19FC0675">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三、赋分标准（满分6分）：</w:t>
            </w:r>
          </w:p>
          <w:p w14:paraId="376D50D5">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①设备故障应急维修方案：每满足一个分项评审标准得 0.5分，满分1.5 分；</w:t>
            </w:r>
          </w:p>
          <w:p w14:paraId="7CD7F489">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②设备运输应急保障方案：每满足一个分项评审标准得 0.5分，满分1.5 分；</w:t>
            </w:r>
          </w:p>
          <w:p w14:paraId="558F26E3">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③核心部件应急储备方案：每满足一个分项评审标准得 0.5分，满分1.5 分；</w:t>
            </w:r>
          </w:p>
          <w:p w14:paraId="71A2F4A1">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④极端天气设备防护及应急处置方案：每满足一个分项评审标准得 0.5分，满分1.5 分；</w:t>
            </w:r>
          </w:p>
          <w:p w14:paraId="2C03FFD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未提供不得分。</w:t>
            </w:r>
          </w:p>
        </w:tc>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CAC1D7">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hAnsi="宋体" w:cs="宋体"/>
                <w:i w:val="0"/>
                <w:iCs w:val="0"/>
                <w:color w:val="auto"/>
                <w:kern w:val="0"/>
                <w:sz w:val="24"/>
                <w:szCs w:val="24"/>
                <w:highlight w:val="none"/>
                <w:u w:val="none"/>
                <w:lang w:val="en-US" w:eastAsia="zh-CN" w:bidi="ar"/>
              </w:rPr>
              <w:t>6</w:t>
            </w:r>
          </w:p>
        </w:tc>
      </w:tr>
      <w:tr w14:paraId="7D813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F18AC82">
            <w:pPr>
              <w:rPr>
                <w:rFonts w:hint="eastAsia" w:ascii="宋体" w:hAnsi="宋体" w:eastAsia="宋体" w:cs="宋体"/>
                <w:i w:val="0"/>
                <w:iCs w:val="0"/>
                <w:color w:val="auto"/>
                <w:sz w:val="24"/>
                <w:szCs w:val="24"/>
                <w:highlight w:val="none"/>
                <w:u w:val="none"/>
              </w:rPr>
            </w:pPr>
          </w:p>
        </w:tc>
        <w:tc>
          <w:tcPr>
            <w:tcW w:w="7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EF64B">
            <w:pPr>
              <w:jc w:val="center"/>
              <w:rPr>
                <w:rFonts w:hint="eastAsia" w:ascii="宋体" w:hAnsi="宋体" w:eastAsia="宋体" w:cs="宋体"/>
                <w:i w:val="0"/>
                <w:iCs w:val="0"/>
                <w:color w:val="auto"/>
                <w:sz w:val="24"/>
                <w:szCs w:val="24"/>
                <w:highlight w:val="none"/>
                <w:u w:val="none"/>
              </w:rPr>
            </w:pPr>
          </w:p>
        </w:tc>
        <w:tc>
          <w:tcPr>
            <w:tcW w:w="315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5D5F1D5">
            <w:pPr>
              <w:rPr>
                <w:rFonts w:hint="eastAsia" w:ascii="宋体" w:hAnsi="宋体" w:eastAsia="宋体" w:cs="宋体"/>
                <w:i w:val="0"/>
                <w:iCs w:val="0"/>
                <w:color w:val="auto"/>
                <w:sz w:val="24"/>
                <w:szCs w:val="24"/>
                <w:highlight w:val="none"/>
                <w:u w:val="none"/>
              </w:rPr>
            </w:pPr>
          </w:p>
        </w:tc>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F33749">
            <w:pPr>
              <w:jc w:val="center"/>
              <w:rPr>
                <w:rFonts w:hint="eastAsia" w:ascii="宋体" w:hAnsi="宋体" w:eastAsia="宋体" w:cs="宋体"/>
                <w:i w:val="0"/>
                <w:iCs w:val="0"/>
                <w:color w:val="auto"/>
                <w:sz w:val="24"/>
                <w:szCs w:val="24"/>
                <w:highlight w:val="none"/>
                <w:u w:val="none"/>
              </w:rPr>
            </w:pPr>
          </w:p>
        </w:tc>
      </w:tr>
      <w:tr w14:paraId="23A65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8" w:hRule="atLeast"/>
        </w:trPr>
        <w:tc>
          <w:tcPr>
            <w:tcW w:w="6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9E8C363">
            <w:pPr>
              <w:rPr>
                <w:rFonts w:hint="eastAsia" w:ascii="宋体" w:hAnsi="宋体" w:eastAsia="宋体" w:cs="宋体"/>
                <w:i w:val="0"/>
                <w:iCs w:val="0"/>
                <w:color w:val="auto"/>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5C806">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hAnsi="宋体" w:cs="宋体"/>
                <w:i w:val="0"/>
                <w:iCs w:val="0"/>
                <w:color w:val="auto"/>
                <w:kern w:val="0"/>
                <w:sz w:val="24"/>
                <w:szCs w:val="24"/>
                <w:highlight w:val="none"/>
                <w:u w:val="none"/>
                <w:lang w:val="en-US" w:eastAsia="zh-CN" w:bidi="ar"/>
              </w:rPr>
              <w:t>类似</w:t>
            </w:r>
            <w:r>
              <w:rPr>
                <w:rFonts w:hint="eastAsia" w:ascii="宋体" w:hAnsi="宋体" w:eastAsia="宋体" w:cs="宋体"/>
                <w:i w:val="0"/>
                <w:iCs w:val="0"/>
                <w:color w:val="auto"/>
                <w:kern w:val="0"/>
                <w:sz w:val="24"/>
                <w:szCs w:val="24"/>
                <w:highlight w:val="none"/>
                <w:u w:val="none"/>
                <w:lang w:val="en-US" w:eastAsia="zh-CN" w:bidi="ar"/>
              </w:rPr>
              <w:t>业绩</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319B5FF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提供2022年1月1日至今类似业绩（供应商或所投产品制造商的业绩，以合同签订时间为准）1个业绩计2分，最高得6分。 </w:t>
            </w:r>
          </w:p>
          <w:p w14:paraId="37A858B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评审依据：须提供完整清晰的合同复印件并加盖公章。</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9652C">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hAnsi="宋体" w:cs="宋体"/>
                <w:i w:val="0"/>
                <w:iCs w:val="0"/>
                <w:color w:val="auto"/>
                <w:kern w:val="0"/>
                <w:sz w:val="24"/>
                <w:szCs w:val="24"/>
                <w:highlight w:val="none"/>
                <w:u w:val="none"/>
                <w:lang w:val="en-US" w:eastAsia="zh-CN" w:bidi="ar"/>
              </w:rPr>
              <w:t>6</w:t>
            </w:r>
          </w:p>
        </w:tc>
      </w:tr>
      <w:tr w14:paraId="55539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05" w:type="pct"/>
            <w:tcBorders>
              <w:top w:val="single" w:color="000000" w:sz="4" w:space="0"/>
              <w:left w:val="single" w:color="000000" w:sz="4" w:space="0"/>
              <w:bottom w:val="single" w:color="000000" w:sz="4" w:space="0"/>
              <w:right w:val="single" w:color="000000" w:sz="4" w:space="0"/>
            </w:tcBorders>
            <w:shd w:val="clear" w:color="auto" w:fill="auto"/>
            <w:vAlign w:val="top"/>
          </w:tcPr>
          <w:p w14:paraId="1F3C7D0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价格分</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3905F">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价格分</w:t>
            </w:r>
          </w:p>
        </w:tc>
        <w:tc>
          <w:tcPr>
            <w:tcW w:w="3153" w:type="pct"/>
            <w:tcBorders>
              <w:top w:val="single" w:color="000000" w:sz="4" w:space="0"/>
              <w:left w:val="single" w:color="000000" w:sz="4" w:space="0"/>
              <w:bottom w:val="single" w:color="000000" w:sz="4" w:space="0"/>
              <w:right w:val="single" w:color="000000" w:sz="4" w:space="0"/>
            </w:tcBorders>
            <w:shd w:val="clear" w:color="auto" w:fill="auto"/>
            <w:vAlign w:val="top"/>
          </w:tcPr>
          <w:p w14:paraId="2062CC7B">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1.经初审合格的投标文件，通过符合性审查的投标报价为有效投标价。</w:t>
            </w:r>
          </w:p>
          <w:p w14:paraId="400D4E3D">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2.有效最低报价为基准价得3</w:t>
            </w:r>
            <w:r>
              <w:rPr>
                <w:rFonts w:hint="eastAsia" w:hAnsi="宋体"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rPr>
              <w:t xml:space="preserve">分。 </w:t>
            </w:r>
          </w:p>
          <w:p w14:paraId="6DEC5DD3">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3.按（有效最低报价/有效投标报价）×3</w:t>
            </w:r>
            <w:r>
              <w:rPr>
                <w:rFonts w:hint="eastAsia" w:hAnsi="宋体"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rPr>
              <w:t xml:space="preserve">的公式计算报价得分。 </w:t>
            </w:r>
          </w:p>
          <w:p w14:paraId="4E76BAA9">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4.投标报价不完整的，不进入评标基准价的计算，本项得0分。</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top"/>
          </w:tcPr>
          <w:p w14:paraId="6431F00C">
            <w:pPr>
              <w:keepNext w:val="0"/>
              <w:keepLines w:val="0"/>
              <w:widowControl/>
              <w:suppressLineNumbers w:val="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r>
              <w:rPr>
                <w:rFonts w:hint="eastAsia" w:hAnsi="宋体" w:cs="宋体"/>
                <w:i w:val="0"/>
                <w:iCs w:val="0"/>
                <w:color w:val="auto"/>
                <w:kern w:val="0"/>
                <w:sz w:val="24"/>
                <w:szCs w:val="24"/>
                <w:highlight w:val="none"/>
                <w:u w:val="none"/>
                <w:lang w:val="en-US" w:eastAsia="zh-CN" w:bidi="ar"/>
              </w:rPr>
              <w:t>5</w:t>
            </w:r>
          </w:p>
        </w:tc>
      </w:tr>
    </w:tbl>
    <w:p w14:paraId="62B04244">
      <w:pPr>
        <w:rPr>
          <w:rFonts w:hint="eastAsia" w:ascii="宋体" w:hAnsi="宋体" w:eastAsia="宋体" w:cs="宋体"/>
          <w:b/>
          <w:color w:val="auto"/>
          <w:spacing w:val="4"/>
          <w:sz w:val="24"/>
          <w:szCs w:val="24"/>
          <w:highlight w:val="none"/>
        </w:rPr>
      </w:pPr>
      <w:r>
        <w:rPr>
          <w:rFonts w:hint="eastAsia" w:ascii="宋体" w:hAnsi="宋体" w:eastAsia="宋体" w:cs="宋体"/>
          <w:b/>
          <w:color w:val="auto"/>
          <w:spacing w:val="4"/>
          <w:sz w:val="24"/>
          <w:szCs w:val="24"/>
          <w:highlight w:val="none"/>
        </w:rPr>
        <w:t>五、定标：</w:t>
      </w:r>
    </w:p>
    <w:p w14:paraId="71046B40">
      <w:pPr>
        <w:spacing w:line="460" w:lineRule="exact"/>
        <w:ind w:firstLine="496"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1、评标结果由</w:t>
      </w:r>
      <w:r>
        <w:rPr>
          <w:rFonts w:hint="eastAsia" w:ascii="宋体" w:hAnsi="宋体" w:eastAsia="宋体" w:cs="宋体"/>
          <w:color w:val="auto"/>
          <w:sz w:val="24"/>
          <w:szCs w:val="24"/>
          <w:highlight w:val="none"/>
        </w:rPr>
        <w:t>评标委员会</w:t>
      </w:r>
      <w:r>
        <w:rPr>
          <w:rFonts w:hint="eastAsia" w:ascii="宋体" w:hAnsi="宋体" w:eastAsia="宋体" w:cs="宋体"/>
          <w:color w:val="auto"/>
          <w:spacing w:val="4"/>
          <w:sz w:val="24"/>
          <w:szCs w:val="24"/>
          <w:highlight w:val="none"/>
        </w:rPr>
        <w:t>全体</w:t>
      </w:r>
      <w:r>
        <w:rPr>
          <w:rFonts w:hint="eastAsia" w:ascii="宋体" w:hAnsi="宋体" w:eastAsia="宋体" w:cs="宋体"/>
          <w:color w:val="auto"/>
          <w:sz w:val="24"/>
          <w:szCs w:val="24"/>
          <w:highlight w:val="none"/>
        </w:rPr>
        <w:t>成员</w:t>
      </w:r>
      <w:r>
        <w:rPr>
          <w:rFonts w:hint="eastAsia" w:ascii="宋体" w:hAnsi="宋体" w:eastAsia="宋体" w:cs="宋体"/>
          <w:color w:val="auto"/>
          <w:spacing w:val="4"/>
          <w:sz w:val="24"/>
          <w:szCs w:val="24"/>
          <w:highlight w:val="none"/>
        </w:rPr>
        <w:t>签字确认。</w:t>
      </w:r>
    </w:p>
    <w:p w14:paraId="46E5B928">
      <w:pPr>
        <w:spacing w:line="460" w:lineRule="exact"/>
        <w:ind w:firstLine="496" w:firstLineChars="200"/>
        <w:rPr>
          <w:rFonts w:hint="eastAsia" w:ascii="宋体" w:hAnsi="宋体" w:eastAsia="宋体" w:cs="宋体"/>
          <w:bCs/>
          <w:color w:val="auto"/>
          <w:sz w:val="24"/>
          <w:szCs w:val="24"/>
          <w:highlight w:val="none"/>
        </w:rPr>
      </w:pPr>
      <w:r>
        <w:rPr>
          <w:rFonts w:hint="eastAsia" w:ascii="宋体" w:hAnsi="宋体" w:eastAsia="宋体" w:cs="宋体"/>
          <w:color w:val="auto"/>
          <w:spacing w:val="4"/>
          <w:sz w:val="24"/>
          <w:szCs w:val="24"/>
          <w:highlight w:val="none"/>
        </w:rPr>
        <w:t>2、采购人根据评标报告中推荐的中标候选人排列顺序确定投标人，以复函通知招标代理机构。</w:t>
      </w:r>
    </w:p>
    <w:p w14:paraId="08E76742">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r>
    </w:p>
    <w:p w14:paraId="017A412E">
      <w:pPr>
        <w:pStyle w:val="2"/>
        <w:spacing w:line="360" w:lineRule="auto"/>
        <w:jc w:val="center"/>
        <w:rPr>
          <w:rFonts w:hint="eastAsia" w:ascii="宋体" w:hAnsi="宋体" w:eastAsia="宋体" w:cs="宋体"/>
          <w:bCs/>
          <w:color w:val="auto"/>
          <w:sz w:val="36"/>
          <w:szCs w:val="36"/>
          <w:highlight w:val="none"/>
        </w:rPr>
      </w:pPr>
      <w:bookmarkStart w:id="102" w:name="_Toc16170"/>
      <w:r>
        <w:rPr>
          <w:rFonts w:hint="eastAsia" w:ascii="宋体" w:hAnsi="宋体" w:eastAsia="宋体" w:cs="宋体"/>
          <w:bCs/>
          <w:color w:val="auto"/>
          <w:sz w:val="36"/>
          <w:szCs w:val="36"/>
          <w:highlight w:val="none"/>
        </w:rPr>
        <w:t>第六章</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投标文件构成及格式</w:t>
      </w:r>
      <w:bookmarkEnd w:id="91"/>
      <w:bookmarkEnd w:id="92"/>
      <w:bookmarkEnd w:id="93"/>
      <w:bookmarkEnd w:id="94"/>
      <w:bookmarkEnd w:id="95"/>
      <w:bookmarkEnd w:id="96"/>
      <w:bookmarkEnd w:id="102"/>
    </w:p>
    <w:p w14:paraId="6A9C966A">
      <w:pPr>
        <w:rPr>
          <w:rFonts w:hint="eastAsia" w:ascii="宋体" w:hAnsi="宋体" w:eastAsia="宋体" w:cs="宋体"/>
          <w:color w:val="auto"/>
          <w:highlight w:val="none"/>
        </w:rPr>
      </w:pPr>
    </w:p>
    <w:p w14:paraId="7A7AEA86">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项目编号：</w:t>
      </w:r>
      <w:r>
        <w:rPr>
          <w:rFonts w:hint="eastAsia" w:hAnsi="宋体" w:cs="宋体"/>
          <w:b/>
          <w:color w:val="auto"/>
          <w:sz w:val="32"/>
          <w:szCs w:val="32"/>
          <w:highlight w:val="none"/>
          <w:lang w:eastAsia="zh-CN"/>
        </w:rPr>
        <w:t>HYGH2026-ZCGK-0512</w:t>
      </w:r>
    </w:p>
    <w:p w14:paraId="65A1A26F">
      <w:pPr>
        <w:jc w:val="righ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（正本或副本）</w:t>
      </w:r>
    </w:p>
    <w:p w14:paraId="2631FD18">
      <w:pPr>
        <w:jc w:val="center"/>
        <w:rPr>
          <w:rFonts w:hint="eastAsia" w:ascii="宋体" w:hAnsi="宋体" w:eastAsia="宋体" w:cs="宋体"/>
          <w:b/>
          <w:color w:val="auto"/>
          <w:sz w:val="36"/>
          <w:szCs w:val="36"/>
          <w:highlight w:val="none"/>
        </w:rPr>
      </w:pPr>
    </w:p>
    <w:p w14:paraId="296537C9">
      <w:pPr>
        <w:rPr>
          <w:rFonts w:hint="eastAsia" w:ascii="宋体" w:hAnsi="宋体" w:eastAsia="宋体" w:cs="宋体"/>
          <w:b/>
          <w:color w:val="auto"/>
          <w:sz w:val="52"/>
          <w:szCs w:val="52"/>
          <w:highlight w:val="none"/>
        </w:rPr>
      </w:pPr>
    </w:p>
    <w:p w14:paraId="67AEA611">
      <w:pPr>
        <w:jc w:val="center"/>
        <w:rPr>
          <w:rFonts w:hint="eastAsia" w:ascii="宋体" w:hAnsi="宋体" w:eastAsia="宋体" w:cs="宋体"/>
          <w:b/>
          <w:color w:val="auto"/>
          <w:sz w:val="56"/>
          <w:szCs w:val="56"/>
          <w:highlight w:val="none"/>
          <w:lang w:eastAsia="zh-CN"/>
        </w:rPr>
      </w:pPr>
      <w:r>
        <w:rPr>
          <w:rFonts w:hint="eastAsia" w:hAnsi="宋体" w:cs="宋体"/>
          <w:b/>
          <w:color w:val="auto"/>
          <w:sz w:val="56"/>
          <w:szCs w:val="56"/>
          <w:highlight w:val="none"/>
          <w:lang w:eastAsia="zh-CN"/>
        </w:rPr>
        <w:t>山阳县生活垃圾压缩站及环卫配套设施更新改造项目(二期)</w:t>
      </w:r>
    </w:p>
    <w:p w14:paraId="0C41F5C7">
      <w:pPr>
        <w:jc w:val="center"/>
        <w:rPr>
          <w:rFonts w:hint="eastAsia" w:ascii="宋体" w:hAnsi="宋体" w:eastAsia="宋体" w:cs="宋体"/>
          <w:b/>
          <w:color w:val="auto"/>
          <w:sz w:val="48"/>
          <w:szCs w:val="48"/>
          <w:highlight w:val="none"/>
          <w:u w:val="none"/>
          <w:lang w:val="en-US" w:eastAsia="zh-CN"/>
        </w:rPr>
      </w:pPr>
    </w:p>
    <w:p w14:paraId="4496A305">
      <w:pPr>
        <w:rPr>
          <w:rFonts w:hint="eastAsia" w:ascii="宋体" w:hAnsi="宋体" w:eastAsia="宋体" w:cs="宋体"/>
          <w:b/>
          <w:color w:val="auto"/>
          <w:sz w:val="48"/>
          <w:szCs w:val="48"/>
          <w:highlight w:val="none"/>
        </w:rPr>
      </w:pPr>
    </w:p>
    <w:p w14:paraId="51C9F04E">
      <w:pPr>
        <w:jc w:val="center"/>
        <w:rPr>
          <w:rFonts w:hint="eastAsia" w:ascii="宋体" w:hAnsi="宋体" w:eastAsia="宋体" w:cs="宋体"/>
          <w:b/>
          <w:color w:val="auto"/>
          <w:sz w:val="72"/>
          <w:szCs w:val="72"/>
          <w:highlight w:val="none"/>
        </w:rPr>
      </w:pPr>
    </w:p>
    <w:p w14:paraId="65C87E94">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 标 文 件</w:t>
      </w:r>
    </w:p>
    <w:p w14:paraId="0AAE9754">
      <w:pPr>
        <w:rPr>
          <w:rFonts w:hint="eastAsia" w:ascii="宋体" w:hAnsi="宋体" w:eastAsia="宋体" w:cs="宋体"/>
          <w:b/>
          <w:color w:val="auto"/>
          <w:sz w:val="36"/>
          <w:szCs w:val="36"/>
          <w:highlight w:val="none"/>
        </w:rPr>
      </w:pPr>
    </w:p>
    <w:p w14:paraId="09E4DDFE">
      <w:pPr>
        <w:jc w:val="center"/>
        <w:rPr>
          <w:rFonts w:hint="eastAsia" w:ascii="宋体" w:hAnsi="宋体" w:eastAsia="宋体" w:cs="宋体"/>
          <w:b/>
          <w:color w:val="auto"/>
          <w:sz w:val="48"/>
          <w:szCs w:val="48"/>
          <w:highlight w:val="none"/>
          <w:lang w:val="en-US" w:eastAsia="zh-CN"/>
        </w:rPr>
      </w:pPr>
    </w:p>
    <w:p w14:paraId="0CC294E6">
      <w:pPr>
        <w:tabs>
          <w:tab w:val="center" w:pos="5346"/>
        </w:tabs>
        <w:spacing w:line="720" w:lineRule="auto"/>
        <w:jc w:val="center"/>
        <w:rPr>
          <w:rFonts w:hint="eastAsia" w:ascii="宋体" w:hAnsi="宋体" w:eastAsia="宋体" w:cs="宋体"/>
          <w:b/>
          <w:color w:val="auto"/>
          <w:sz w:val="32"/>
          <w:szCs w:val="32"/>
          <w:highlight w:val="none"/>
        </w:rPr>
      </w:pPr>
    </w:p>
    <w:p w14:paraId="2A1DC25B">
      <w:pPr>
        <w:tabs>
          <w:tab w:val="center" w:pos="5346"/>
        </w:tabs>
        <w:spacing w:line="72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投标人名称（公章）</w:t>
      </w:r>
    </w:p>
    <w:p w14:paraId="2535C8A3">
      <w:pPr>
        <w:spacing w:line="720" w:lineRule="auto"/>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  年   月</w:t>
      </w:r>
      <w:r>
        <w:rPr>
          <w:rFonts w:hint="eastAsia" w:ascii="宋体" w:hAnsi="宋体" w:eastAsia="宋体" w:cs="宋体"/>
          <w:b/>
          <w:color w:val="auto"/>
          <w:sz w:val="36"/>
          <w:szCs w:val="36"/>
          <w:highlight w:val="none"/>
        </w:rPr>
        <w:br w:type="page"/>
      </w:r>
      <w:bookmarkStart w:id="103" w:name="_Toc426457699"/>
      <w:bookmarkStart w:id="104" w:name="_Toc22537"/>
      <w:bookmarkStart w:id="105" w:name="_Toc23267"/>
      <w:bookmarkStart w:id="106" w:name="_Toc30983"/>
      <w:bookmarkStart w:id="107" w:name="_Toc363474026"/>
      <w:bookmarkStart w:id="108" w:name="_Toc403077647"/>
      <w:bookmarkStart w:id="109" w:name="_Toc17702"/>
      <w:bookmarkStart w:id="110" w:name="_Toc23850"/>
      <w:r>
        <w:rPr>
          <w:rFonts w:hint="eastAsia" w:ascii="宋体" w:hAnsi="宋体" w:eastAsia="宋体" w:cs="宋体"/>
          <w:color w:val="auto"/>
          <w:sz w:val="36"/>
          <w:szCs w:val="36"/>
          <w:highlight w:val="none"/>
        </w:rPr>
        <w:t>目    录</w:t>
      </w:r>
      <w:bookmarkEnd w:id="103"/>
      <w:bookmarkEnd w:id="104"/>
      <w:bookmarkEnd w:id="105"/>
      <w:bookmarkEnd w:id="106"/>
      <w:bookmarkEnd w:id="107"/>
      <w:bookmarkEnd w:id="108"/>
      <w:bookmarkEnd w:id="109"/>
      <w:bookmarkEnd w:id="110"/>
    </w:p>
    <w:p w14:paraId="74F275F2">
      <w:pPr>
        <w:rPr>
          <w:rFonts w:hint="eastAsia" w:ascii="宋体" w:hAnsi="宋体" w:eastAsia="宋体" w:cs="宋体"/>
          <w:color w:val="auto"/>
          <w:highlight w:val="none"/>
        </w:rPr>
      </w:pPr>
    </w:p>
    <w:p w14:paraId="353D96E9">
      <w:pPr>
        <w:numPr>
          <w:ilvl w:val="0"/>
          <w:numId w:val="6"/>
        </w:numPr>
        <w:tabs>
          <w:tab w:val="left" w:pos="1418"/>
        </w:tabs>
        <w:spacing w:line="720" w:lineRule="auto"/>
        <w:ind w:left="831"/>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投标函</w:t>
      </w:r>
    </w:p>
    <w:p w14:paraId="571FEE55">
      <w:pPr>
        <w:numPr>
          <w:ilvl w:val="0"/>
          <w:numId w:val="6"/>
        </w:numPr>
        <w:tabs>
          <w:tab w:val="left" w:pos="1418"/>
        </w:tabs>
        <w:spacing w:line="720" w:lineRule="auto"/>
        <w:ind w:left="831"/>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投标报价表</w:t>
      </w:r>
    </w:p>
    <w:p w14:paraId="144BD490">
      <w:pPr>
        <w:numPr>
          <w:ilvl w:val="0"/>
          <w:numId w:val="6"/>
        </w:numPr>
        <w:tabs>
          <w:tab w:val="left" w:pos="1418"/>
        </w:tabs>
        <w:spacing w:line="720" w:lineRule="auto"/>
        <w:ind w:left="831"/>
        <w:rPr>
          <w:rFonts w:hint="eastAsia" w:ascii="宋体" w:hAnsi="宋体" w:eastAsia="宋体" w:cs="宋体"/>
          <w:color w:val="auto"/>
          <w:spacing w:val="4"/>
          <w:szCs w:val="24"/>
          <w:highlight w:val="none"/>
        </w:rPr>
      </w:pPr>
      <w:r>
        <w:rPr>
          <w:rFonts w:hint="eastAsia" w:ascii="宋体" w:hAnsi="宋体" w:eastAsia="宋体" w:cs="宋体"/>
          <w:color w:val="auto"/>
          <w:szCs w:val="24"/>
          <w:highlight w:val="none"/>
        </w:rPr>
        <w:t>投标方案说明书</w:t>
      </w:r>
    </w:p>
    <w:p w14:paraId="2AE93D8F">
      <w:pPr>
        <w:numPr>
          <w:ilvl w:val="0"/>
          <w:numId w:val="6"/>
        </w:numPr>
        <w:tabs>
          <w:tab w:val="left" w:pos="1418"/>
        </w:tabs>
        <w:spacing w:line="720" w:lineRule="auto"/>
        <w:ind w:left="831"/>
        <w:rPr>
          <w:rFonts w:hint="eastAsia" w:ascii="宋体" w:hAnsi="宋体" w:eastAsia="宋体" w:cs="宋体"/>
          <w:color w:val="auto"/>
          <w:spacing w:val="4"/>
          <w:szCs w:val="24"/>
          <w:highlight w:val="none"/>
        </w:rPr>
      </w:pPr>
      <w:r>
        <w:rPr>
          <w:rFonts w:hint="eastAsia" w:ascii="宋体" w:hAnsi="宋体" w:eastAsia="宋体" w:cs="宋体"/>
          <w:color w:val="auto"/>
          <w:szCs w:val="24"/>
          <w:highlight w:val="none"/>
        </w:rPr>
        <w:t>商务条款偏离表</w:t>
      </w:r>
    </w:p>
    <w:p w14:paraId="477FAE7D">
      <w:pPr>
        <w:numPr>
          <w:ilvl w:val="0"/>
          <w:numId w:val="6"/>
        </w:numPr>
        <w:tabs>
          <w:tab w:val="left" w:pos="1418"/>
        </w:tabs>
        <w:spacing w:line="720" w:lineRule="auto"/>
        <w:ind w:left="831"/>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陕西省政府采购供应商拒绝政府采购领域商业贿赂承诺书</w:t>
      </w:r>
    </w:p>
    <w:p w14:paraId="4EC2FAAA">
      <w:pPr>
        <w:numPr>
          <w:ilvl w:val="0"/>
          <w:numId w:val="6"/>
        </w:numPr>
        <w:tabs>
          <w:tab w:val="left" w:pos="1418"/>
        </w:tabs>
        <w:spacing w:line="720" w:lineRule="auto"/>
        <w:ind w:left="831"/>
        <w:rPr>
          <w:rFonts w:hint="eastAsia" w:ascii="宋体" w:hAnsi="宋体" w:eastAsia="宋体" w:cs="宋体"/>
          <w:color w:val="auto"/>
          <w:szCs w:val="24"/>
          <w:highlight w:val="none"/>
        </w:rPr>
      </w:pPr>
      <w:r>
        <w:rPr>
          <w:rFonts w:hint="eastAsia" w:ascii="宋体" w:hAnsi="宋体" w:eastAsia="宋体" w:cs="宋体"/>
          <w:color w:val="auto"/>
          <w:szCs w:val="24"/>
          <w:highlight w:val="none"/>
        </w:rPr>
        <w:t>资格证明文件</w:t>
      </w:r>
    </w:p>
    <w:p w14:paraId="7908F5F4">
      <w:pPr>
        <w:numPr>
          <w:ilvl w:val="0"/>
          <w:numId w:val="6"/>
        </w:numPr>
        <w:tabs>
          <w:tab w:val="left" w:pos="1418"/>
        </w:tabs>
        <w:spacing w:line="720" w:lineRule="auto"/>
        <w:ind w:left="831"/>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其他</w:t>
      </w:r>
    </w:p>
    <w:p w14:paraId="6F05842F">
      <w:pPr>
        <w:spacing w:line="480" w:lineRule="auto"/>
        <w:ind w:left="105"/>
        <w:rPr>
          <w:rFonts w:hint="eastAsia" w:ascii="宋体" w:hAnsi="宋体" w:eastAsia="宋体" w:cs="宋体"/>
          <w:color w:val="auto"/>
          <w:spacing w:val="4"/>
          <w:szCs w:val="24"/>
          <w:highlight w:val="none"/>
        </w:rPr>
      </w:pPr>
    </w:p>
    <w:p w14:paraId="7CF60087">
      <w:pPr>
        <w:pStyle w:val="4"/>
        <w:spacing w:before="333" w:beforeLines="100"/>
        <w:rPr>
          <w:rFonts w:hint="eastAsia" w:ascii="宋体" w:hAnsi="宋体" w:eastAsia="宋体" w:cs="宋体"/>
          <w:color w:val="auto"/>
          <w:sz w:val="32"/>
          <w:szCs w:val="32"/>
          <w:highlight w:val="none"/>
        </w:rPr>
      </w:pPr>
      <w:r>
        <w:rPr>
          <w:rFonts w:hint="eastAsia" w:ascii="宋体" w:hAnsi="宋体" w:eastAsia="宋体" w:cs="宋体"/>
          <w:color w:val="auto"/>
          <w:sz w:val="28"/>
          <w:highlight w:val="none"/>
        </w:rPr>
        <w:br w:type="page"/>
      </w:r>
      <w:bookmarkStart w:id="111" w:name="_Toc363474027"/>
      <w:bookmarkStart w:id="112" w:name="_Toc403077648"/>
      <w:bookmarkStart w:id="113" w:name="_Toc3826"/>
      <w:bookmarkStart w:id="114" w:name="_Toc24564"/>
      <w:bookmarkStart w:id="115" w:name="_Toc426457700"/>
      <w:bookmarkStart w:id="116" w:name="_Toc26301"/>
      <w:bookmarkStart w:id="117" w:name="_Toc5908"/>
      <w:bookmarkStart w:id="118" w:name="_Toc28404"/>
      <w:bookmarkStart w:id="119" w:name="_Toc20960"/>
      <w:bookmarkStart w:id="120" w:name="_Toc14057"/>
      <w:bookmarkStart w:id="121" w:name="_Toc23702"/>
      <w:bookmarkStart w:id="122" w:name="_Toc4930"/>
      <w:bookmarkStart w:id="123" w:name="_Toc24231"/>
      <w:bookmarkStart w:id="124" w:name="_Toc6397"/>
      <w:bookmarkStart w:id="125" w:name="_Toc22682"/>
      <w:r>
        <w:rPr>
          <w:rFonts w:hint="eastAsia" w:ascii="宋体" w:hAnsi="宋体" w:eastAsia="宋体" w:cs="宋体"/>
          <w:color w:val="auto"/>
          <w:sz w:val="32"/>
          <w:szCs w:val="32"/>
          <w:highlight w:val="none"/>
        </w:rPr>
        <w:t>一、投标</w:t>
      </w:r>
      <w:bookmarkEnd w:id="111"/>
      <w:bookmarkEnd w:id="112"/>
      <w:r>
        <w:rPr>
          <w:rFonts w:hint="eastAsia" w:ascii="宋体" w:hAnsi="宋体" w:eastAsia="宋体" w:cs="宋体"/>
          <w:color w:val="auto"/>
          <w:sz w:val="32"/>
          <w:szCs w:val="32"/>
          <w:highlight w:val="none"/>
        </w:rPr>
        <w:t>函</w:t>
      </w:r>
      <w:bookmarkEnd w:id="113"/>
      <w:bookmarkEnd w:id="114"/>
      <w:bookmarkEnd w:id="115"/>
      <w:bookmarkEnd w:id="116"/>
      <w:bookmarkEnd w:id="117"/>
      <w:bookmarkEnd w:id="118"/>
      <w:bookmarkEnd w:id="119"/>
      <w:bookmarkEnd w:id="120"/>
      <w:bookmarkEnd w:id="121"/>
      <w:bookmarkEnd w:id="122"/>
      <w:bookmarkEnd w:id="123"/>
      <w:bookmarkEnd w:id="124"/>
      <w:bookmarkEnd w:id="125"/>
    </w:p>
    <w:p w14:paraId="0CC164DB">
      <w:pPr>
        <w:rPr>
          <w:rFonts w:hint="eastAsia" w:ascii="宋体" w:hAnsi="宋体" w:eastAsia="宋体" w:cs="宋体"/>
          <w:color w:val="auto"/>
          <w:highlight w:val="none"/>
        </w:rPr>
      </w:pPr>
    </w:p>
    <w:p w14:paraId="5817003B">
      <w:pPr>
        <w:spacing w:line="500" w:lineRule="exact"/>
        <w:jc w:val="left"/>
        <w:rPr>
          <w:rFonts w:hint="eastAsia" w:ascii="宋体" w:hAnsi="宋体" w:eastAsia="宋体" w:cs="宋体"/>
          <w:color w:val="auto"/>
          <w:spacing w:val="4"/>
          <w:szCs w:val="24"/>
          <w:highlight w:val="none"/>
          <w:u w:val="single"/>
          <w:lang w:eastAsia="zh-CN"/>
        </w:rPr>
      </w:pPr>
      <w:r>
        <w:rPr>
          <w:rFonts w:hint="eastAsia" w:ascii="宋体" w:hAnsi="宋体" w:eastAsia="宋体" w:cs="宋体"/>
          <w:b/>
          <w:color w:val="auto"/>
          <w:spacing w:val="4"/>
          <w:szCs w:val="24"/>
          <w:highlight w:val="none"/>
        </w:rPr>
        <w:t>致</w:t>
      </w:r>
      <w:r>
        <w:rPr>
          <w:rFonts w:hint="eastAsia" w:ascii="宋体" w:hAnsi="宋体" w:eastAsia="宋体" w:cs="宋体"/>
          <w:b/>
          <w:color w:val="auto"/>
          <w:spacing w:val="4"/>
          <w:szCs w:val="24"/>
          <w:highlight w:val="none"/>
          <w:u w:val="single"/>
        </w:rPr>
        <w:t>：采购人名称/</w:t>
      </w:r>
      <w:r>
        <w:rPr>
          <w:rFonts w:hint="eastAsia" w:hAnsi="宋体" w:cs="宋体"/>
          <w:b/>
          <w:color w:val="auto"/>
          <w:spacing w:val="4"/>
          <w:szCs w:val="24"/>
          <w:highlight w:val="none"/>
          <w:u w:val="single"/>
          <w:lang w:eastAsia="zh-CN"/>
        </w:rPr>
        <w:t>陕西海源广合项目管理有限公司</w:t>
      </w:r>
    </w:p>
    <w:p w14:paraId="4465F8CC">
      <w:pPr>
        <w:spacing w:line="500" w:lineRule="exact"/>
        <w:ind w:firstLine="496" w:firstLineChars="20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根据贵方“</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”项目的投标邀请</w:t>
      </w:r>
      <w:r>
        <w:rPr>
          <w:rFonts w:hint="eastAsia" w:ascii="宋体" w:hAnsi="宋体" w:eastAsia="宋体" w:cs="宋体"/>
          <w:color w:val="auto"/>
          <w:spacing w:val="4"/>
          <w:highlight w:val="none"/>
          <w:u w:val="single"/>
        </w:rPr>
        <w:t>(</w:t>
      </w:r>
      <w:r>
        <w:rPr>
          <w:rFonts w:hint="eastAsia" w:ascii="宋体" w:hAnsi="宋体" w:eastAsia="宋体" w:cs="宋体"/>
          <w:color w:val="auto"/>
          <w:spacing w:val="4"/>
          <w:highlight w:val="none"/>
          <w:u w:val="single"/>
          <w:lang w:eastAsia="zh-CN"/>
        </w:rPr>
        <w:t>编号</w:t>
      </w:r>
      <w:r>
        <w:rPr>
          <w:rFonts w:hint="eastAsia" w:hAnsi="宋体" w:cs="宋体"/>
          <w:color w:val="auto"/>
          <w:spacing w:val="4"/>
          <w:highlight w:val="none"/>
          <w:u w:val="single"/>
          <w:lang w:eastAsia="zh-CN"/>
        </w:rPr>
        <w:t>：</w:t>
      </w:r>
      <w:r>
        <w:rPr>
          <w:rFonts w:hint="eastAsia" w:hAnsi="宋体" w:cs="宋体"/>
          <w:color w:val="auto"/>
          <w:spacing w:val="4"/>
          <w:highlight w:val="none"/>
          <w:u w:val="single"/>
          <w:lang w:val="en-US" w:eastAsia="zh-CN"/>
        </w:rPr>
        <w:t xml:space="preserve">  </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，签字代表</w:t>
      </w:r>
      <w:r>
        <w:rPr>
          <w:rFonts w:hint="eastAsia" w:ascii="宋体" w:hAnsi="宋体" w:eastAsia="宋体" w:cs="宋体"/>
          <w:color w:val="auto"/>
          <w:spacing w:val="4"/>
          <w:highlight w:val="none"/>
          <w:u w:val="single"/>
        </w:rPr>
        <w:t>（全名、职务）</w:t>
      </w:r>
      <w:r>
        <w:rPr>
          <w:rFonts w:hint="eastAsia" w:ascii="宋体" w:hAnsi="宋体" w:eastAsia="宋体" w:cs="宋体"/>
          <w:color w:val="auto"/>
          <w:spacing w:val="4"/>
          <w:highlight w:val="none"/>
        </w:rPr>
        <w:t>经正式授权并代表供应商</w:t>
      </w:r>
      <w:r>
        <w:rPr>
          <w:rFonts w:hint="eastAsia" w:ascii="宋体" w:hAnsi="宋体" w:eastAsia="宋体" w:cs="宋体"/>
          <w:color w:val="auto"/>
          <w:spacing w:val="4"/>
          <w:highlight w:val="none"/>
          <w:u w:val="single"/>
        </w:rPr>
        <w:t>(供应商名称、地址)</w:t>
      </w:r>
      <w:r>
        <w:rPr>
          <w:rFonts w:hint="eastAsia" w:ascii="宋体" w:hAnsi="宋体" w:eastAsia="宋体" w:cs="宋体"/>
          <w:color w:val="auto"/>
          <w:spacing w:val="4"/>
          <w:highlight w:val="none"/>
        </w:rPr>
        <w:t xml:space="preserve"> 提交投标文件正本壹份、副本一式</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份、电子版</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份、开标一览表</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份。</w:t>
      </w:r>
    </w:p>
    <w:p w14:paraId="49F8A746">
      <w:pPr>
        <w:spacing w:line="500" w:lineRule="exact"/>
        <w:ind w:left="624" w:leftChars="251" w:hanging="22" w:hangingChars="9"/>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我方承诺如下：</w:t>
      </w:r>
    </w:p>
    <w:p w14:paraId="126623E4">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投标报价为小写：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（大写：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w:t>
      </w:r>
    </w:p>
    <w:p w14:paraId="425BE48F">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如果中标，我们根据招标文件的规定，履行合同的责任和义务。</w:t>
      </w:r>
    </w:p>
    <w:p w14:paraId="55D28C8D">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我们已详细阅读和审核全部招标文件（含修改部分，如有的话）及有关附件，我们知道必须放弃提出含糊不清或误解的问题的权利。</w:t>
      </w:r>
    </w:p>
    <w:p w14:paraId="32DBDAA9">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我们同意在投标有效期内（</w:t>
      </w:r>
      <w:r>
        <w:rPr>
          <w:rFonts w:hint="eastAsia" w:ascii="宋体" w:hAnsi="宋体" w:eastAsia="宋体" w:cs="宋体"/>
          <w:color w:val="auto"/>
          <w:spacing w:val="4"/>
          <w:sz w:val="24"/>
          <w:szCs w:val="24"/>
          <w:highlight w:val="none"/>
          <w:u w:val="single"/>
        </w:rPr>
        <w:t>自开标之日起    天</w:t>
      </w:r>
      <w:r>
        <w:rPr>
          <w:rFonts w:hint="eastAsia" w:ascii="宋体" w:hAnsi="宋体" w:eastAsia="宋体" w:cs="宋体"/>
          <w:color w:val="auto"/>
          <w:spacing w:val="4"/>
          <w:sz w:val="24"/>
          <w:szCs w:val="24"/>
          <w:highlight w:val="none"/>
        </w:rPr>
        <w:t>），本投标函对我方具有约束力。</w:t>
      </w:r>
    </w:p>
    <w:p w14:paraId="3619E277">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同意提供贵方可能另外要求的与本投标有关的任何证据和资料。</w:t>
      </w:r>
    </w:p>
    <w:p w14:paraId="0AA7C453">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我们同意，如果中标，向</w:t>
      </w:r>
      <w:r>
        <w:rPr>
          <w:rFonts w:hint="eastAsia" w:hAnsi="宋体" w:cs="宋体"/>
          <w:color w:val="auto"/>
          <w:spacing w:val="4"/>
          <w:sz w:val="24"/>
          <w:szCs w:val="24"/>
          <w:highlight w:val="none"/>
          <w:lang w:eastAsia="zh-CN"/>
        </w:rPr>
        <w:t>陕西海源广合项目管理有限公司</w:t>
      </w:r>
      <w:r>
        <w:rPr>
          <w:rFonts w:hint="eastAsia" w:ascii="宋体" w:hAnsi="宋体" w:eastAsia="宋体" w:cs="宋体"/>
          <w:color w:val="auto"/>
          <w:spacing w:val="4"/>
          <w:sz w:val="24"/>
          <w:szCs w:val="24"/>
          <w:highlight w:val="none"/>
        </w:rPr>
        <w:t>交纳招标代理服务费。</w:t>
      </w:r>
    </w:p>
    <w:p w14:paraId="08C1BD6E">
      <w:pPr>
        <w:numPr>
          <w:ilvl w:val="0"/>
          <w:numId w:val="7"/>
        </w:numPr>
        <w:tabs>
          <w:tab w:val="left" w:pos="2160"/>
        </w:tabs>
        <w:spacing w:line="500" w:lineRule="exact"/>
        <w:ind w:left="0" w:firstLine="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与本投标有关的一切正式往来通讯为：</w:t>
      </w:r>
    </w:p>
    <w:p w14:paraId="2339700B">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联系地址：</w:t>
      </w:r>
    </w:p>
    <w:p w14:paraId="341995D1">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邮政编码：</w:t>
      </w:r>
    </w:p>
    <w:p w14:paraId="584B0D79">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电    话：</w:t>
      </w:r>
    </w:p>
    <w:p w14:paraId="0BBB1C61">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传    真：</w:t>
      </w:r>
    </w:p>
    <w:p w14:paraId="176AAD20">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供应商名称（盖章）：</w:t>
      </w:r>
    </w:p>
    <w:p w14:paraId="286BEC57">
      <w:pPr>
        <w:spacing w:line="500" w:lineRule="exact"/>
        <w:ind w:firstLine="1200" w:firstLineChars="500"/>
        <w:jc w:val="left"/>
        <w:rPr>
          <w:rFonts w:hint="eastAsia" w:ascii="宋体" w:hAnsi="宋体" w:eastAsia="宋体" w:cs="宋体"/>
          <w:color w:val="auto"/>
          <w:spacing w:val="4"/>
          <w:highlight w:val="none"/>
        </w:rPr>
      </w:pPr>
      <w:r>
        <w:rPr>
          <w:rFonts w:hint="eastAsia" w:ascii="宋体" w:hAnsi="宋体" w:eastAsia="宋体" w:cs="宋体"/>
          <w:color w:val="auto"/>
          <w:highlight w:val="none"/>
        </w:rPr>
        <w:t>法定代表人或</w:t>
      </w:r>
      <w:r>
        <w:rPr>
          <w:rFonts w:hint="eastAsia" w:ascii="宋体" w:hAnsi="宋体" w:eastAsia="宋体" w:cs="宋体"/>
          <w:color w:val="auto"/>
          <w:szCs w:val="24"/>
          <w:highlight w:val="none"/>
        </w:rPr>
        <w:t>被授权人签字或盖章</w:t>
      </w:r>
      <w:r>
        <w:rPr>
          <w:rFonts w:hint="eastAsia" w:ascii="宋体" w:hAnsi="宋体" w:eastAsia="宋体" w:cs="宋体"/>
          <w:color w:val="auto"/>
          <w:spacing w:val="4"/>
          <w:highlight w:val="none"/>
        </w:rPr>
        <w:t>：</w:t>
      </w:r>
    </w:p>
    <w:p w14:paraId="5AA7A41C">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日    期：</w:t>
      </w:r>
    </w:p>
    <w:p w14:paraId="7076EBCE">
      <w:pPr>
        <w:spacing w:before="333" w:beforeLines="100"/>
        <w:jc w:val="center"/>
        <w:outlineLvl w:val="2"/>
        <w:rPr>
          <w:rFonts w:hint="eastAsia" w:ascii="宋体" w:hAnsi="宋体" w:eastAsia="宋体" w:cs="宋体"/>
          <w:b/>
          <w:bCs/>
          <w:color w:val="auto"/>
          <w:sz w:val="32"/>
          <w:szCs w:val="32"/>
          <w:highlight w:val="none"/>
        </w:rPr>
      </w:pPr>
      <w:r>
        <w:rPr>
          <w:rFonts w:hint="eastAsia" w:ascii="宋体" w:hAnsi="宋体" w:eastAsia="宋体" w:cs="宋体"/>
          <w:color w:val="auto"/>
          <w:sz w:val="28"/>
          <w:highlight w:val="none"/>
        </w:rPr>
        <w:br w:type="page"/>
      </w:r>
      <w:bookmarkStart w:id="126" w:name="_Toc19026"/>
      <w:bookmarkStart w:id="127" w:name="_Toc29025"/>
      <w:bookmarkStart w:id="128" w:name="_Toc403077651"/>
      <w:bookmarkStart w:id="129" w:name="_Toc363474030"/>
      <w:bookmarkStart w:id="130" w:name="_Toc2675"/>
      <w:bookmarkStart w:id="131" w:name="_Toc8223"/>
      <w:bookmarkStart w:id="132" w:name="_Toc13665"/>
      <w:bookmarkStart w:id="133" w:name="_Toc25217"/>
      <w:bookmarkStart w:id="134" w:name="_Toc19867"/>
      <w:bookmarkStart w:id="135" w:name="_Toc21319"/>
      <w:bookmarkStart w:id="136" w:name="_Toc17802"/>
      <w:bookmarkStart w:id="137" w:name="_Toc26697"/>
      <w:bookmarkStart w:id="138" w:name="_Toc27599"/>
      <w:bookmarkStart w:id="139" w:name="_Toc426457703"/>
      <w:bookmarkStart w:id="140" w:name="_Toc4332"/>
      <w:r>
        <w:rPr>
          <w:rFonts w:hint="eastAsia" w:ascii="宋体" w:hAnsi="宋体" w:eastAsia="宋体" w:cs="宋体"/>
          <w:b/>
          <w:bCs/>
          <w:color w:val="auto"/>
          <w:sz w:val="32"/>
          <w:szCs w:val="32"/>
          <w:highlight w:val="none"/>
        </w:rPr>
        <w:t>二、投标报价表</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22A129A4">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2.1开标一览表</w:t>
      </w:r>
    </w:p>
    <w:p w14:paraId="774BB266">
      <w:pPr>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项目名称：</w:t>
      </w:r>
    </w:p>
    <w:p w14:paraId="39723903">
      <w:pPr>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项目编号：</w:t>
      </w:r>
    </w:p>
    <w:tbl>
      <w:tblPr>
        <w:tblStyle w:val="2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2"/>
        <w:gridCol w:w="2537"/>
        <w:gridCol w:w="2445"/>
        <w:gridCol w:w="1867"/>
      </w:tblGrid>
      <w:tr w14:paraId="7B5D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310" w:type="pct"/>
            <w:noWrap w:val="0"/>
            <w:vAlign w:val="center"/>
          </w:tcPr>
          <w:p w14:paraId="2FB88094">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投标报价</w:t>
            </w:r>
          </w:p>
          <w:p w14:paraId="314280B1">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（元）</w:t>
            </w:r>
          </w:p>
        </w:tc>
        <w:tc>
          <w:tcPr>
            <w:tcW w:w="1367" w:type="pct"/>
            <w:noWrap w:val="0"/>
            <w:vAlign w:val="center"/>
          </w:tcPr>
          <w:p w14:paraId="6255C61D">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交付期</w:t>
            </w:r>
          </w:p>
        </w:tc>
        <w:tc>
          <w:tcPr>
            <w:tcW w:w="1317" w:type="pct"/>
            <w:noWrap w:val="0"/>
            <w:vAlign w:val="center"/>
          </w:tcPr>
          <w:p w14:paraId="52847771">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质保期</w:t>
            </w:r>
          </w:p>
        </w:tc>
        <w:tc>
          <w:tcPr>
            <w:tcW w:w="1003" w:type="pct"/>
            <w:noWrap w:val="0"/>
            <w:vAlign w:val="center"/>
          </w:tcPr>
          <w:p w14:paraId="09BAFC20">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5907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310" w:type="pct"/>
            <w:noWrap w:val="0"/>
            <w:vAlign w:val="center"/>
          </w:tcPr>
          <w:p w14:paraId="7C60BCAB">
            <w:pPr>
              <w:jc w:val="center"/>
              <w:rPr>
                <w:rFonts w:hint="eastAsia" w:ascii="宋体" w:hAnsi="宋体" w:eastAsia="宋体" w:cs="宋体"/>
                <w:color w:val="auto"/>
                <w:szCs w:val="24"/>
                <w:highlight w:val="none"/>
              </w:rPr>
            </w:pPr>
          </w:p>
        </w:tc>
        <w:tc>
          <w:tcPr>
            <w:tcW w:w="1367" w:type="pct"/>
            <w:noWrap w:val="0"/>
            <w:vAlign w:val="center"/>
          </w:tcPr>
          <w:p w14:paraId="5692E050">
            <w:pPr>
              <w:jc w:val="center"/>
              <w:rPr>
                <w:rFonts w:hint="eastAsia" w:ascii="宋体" w:hAnsi="宋体" w:eastAsia="宋体" w:cs="宋体"/>
                <w:color w:val="auto"/>
                <w:szCs w:val="24"/>
                <w:highlight w:val="none"/>
              </w:rPr>
            </w:pPr>
          </w:p>
        </w:tc>
        <w:tc>
          <w:tcPr>
            <w:tcW w:w="1317" w:type="pct"/>
            <w:noWrap w:val="0"/>
            <w:vAlign w:val="top"/>
          </w:tcPr>
          <w:p w14:paraId="12CBA7CC">
            <w:pPr>
              <w:jc w:val="center"/>
              <w:rPr>
                <w:rFonts w:hint="eastAsia" w:ascii="宋体" w:hAnsi="宋体" w:eastAsia="宋体" w:cs="宋体"/>
                <w:color w:val="auto"/>
                <w:szCs w:val="24"/>
                <w:highlight w:val="none"/>
              </w:rPr>
            </w:pPr>
          </w:p>
        </w:tc>
        <w:tc>
          <w:tcPr>
            <w:tcW w:w="1003" w:type="pct"/>
            <w:noWrap w:val="0"/>
            <w:vAlign w:val="top"/>
          </w:tcPr>
          <w:p w14:paraId="7035B48B">
            <w:pPr>
              <w:jc w:val="center"/>
              <w:rPr>
                <w:rFonts w:hint="eastAsia" w:ascii="宋体" w:hAnsi="宋体" w:eastAsia="宋体" w:cs="宋体"/>
                <w:color w:val="auto"/>
                <w:szCs w:val="24"/>
                <w:highlight w:val="none"/>
              </w:rPr>
            </w:pPr>
          </w:p>
        </w:tc>
      </w:tr>
      <w:tr w14:paraId="65AC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noWrap w:val="0"/>
            <w:vAlign w:val="center"/>
          </w:tcPr>
          <w:p w14:paraId="4FA07D6C">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投标报价（大写）：                                  （小写：￥       ）</w:t>
            </w:r>
          </w:p>
        </w:tc>
      </w:tr>
      <w:tr w14:paraId="4C0E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noWrap w:val="0"/>
            <w:vAlign w:val="center"/>
          </w:tcPr>
          <w:p w14:paraId="568AFB5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备注：表内报价内容以元为单位，保留小数点后两位。</w:t>
            </w:r>
          </w:p>
        </w:tc>
      </w:tr>
    </w:tbl>
    <w:p w14:paraId="3631820B">
      <w:pPr>
        <w:tabs>
          <w:tab w:val="left" w:pos="7200"/>
          <w:tab w:val="left" w:pos="8504"/>
        </w:tabs>
        <w:spacing w:line="360" w:lineRule="auto"/>
        <w:ind w:right="-1"/>
        <w:rPr>
          <w:rFonts w:hint="eastAsia" w:ascii="宋体" w:hAnsi="宋体" w:eastAsia="宋体" w:cs="宋体"/>
          <w:color w:val="auto"/>
          <w:highlight w:val="none"/>
        </w:rPr>
      </w:pPr>
    </w:p>
    <w:p w14:paraId="41135EC0">
      <w:pPr>
        <w:spacing w:line="120" w:lineRule="exact"/>
        <w:rPr>
          <w:rFonts w:hint="eastAsia" w:ascii="宋体" w:hAnsi="宋体" w:eastAsia="宋体" w:cs="宋体"/>
          <w:color w:val="auto"/>
          <w:highlight w:val="none"/>
        </w:rPr>
      </w:pPr>
    </w:p>
    <w:p w14:paraId="7BBD8A40">
      <w:pPr>
        <w:spacing w:line="480" w:lineRule="auto"/>
        <w:ind w:right="617" w:rightChars="257"/>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（加盖单位公章）      </w:t>
      </w:r>
    </w:p>
    <w:p w14:paraId="40709E64">
      <w:pPr>
        <w:spacing w:line="480" w:lineRule="auto"/>
        <w:ind w:right="617" w:rightChars="257"/>
        <w:jc w:val="left"/>
        <w:rPr>
          <w:rFonts w:hint="eastAsia" w:ascii="宋体" w:hAnsi="宋体" w:eastAsia="宋体" w:cs="宋体"/>
          <w:color w:val="auto"/>
          <w:highlight w:val="none"/>
        </w:rPr>
      </w:pPr>
    </w:p>
    <w:p w14:paraId="2D03B327">
      <w:pPr>
        <w:spacing w:line="480" w:lineRule="auto"/>
        <w:ind w:right="617" w:rightChars="257"/>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法定代表人/被授权人签字或盖章：</w:t>
      </w:r>
    </w:p>
    <w:p w14:paraId="207EDE0A">
      <w:pPr>
        <w:pStyle w:val="10"/>
        <w:ind w:left="0" w:leftChars="0" w:firstLine="0" w:firstLineChars="0"/>
        <w:rPr>
          <w:rFonts w:hint="eastAsia" w:ascii="宋体" w:hAnsi="宋体" w:eastAsia="宋体" w:cs="宋体"/>
          <w:color w:val="auto"/>
          <w:highlight w:val="none"/>
        </w:rPr>
      </w:pPr>
    </w:p>
    <w:p w14:paraId="51AB9BC0">
      <w:pPr>
        <w:spacing w:line="480" w:lineRule="auto"/>
        <w:ind w:right="617" w:rightChars="257"/>
        <w:rPr>
          <w:rFonts w:hint="eastAsia" w:ascii="宋体" w:hAnsi="宋体" w:eastAsia="宋体" w:cs="宋体"/>
          <w:color w:val="auto"/>
          <w:highlight w:val="none"/>
        </w:rPr>
      </w:pPr>
      <w:r>
        <w:rPr>
          <w:rFonts w:hint="eastAsia" w:ascii="宋体" w:hAnsi="宋体" w:eastAsia="宋体" w:cs="宋体"/>
          <w:color w:val="auto"/>
          <w:highlight w:val="none"/>
        </w:rPr>
        <w:t>日    期：</w:t>
      </w:r>
    </w:p>
    <w:p w14:paraId="1C5C0355">
      <w:pPr>
        <w:spacing w:before="166" w:beforeLines="50" w:after="166" w:afterLines="50" w:line="48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本表应按“供应商须知”的规定密封单独提交。若有折扣声明，请与本表一并装订和密封。</w:t>
      </w:r>
    </w:p>
    <w:p w14:paraId="42D598E0">
      <w:pPr>
        <w:rPr>
          <w:rFonts w:hint="eastAsia" w:ascii="宋体" w:hAnsi="宋体" w:eastAsia="宋体" w:cs="宋体"/>
          <w:color w:val="auto"/>
          <w:highlight w:val="none"/>
        </w:rPr>
        <w:sectPr>
          <w:type w:val="continuous"/>
          <w:pgSz w:w="11906" w:h="16838"/>
          <w:pgMar w:top="1361" w:right="1417" w:bottom="1361" w:left="1417" w:header="1134" w:footer="992" w:gutter="0"/>
          <w:pgNumType w:fmt="decimal"/>
          <w:cols w:space="720" w:num="1"/>
          <w:docGrid w:type="lines" w:linePitch="333" w:charSpace="0"/>
        </w:sectPr>
      </w:pPr>
    </w:p>
    <w:p w14:paraId="74797400">
      <w:pPr>
        <w:rPr>
          <w:rFonts w:hint="eastAsia" w:ascii="宋体" w:hAnsi="宋体" w:eastAsia="宋体" w:cs="宋体"/>
          <w:color w:val="auto"/>
          <w:highlight w:val="none"/>
        </w:rPr>
      </w:pPr>
    </w:p>
    <w:p w14:paraId="79D0E100">
      <w:pPr>
        <w:jc w:val="center"/>
        <w:rPr>
          <w:rFonts w:hint="eastAsia" w:ascii="宋体" w:hAnsi="宋体" w:eastAsia="宋体" w:cs="宋体"/>
          <w:color w:val="auto"/>
          <w:highlight w:val="none"/>
        </w:rPr>
      </w:pPr>
      <w:r>
        <w:rPr>
          <w:rFonts w:hint="eastAsia" w:ascii="宋体" w:hAnsi="宋体" w:eastAsia="宋体" w:cs="宋体"/>
          <w:b/>
          <w:color w:val="auto"/>
          <w:sz w:val="30"/>
          <w:szCs w:val="30"/>
          <w:highlight w:val="none"/>
        </w:rPr>
        <w:t>2.2投标分项报价表</w:t>
      </w:r>
      <w:r>
        <w:rPr>
          <w:rFonts w:hint="eastAsia" w:ascii="宋体" w:hAnsi="宋体" w:eastAsia="宋体" w:cs="宋体"/>
          <w:color w:val="auto"/>
          <w:highlight w:val="none"/>
        </w:rPr>
        <w:t xml:space="preserve"> </w:t>
      </w:r>
    </w:p>
    <w:p w14:paraId="5B1AC084">
      <w:pPr>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项目名称：</w:t>
      </w:r>
    </w:p>
    <w:p w14:paraId="2AFF83D7">
      <w:pPr>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项目编号：</w:t>
      </w:r>
    </w:p>
    <w:tbl>
      <w:tblPr>
        <w:tblStyle w:val="21"/>
        <w:tblW w:w="48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9"/>
        <w:gridCol w:w="1031"/>
        <w:gridCol w:w="1409"/>
        <w:gridCol w:w="1409"/>
        <w:gridCol w:w="720"/>
        <w:gridCol w:w="720"/>
        <w:gridCol w:w="1496"/>
        <w:gridCol w:w="1496"/>
        <w:gridCol w:w="1496"/>
        <w:gridCol w:w="1496"/>
        <w:gridCol w:w="1186"/>
        <w:gridCol w:w="773"/>
      </w:tblGrid>
      <w:tr w14:paraId="03C01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0D4C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0776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产品名称</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73F8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品牌/规格型号</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550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生产厂家/产地</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24CC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E9F1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52CE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设备单价（元）</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2A33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安装单价（元）</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C120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设备合价（元）</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9B58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安装合价（元）</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56A6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汇总（元）</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C541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7FC7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E7A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CF68A">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94036">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3AFDE">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9CA5F">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D0F0A">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646E0">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AA217">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4B043">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545EC">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072E2">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145C5">
            <w:pPr>
              <w:jc w:val="center"/>
              <w:rPr>
                <w:rFonts w:hint="eastAsia" w:ascii="宋体" w:hAnsi="宋体" w:eastAsia="宋体" w:cs="宋体"/>
                <w:i w:val="0"/>
                <w:iCs w:val="0"/>
                <w:color w:val="000000"/>
                <w:sz w:val="20"/>
                <w:szCs w:val="20"/>
                <w:u w:val="none"/>
              </w:rPr>
            </w:pPr>
          </w:p>
        </w:tc>
      </w:tr>
      <w:tr w14:paraId="4E26A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DFA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AE82">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B6BFA">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5D1DB">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EEDBE">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70870">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9C72B">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B1718">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850BA">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1E08A">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166BD">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93D3B">
            <w:pPr>
              <w:jc w:val="center"/>
              <w:rPr>
                <w:rFonts w:hint="eastAsia" w:ascii="宋体" w:hAnsi="宋体" w:eastAsia="宋体" w:cs="宋体"/>
                <w:i w:val="0"/>
                <w:iCs w:val="0"/>
                <w:color w:val="000000"/>
                <w:sz w:val="20"/>
                <w:szCs w:val="20"/>
                <w:u w:val="none"/>
              </w:rPr>
            </w:pPr>
          </w:p>
        </w:tc>
      </w:tr>
      <w:tr w14:paraId="160D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9A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36171">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174D">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4E871">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DDBF4">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E85FC">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5472B">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AFFD4">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948A5">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16EB0">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A6905">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90CBF">
            <w:pPr>
              <w:jc w:val="center"/>
              <w:rPr>
                <w:rFonts w:hint="eastAsia" w:ascii="宋体" w:hAnsi="宋体" w:eastAsia="宋体" w:cs="宋体"/>
                <w:i w:val="0"/>
                <w:iCs w:val="0"/>
                <w:color w:val="000000"/>
                <w:sz w:val="20"/>
                <w:szCs w:val="20"/>
                <w:u w:val="none"/>
              </w:rPr>
            </w:pPr>
          </w:p>
        </w:tc>
      </w:tr>
      <w:tr w14:paraId="242BF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36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88E2E">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3EBDC">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C8DC9">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555A0">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C97D7">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2995E">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85636">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E2D56">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ABB44">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A5CC5">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AD680">
            <w:pPr>
              <w:jc w:val="center"/>
              <w:rPr>
                <w:rFonts w:hint="eastAsia" w:ascii="宋体" w:hAnsi="宋体" w:eastAsia="宋体" w:cs="宋体"/>
                <w:i w:val="0"/>
                <w:iCs w:val="0"/>
                <w:color w:val="000000"/>
                <w:sz w:val="20"/>
                <w:szCs w:val="20"/>
                <w:u w:val="none"/>
              </w:rPr>
            </w:pPr>
          </w:p>
        </w:tc>
      </w:tr>
      <w:tr w14:paraId="6D83E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0D6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787D9">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7976D">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E60C4">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AC045">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E39CA">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ABB83">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1BD9">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AF731">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CA3B7">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5A7C8">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BA4EF">
            <w:pPr>
              <w:jc w:val="center"/>
              <w:rPr>
                <w:rFonts w:hint="eastAsia" w:ascii="宋体" w:hAnsi="宋体" w:eastAsia="宋体" w:cs="宋体"/>
                <w:i w:val="0"/>
                <w:iCs w:val="0"/>
                <w:color w:val="000000"/>
                <w:sz w:val="20"/>
                <w:szCs w:val="20"/>
                <w:u w:val="none"/>
              </w:rPr>
            </w:pPr>
          </w:p>
        </w:tc>
      </w:tr>
      <w:tr w14:paraId="407EC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97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D4C4A">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46DE1">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7C287">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8F2CE">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0FFBD">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CF22">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BD37C">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FB6D4">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40930">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A2A64">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8F5A0">
            <w:pPr>
              <w:jc w:val="center"/>
              <w:rPr>
                <w:rFonts w:hint="eastAsia" w:ascii="宋体" w:hAnsi="宋体" w:eastAsia="宋体" w:cs="宋体"/>
                <w:i w:val="0"/>
                <w:iCs w:val="0"/>
                <w:color w:val="000000"/>
                <w:sz w:val="20"/>
                <w:szCs w:val="20"/>
                <w:u w:val="none"/>
              </w:rPr>
            </w:pPr>
          </w:p>
        </w:tc>
      </w:tr>
      <w:tr w14:paraId="6499A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75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75333">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57C9A">
            <w:pPr>
              <w:jc w:val="center"/>
              <w:rPr>
                <w:rFonts w:hint="eastAsia" w:ascii="宋体" w:hAnsi="宋体" w:eastAsia="宋体" w:cs="宋体"/>
                <w:i w:val="0"/>
                <w:iCs w:val="0"/>
                <w:color w:val="000000"/>
                <w:sz w:val="20"/>
                <w:szCs w:val="20"/>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EB34B">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FD73F">
            <w:pPr>
              <w:jc w:val="center"/>
              <w:rPr>
                <w:rFonts w:hint="eastAsia" w:ascii="宋体" w:hAnsi="宋体" w:eastAsia="宋体" w:cs="宋体"/>
                <w:i w:val="0"/>
                <w:iCs w:val="0"/>
                <w:color w:val="000000"/>
                <w:sz w:val="20"/>
                <w:szCs w:val="20"/>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01881">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F32C">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C92A1">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2C036">
            <w:pPr>
              <w:jc w:val="center"/>
              <w:rPr>
                <w:rFonts w:hint="eastAsia" w:ascii="宋体" w:hAnsi="宋体" w:eastAsia="宋体" w:cs="宋体"/>
                <w:i w:val="0"/>
                <w:iCs w:val="0"/>
                <w:color w:val="000000"/>
                <w:sz w:val="20"/>
                <w:szCs w:val="20"/>
                <w:u w:val="none"/>
              </w:rPr>
            </w:pP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90A27">
            <w:pPr>
              <w:jc w:val="center"/>
              <w:rPr>
                <w:rFonts w:hint="eastAsia" w:ascii="宋体" w:hAnsi="宋体" w:eastAsia="宋体" w:cs="宋体"/>
                <w:i w:val="0"/>
                <w:iCs w:val="0"/>
                <w:color w:val="000000"/>
                <w:sz w:val="20"/>
                <w:szCs w:val="20"/>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AC18">
            <w:pPr>
              <w:jc w:val="center"/>
              <w:rPr>
                <w:rFonts w:hint="eastAsia" w:ascii="宋体" w:hAnsi="宋体" w:eastAsia="宋体" w:cs="宋体"/>
                <w:i w:val="0"/>
                <w:iCs w:val="0"/>
                <w:color w:val="000000"/>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C5DCC">
            <w:pPr>
              <w:jc w:val="center"/>
              <w:rPr>
                <w:rFonts w:hint="eastAsia" w:ascii="宋体" w:hAnsi="宋体" w:eastAsia="宋体" w:cs="宋体"/>
                <w:i w:val="0"/>
                <w:iCs w:val="0"/>
                <w:color w:val="000000"/>
                <w:sz w:val="20"/>
                <w:szCs w:val="20"/>
                <w:u w:val="none"/>
              </w:rPr>
            </w:pPr>
          </w:p>
        </w:tc>
      </w:tr>
      <w:tr w14:paraId="0BDF1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trPr>
        <w:tc>
          <w:tcPr>
            <w:tcW w:w="5000" w:type="pct"/>
            <w:gridSpan w:val="12"/>
            <w:tcBorders>
              <w:top w:val="nil"/>
              <w:left w:val="nil"/>
              <w:bottom w:val="nil"/>
              <w:right w:val="nil"/>
            </w:tcBorders>
            <w:shd w:val="clear" w:color="auto" w:fill="auto"/>
            <w:vAlign w:val="center"/>
          </w:tcPr>
          <w:p w14:paraId="2F24CB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投标报价汇总：大写：人民币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小写：       元</w:t>
            </w:r>
          </w:p>
        </w:tc>
      </w:tr>
      <w:tr w14:paraId="73C03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5000" w:type="pct"/>
            <w:gridSpan w:val="12"/>
            <w:tcBorders>
              <w:top w:val="nil"/>
              <w:left w:val="nil"/>
              <w:bottom w:val="nil"/>
              <w:right w:val="nil"/>
            </w:tcBorders>
            <w:shd w:val="clear" w:color="auto" w:fill="auto"/>
            <w:vAlign w:val="center"/>
          </w:tcPr>
          <w:p w14:paraId="4F590D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报价说明：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1.设备合价：设备单价*数量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2.安装合价：安装单价*数量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3.汇总：设备合价+安装合价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4.投标报价：汇总全部合计</w:t>
            </w:r>
          </w:p>
        </w:tc>
      </w:tr>
    </w:tbl>
    <w:p w14:paraId="0DF41BE3">
      <w:pPr>
        <w:jc w:val="center"/>
        <w:rPr>
          <w:rFonts w:hint="eastAsia" w:ascii="宋体" w:hAnsi="宋体" w:eastAsia="宋体" w:cs="宋体"/>
          <w:color w:val="auto"/>
          <w:highlight w:val="none"/>
        </w:rPr>
      </w:pPr>
    </w:p>
    <w:p w14:paraId="65BB7E6B">
      <w:pPr>
        <w:jc w:val="center"/>
        <w:rPr>
          <w:rFonts w:hint="eastAsia" w:ascii="宋体" w:hAnsi="宋体" w:eastAsia="宋体" w:cs="宋体"/>
          <w:color w:val="auto"/>
          <w:highlight w:val="none"/>
        </w:rPr>
      </w:pPr>
    </w:p>
    <w:p w14:paraId="5115FCFC">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注：1.如果按单价计算的结果与总价不一致，以单价为准修正总价。</w:t>
      </w:r>
    </w:p>
    <w:p w14:paraId="76DD45DE">
      <w:pPr>
        <w:spacing w:line="56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2.如果不提供详细分项报价将视为没有实质性响应</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文件。</w:t>
      </w:r>
    </w:p>
    <w:p w14:paraId="094F9CC3">
      <w:pPr>
        <w:spacing w:line="560" w:lineRule="exact"/>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3.供应商可适当调整该表格式，但不得减少信息内容。</w:t>
      </w:r>
    </w:p>
    <w:p w14:paraId="77C059C6">
      <w:pPr>
        <w:spacing w:line="56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单位：元，保留小数点后两位。</w:t>
      </w:r>
    </w:p>
    <w:p w14:paraId="3BC75E76">
      <w:pPr>
        <w:spacing w:line="560" w:lineRule="exact"/>
        <w:ind w:firstLine="480" w:firstLineChars="200"/>
        <w:rPr>
          <w:rFonts w:hint="eastAsia" w:ascii="宋体" w:hAnsi="宋体" w:eastAsia="宋体" w:cs="宋体"/>
          <w:color w:val="auto"/>
          <w:highlight w:val="none"/>
        </w:rPr>
      </w:pPr>
    </w:p>
    <w:p w14:paraId="6A1D8CDD">
      <w:pPr>
        <w:spacing w:line="480" w:lineRule="auto"/>
        <w:ind w:right="617" w:rightChars="257"/>
        <w:jc w:val="righ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（加盖单位公章）      </w:t>
      </w:r>
    </w:p>
    <w:p w14:paraId="230C5713">
      <w:pPr>
        <w:spacing w:line="480" w:lineRule="auto"/>
        <w:ind w:right="617" w:rightChars="257"/>
        <w:jc w:val="right"/>
        <w:rPr>
          <w:rFonts w:hint="eastAsia" w:ascii="宋体" w:hAnsi="宋体" w:eastAsia="宋体" w:cs="宋体"/>
          <w:color w:val="auto"/>
          <w:highlight w:val="none"/>
        </w:rPr>
      </w:pPr>
    </w:p>
    <w:p w14:paraId="0A95E4CF">
      <w:pPr>
        <w:spacing w:line="480" w:lineRule="auto"/>
        <w:ind w:right="617" w:rightChars="257"/>
        <w:jc w:val="right"/>
        <w:rPr>
          <w:rFonts w:hint="eastAsia" w:ascii="宋体" w:hAnsi="宋体" w:eastAsia="宋体" w:cs="宋体"/>
          <w:color w:val="auto"/>
          <w:highlight w:val="none"/>
        </w:rPr>
      </w:pPr>
      <w:r>
        <w:rPr>
          <w:rFonts w:hint="eastAsia" w:ascii="宋体" w:hAnsi="宋体" w:eastAsia="宋体" w:cs="宋体"/>
          <w:color w:val="auto"/>
          <w:highlight w:val="none"/>
        </w:rPr>
        <w:t>法定代表人/被授权人签字或盖章：</w:t>
      </w:r>
    </w:p>
    <w:p w14:paraId="77550833">
      <w:pPr>
        <w:pStyle w:val="10"/>
        <w:ind w:left="0" w:leftChars="0" w:firstLine="0" w:firstLineChars="0"/>
        <w:jc w:val="right"/>
        <w:rPr>
          <w:rFonts w:hint="eastAsia" w:ascii="宋体" w:hAnsi="宋体" w:eastAsia="宋体" w:cs="宋体"/>
          <w:color w:val="auto"/>
          <w:highlight w:val="none"/>
        </w:rPr>
      </w:pPr>
    </w:p>
    <w:p w14:paraId="05568695">
      <w:pPr>
        <w:spacing w:line="480" w:lineRule="auto"/>
        <w:ind w:right="617" w:rightChars="257"/>
        <w:jc w:val="right"/>
        <w:rPr>
          <w:rFonts w:hint="eastAsia" w:ascii="宋体" w:hAnsi="宋体" w:eastAsia="宋体" w:cs="宋体"/>
          <w:color w:val="auto"/>
          <w:highlight w:val="none"/>
        </w:rPr>
      </w:pPr>
      <w:r>
        <w:rPr>
          <w:rFonts w:hint="eastAsia" w:ascii="宋体" w:hAnsi="宋体" w:eastAsia="宋体" w:cs="宋体"/>
          <w:color w:val="auto"/>
          <w:highlight w:val="none"/>
        </w:rPr>
        <w:t>日    期：</w:t>
      </w:r>
    </w:p>
    <w:p w14:paraId="6C2AC708">
      <w:pPr>
        <w:spacing w:line="560" w:lineRule="exact"/>
        <w:ind w:firstLine="480" w:firstLineChars="200"/>
        <w:rPr>
          <w:rFonts w:hint="eastAsia" w:ascii="宋体" w:hAnsi="宋体" w:eastAsia="宋体" w:cs="宋体"/>
          <w:color w:val="auto"/>
          <w:highlight w:val="none"/>
        </w:rPr>
        <w:sectPr>
          <w:type w:val="continuous"/>
          <w:pgSz w:w="16838" w:h="11906" w:orient="landscape"/>
          <w:pgMar w:top="1417" w:right="1361" w:bottom="1417" w:left="1361" w:header="1134" w:footer="992" w:gutter="0"/>
          <w:pgNumType w:fmt="decimal"/>
          <w:cols w:space="720" w:num="1"/>
          <w:docGrid w:type="lines" w:linePitch="333" w:charSpace="0"/>
        </w:sectPr>
      </w:pPr>
    </w:p>
    <w:p w14:paraId="5F35CEC0">
      <w:pPr>
        <w:pStyle w:val="4"/>
        <w:spacing w:before="333" w:beforeLines="100"/>
        <w:rPr>
          <w:rFonts w:hint="eastAsia" w:ascii="宋体" w:hAnsi="宋体" w:eastAsia="宋体" w:cs="宋体"/>
          <w:b w:val="0"/>
          <w:color w:val="auto"/>
          <w:highlight w:val="none"/>
        </w:rPr>
      </w:pPr>
      <w:bookmarkStart w:id="141" w:name="_Toc19152"/>
      <w:bookmarkStart w:id="142" w:name="_Toc17891"/>
      <w:bookmarkStart w:id="143" w:name="_Toc16715"/>
      <w:bookmarkStart w:id="144" w:name="_Toc8367"/>
      <w:bookmarkStart w:id="145" w:name="_Toc2105"/>
      <w:bookmarkStart w:id="146" w:name="_Toc14384"/>
      <w:bookmarkStart w:id="147" w:name="_Toc2184"/>
      <w:bookmarkStart w:id="148" w:name="_Toc29887"/>
      <w:bookmarkStart w:id="149" w:name="_Toc31326"/>
      <w:bookmarkStart w:id="150" w:name="_Toc3617"/>
      <w:bookmarkStart w:id="151" w:name="_Toc18339"/>
      <w:bookmarkStart w:id="152" w:name="_Toc4085"/>
      <w:r>
        <w:rPr>
          <w:rFonts w:hint="eastAsia" w:ascii="宋体" w:hAnsi="宋体" w:eastAsia="宋体" w:cs="宋体"/>
          <w:color w:val="auto"/>
          <w:sz w:val="32"/>
          <w:szCs w:val="32"/>
          <w:highlight w:val="none"/>
        </w:rPr>
        <w:t>三、投标方案说明书</w:t>
      </w:r>
      <w:bookmarkEnd w:id="141"/>
      <w:bookmarkEnd w:id="142"/>
      <w:bookmarkEnd w:id="143"/>
      <w:bookmarkEnd w:id="144"/>
      <w:bookmarkEnd w:id="145"/>
      <w:bookmarkEnd w:id="146"/>
      <w:bookmarkEnd w:id="147"/>
      <w:bookmarkEnd w:id="148"/>
      <w:bookmarkEnd w:id="149"/>
      <w:bookmarkEnd w:id="150"/>
      <w:bookmarkEnd w:id="151"/>
      <w:bookmarkEnd w:id="152"/>
    </w:p>
    <w:p w14:paraId="42D67C6F">
      <w:pPr>
        <w:spacing w:line="360" w:lineRule="auto"/>
        <w:ind w:firstLine="480" w:firstLineChars="20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备注：</w:t>
      </w:r>
      <w:r>
        <w:rPr>
          <w:rFonts w:hint="eastAsia" w:ascii="宋体" w:hAnsi="宋体" w:eastAsia="宋体" w:cs="宋体"/>
          <w:bCs/>
          <w:color w:val="auto"/>
          <w:szCs w:val="24"/>
          <w:highlight w:val="none"/>
        </w:rPr>
        <w:t>按照招标文件的要求编制的投标方案说明书（参照评分办法）</w:t>
      </w:r>
      <w:r>
        <w:rPr>
          <w:rFonts w:hint="eastAsia" w:ascii="宋体" w:hAnsi="宋体" w:eastAsia="宋体" w:cs="宋体"/>
          <w:bCs/>
          <w:color w:val="auto"/>
          <w:szCs w:val="24"/>
          <w:highlight w:val="none"/>
          <w:lang w:eastAsia="zh-CN"/>
        </w:rPr>
        <w:t>。</w:t>
      </w:r>
    </w:p>
    <w:p w14:paraId="31E78804">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1DB0DDCF">
      <w:pPr>
        <w:spacing w:after="12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附表1：</w:t>
      </w:r>
    </w:p>
    <w:p w14:paraId="6EC74984">
      <w:pPr>
        <w:spacing w:after="12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技术规格响应表</w:t>
      </w:r>
    </w:p>
    <w:p w14:paraId="7614170E">
      <w:pPr>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项目名称：</w:t>
      </w:r>
    </w:p>
    <w:p w14:paraId="1EF1EA54">
      <w:pPr>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项目编号：</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7"/>
        <w:gridCol w:w="1276"/>
        <w:gridCol w:w="2401"/>
        <w:gridCol w:w="2648"/>
        <w:gridCol w:w="1188"/>
        <w:gridCol w:w="594"/>
      </w:tblGrid>
      <w:tr w14:paraId="57051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737" w:type="dxa"/>
            <w:tcBorders>
              <w:bottom w:val="nil"/>
            </w:tcBorders>
            <w:noWrap w:val="0"/>
            <w:vAlign w:val="top"/>
          </w:tcPr>
          <w:p w14:paraId="43BBC3C1">
            <w:pPr>
              <w:spacing w:before="16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1276" w:type="dxa"/>
            <w:tcBorders>
              <w:bottom w:val="nil"/>
            </w:tcBorders>
            <w:noWrap w:val="0"/>
            <w:vAlign w:val="top"/>
          </w:tcPr>
          <w:p w14:paraId="02D8668F">
            <w:pPr>
              <w:spacing w:before="16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产品名称</w:t>
            </w:r>
          </w:p>
        </w:tc>
        <w:tc>
          <w:tcPr>
            <w:tcW w:w="2401" w:type="dxa"/>
            <w:tcBorders>
              <w:bottom w:val="nil"/>
            </w:tcBorders>
            <w:noWrap w:val="0"/>
            <w:vAlign w:val="top"/>
          </w:tcPr>
          <w:p w14:paraId="569A4E6C">
            <w:pPr>
              <w:spacing w:before="16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招标规格 ☆1</w:t>
            </w:r>
          </w:p>
        </w:tc>
        <w:tc>
          <w:tcPr>
            <w:tcW w:w="2648" w:type="dxa"/>
            <w:tcBorders>
              <w:bottom w:val="nil"/>
            </w:tcBorders>
            <w:noWrap w:val="0"/>
            <w:vAlign w:val="top"/>
          </w:tcPr>
          <w:p w14:paraId="01104FB9">
            <w:pPr>
              <w:spacing w:before="16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投标规格 ☆2</w:t>
            </w:r>
          </w:p>
        </w:tc>
        <w:tc>
          <w:tcPr>
            <w:tcW w:w="1188" w:type="dxa"/>
            <w:tcBorders>
              <w:bottom w:val="nil"/>
            </w:tcBorders>
            <w:noWrap w:val="0"/>
            <w:vAlign w:val="top"/>
          </w:tcPr>
          <w:p w14:paraId="0634E213">
            <w:pPr>
              <w:spacing w:before="16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偏离说明</w:t>
            </w:r>
          </w:p>
        </w:tc>
        <w:tc>
          <w:tcPr>
            <w:tcW w:w="594" w:type="dxa"/>
            <w:tcBorders>
              <w:bottom w:val="nil"/>
            </w:tcBorders>
            <w:noWrap w:val="0"/>
            <w:vAlign w:val="top"/>
          </w:tcPr>
          <w:p w14:paraId="341D26A1">
            <w:pPr>
              <w:spacing w:before="16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709AD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737" w:type="dxa"/>
            <w:tcBorders>
              <w:top w:val="single" w:color="auto" w:sz="12" w:space="0"/>
              <w:left w:val="single" w:color="auto" w:sz="12" w:space="0"/>
              <w:bottom w:val="nil"/>
              <w:right w:val="single" w:color="auto" w:sz="6" w:space="0"/>
            </w:tcBorders>
            <w:noWrap w:val="0"/>
            <w:vAlign w:val="top"/>
          </w:tcPr>
          <w:p w14:paraId="3C4CBDBE">
            <w:pPr>
              <w:rPr>
                <w:rFonts w:hint="eastAsia" w:ascii="宋体" w:hAnsi="宋体" w:eastAsia="宋体" w:cs="宋体"/>
                <w:color w:val="auto"/>
                <w:szCs w:val="24"/>
                <w:highlight w:val="none"/>
              </w:rPr>
            </w:pPr>
          </w:p>
        </w:tc>
        <w:tc>
          <w:tcPr>
            <w:tcW w:w="1276" w:type="dxa"/>
            <w:tcBorders>
              <w:top w:val="single" w:color="auto" w:sz="12" w:space="0"/>
              <w:left w:val="single" w:color="auto" w:sz="6" w:space="0"/>
              <w:bottom w:val="nil"/>
              <w:right w:val="single" w:color="auto" w:sz="6" w:space="0"/>
            </w:tcBorders>
            <w:noWrap w:val="0"/>
            <w:vAlign w:val="top"/>
          </w:tcPr>
          <w:p w14:paraId="3C6E0AE3">
            <w:pPr>
              <w:rPr>
                <w:rFonts w:hint="eastAsia" w:ascii="宋体" w:hAnsi="宋体" w:eastAsia="宋体" w:cs="宋体"/>
                <w:color w:val="auto"/>
                <w:szCs w:val="24"/>
                <w:highlight w:val="none"/>
              </w:rPr>
            </w:pPr>
          </w:p>
        </w:tc>
        <w:tc>
          <w:tcPr>
            <w:tcW w:w="2401" w:type="dxa"/>
            <w:tcBorders>
              <w:top w:val="single" w:color="auto" w:sz="12" w:space="0"/>
              <w:left w:val="single" w:color="auto" w:sz="6" w:space="0"/>
              <w:bottom w:val="nil"/>
              <w:right w:val="single" w:color="auto" w:sz="6" w:space="0"/>
            </w:tcBorders>
            <w:noWrap w:val="0"/>
            <w:vAlign w:val="top"/>
          </w:tcPr>
          <w:p w14:paraId="51AC224D">
            <w:pPr>
              <w:rPr>
                <w:rFonts w:hint="eastAsia" w:ascii="宋体" w:hAnsi="宋体" w:eastAsia="宋体" w:cs="宋体"/>
                <w:color w:val="auto"/>
                <w:szCs w:val="24"/>
                <w:highlight w:val="none"/>
              </w:rPr>
            </w:pPr>
          </w:p>
        </w:tc>
        <w:tc>
          <w:tcPr>
            <w:tcW w:w="2648" w:type="dxa"/>
            <w:tcBorders>
              <w:top w:val="single" w:color="auto" w:sz="12" w:space="0"/>
              <w:left w:val="single" w:color="auto" w:sz="6" w:space="0"/>
              <w:bottom w:val="nil"/>
              <w:right w:val="single" w:color="auto" w:sz="6" w:space="0"/>
            </w:tcBorders>
            <w:noWrap w:val="0"/>
            <w:vAlign w:val="top"/>
          </w:tcPr>
          <w:p w14:paraId="03206C1B">
            <w:pPr>
              <w:rPr>
                <w:rFonts w:hint="eastAsia" w:ascii="宋体" w:hAnsi="宋体" w:eastAsia="宋体" w:cs="宋体"/>
                <w:color w:val="auto"/>
                <w:szCs w:val="24"/>
                <w:highlight w:val="none"/>
              </w:rPr>
            </w:pPr>
          </w:p>
        </w:tc>
        <w:tc>
          <w:tcPr>
            <w:tcW w:w="1188" w:type="dxa"/>
            <w:tcBorders>
              <w:top w:val="single" w:color="auto" w:sz="12" w:space="0"/>
              <w:left w:val="single" w:color="auto" w:sz="6" w:space="0"/>
              <w:bottom w:val="nil"/>
              <w:right w:val="single" w:color="auto" w:sz="6" w:space="0"/>
            </w:tcBorders>
            <w:noWrap w:val="0"/>
            <w:vAlign w:val="top"/>
          </w:tcPr>
          <w:p w14:paraId="08487889">
            <w:pPr>
              <w:rPr>
                <w:rFonts w:hint="eastAsia" w:ascii="宋体" w:hAnsi="宋体" w:eastAsia="宋体" w:cs="宋体"/>
                <w:color w:val="auto"/>
                <w:szCs w:val="24"/>
                <w:highlight w:val="none"/>
              </w:rPr>
            </w:pPr>
          </w:p>
        </w:tc>
        <w:tc>
          <w:tcPr>
            <w:tcW w:w="594" w:type="dxa"/>
            <w:tcBorders>
              <w:top w:val="single" w:color="auto" w:sz="12" w:space="0"/>
              <w:left w:val="single" w:color="auto" w:sz="6" w:space="0"/>
              <w:bottom w:val="nil"/>
              <w:right w:val="single" w:color="auto" w:sz="12" w:space="0"/>
            </w:tcBorders>
            <w:noWrap w:val="0"/>
            <w:vAlign w:val="top"/>
          </w:tcPr>
          <w:p w14:paraId="32A9BD9E">
            <w:pPr>
              <w:rPr>
                <w:rFonts w:hint="eastAsia" w:ascii="宋体" w:hAnsi="宋体" w:eastAsia="宋体" w:cs="宋体"/>
                <w:color w:val="auto"/>
                <w:szCs w:val="24"/>
                <w:highlight w:val="none"/>
              </w:rPr>
            </w:pPr>
          </w:p>
        </w:tc>
      </w:tr>
      <w:tr w14:paraId="1DD949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9" w:hRule="atLeast"/>
          <w:jc w:val="center"/>
        </w:trPr>
        <w:tc>
          <w:tcPr>
            <w:tcW w:w="737" w:type="dxa"/>
            <w:tcBorders>
              <w:top w:val="nil"/>
            </w:tcBorders>
            <w:noWrap w:val="0"/>
            <w:vAlign w:val="top"/>
          </w:tcPr>
          <w:p w14:paraId="529B13AC">
            <w:pPr>
              <w:rPr>
                <w:rFonts w:hint="eastAsia" w:ascii="宋体" w:hAnsi="宋体" w:eastAsia="宋体" w:cs="宋体"/>
                <w:color w:val="auto"/>
                <w:szCs w:val="24"/>
                <w:highlight w:val="none"/>
              </w:rPr>
            </w:pPr>
          </w:p>
        </w:tc>
        <w:tc>
          <w:tcPr>
            <w:tcW w:w="1276" w:type="dxa"/>
            <w:tcBorders>
              <w:top w:val="nil"/>
            </w:tcBorders>
            <w:noWrap w:val="0"/>
            <w:vAlign w:val="top"/>
          </w:tcPr>
          <w:p w14:paraId="5B9AA53E">
            <w:pPr>
              <w:rPr>
                <w:rFonts w:hint="eastAsia" w:ascii="宋体" w:hAnsi="宋体" w:eastAsia="宋体" w:cs="宋体"/>
                <w:color w:val="auto"/>
                <w:szCs w:val="24"/>
                <w:highlight w:val="none"/>
              </w:rPr>
            </w:pPr>
          </w:p>
        </w:tc>
        <w:tc>
          <w:tcPr>
            <w:tcW w:w="2401" w:type="dxa"/>
            <w:tcBorders>
              <w:top w:val="nil"/>
            </w:tcBorders>
            <w:noWrap w:val="0"/>
            <w:vAlign w:val="top"/>
          </w:tcPr>
          <w:p w14:paraId="5213C952">
            <w:pPr>
              <w:rPr>
                <w:rFonts w:hint="eastAsia" w:ascii="宋体" w:hAnsi="宋体" w:eastAsia="宋体" w:cs="宋体"/>
                <w:color w:val="auto"/>
                <w:szCs w:val="24"/>
                <w:highlight w:val="none"/>
              </w:rPr>
            </w:pPr>
          </w:p>
        </w:tc>
        <w:tc>
          <w:tcPr>
            <w:tcW w:w="2648" w:type="dxa"/>
            <w:tcBorders>
              <w:top w:val="nil"/>
            </w:tcBorders>
            <w:noWrap w:val="0"/>
            <w:vAlign w:val="top"/>
          </w:tcPr>
          <w:p w14:paraId="76E0BF58">
            <w:pPr>
              <w:rPr>
                <w:rFonts w:hint="eastAsia" w:ascii="宋体" w:hAnsi="宋体" w:eastAsia="宋体" w:cs="宋体"/>
                <w:color w:val="auto"/>
                <w:szCs w:val="24"/>
                <w:highlight w:val="none"/>
              </w:rPr>
            </w:pPr>
          </w:p>
        </w:tc>
        <w:tc>
          <w:tcPr>
            <w:tcW w:w="1188" w:type="dxa"/>
            <w:tcBorders>
              <w:top w:val="nil"/>
            </w:tcBorders>
            <w:noWrap w:val="0"/>
            <w:vAlign w:val="top"/>
          </w:tcPr>
          <w:p w14:paraId="34364B82">
            <w:pPr>
              <w:rPr>
                <w:rFonts w:hint="eastAsia" w:ascii="宋体" w:hAnsi="宋体" w:eastAsia="宋体" w:cs="宋体"/>
                <w:color w:val="auto"/>
                <w:szCs w:val="24"/>
                <w:highlight w:val="none"/>
              </w:rPr>
            </w:pPr>
          </w:p>
        </w:tc>
        <w:tc>
          <w:tcPr>
            <w:tcW w:w="594" w:type="dxa"/>
            <w:tcBorders>
              <w:top w:val="nil"/>
            </w:tcBorders>
            <w:noWrap w:val="0"/>
            <w:vAlign w:val="top"/>
          </w:tcPr>
          <w:p w14:paraId="7D4EC7D4">
            <w:pPr>
              <w:rPr>
                <w:rFonts w:hint="eastAsia" w:ascii="宋体" w:hAnsi="宋体" w:eastAsia="宋体" w:cs="宋体"/>
                <w:color w:val="auto"/>
                <w:szCs w:val="24"/>
                <w:highlight w:val="none"/>
              </w:rPr>
            </w:pPr>
          </w:p>
        </w:tc>
      </w:tr>
    </w:tbl>
    <w:p w14:paraId="5A0C4C09">
      <w:pPr>
        <w:rPr>
          <w:rFonts w:hint="eastAsia" w:ascii="宋体" w:hAnsi="宋体" w:eastAsia="宋体" w:cs="宋体"/>
          <w:color w:val="auto"/>
          <w:highlight w:val="none"/>
        </w:rPr>
      </w:pPr>
    </w:p>
    <w:p w14:paraId="70295579">
      <w:pPr>
        <w:rPr>
          <w:rFonts w:hint="eastAsia" w:ascii="宋体" w:hAnsi="宋体" w:eastAsia="宋体" w:cs="宋体"/>
          <w:color w:val="auto"/>
          <w:highlight w:val="none"/>
        </w:rPr>
      </w:pPr>
    </w:p>
    <w:p w14:paraId="77113863">
      <w:pPr>
        <w:rPr>
          <w:rFonts w:hint="eastAsia" w:ascii="宋体" w:hAnsi="宋体" w:eastAsia="宋体" w:cs="宋体"/>
          <w:color w:val="auto"/>
          <w:szCs w:val="24"/>
          <w:highlight w:val="none"/>
        </w:rPr>
      </w:pPr>
    </w:p>
    <w:p w14:paraId="7CB2794B">
      <w:pPr>
        <w:spacing w:line="280" w:lineRule="exact"/>
        <w:ind w:firstLine="120" w:firstLineChars="50"/>
        <w:rPr>
          <w:rFonts w:hint="eastAsia" w:ascii="宋体" w:hAnsi="宋体" w:eastAsia="宋体" w:cs="宋体"/>
          <w:color w:val="auto"/>
          <w:szCs w:val="24"/>
          <w:highlight w:val="none"/>
        </w:rPr>
      </w:pPr>
      <w:r>
        <w:rPr>
          <w:rFonts w:hint="eastAsia" w:ascii="宋体" w:hAnsi="宋体" w:eastAsia="宋体" w:cs="宋体"/>
          <w:color w:val="auto"/>
          <w:highlight w:val="none"/>
        </w:rPr>
        <w:t>法定代表人或被授权人（签字或盖章）</w:t>
      </w:r>
      <w:r>
        <w:rPr>
          <w:rFonts w:hint="eastAsia" w:ascii="宋体" w:hAnsi="宋体" w:eastAsia="宋体" w:cs="宋体"/>
          <w:color w:val="auto"/>
          <w:szCs w:val="24"/>
          <w:highlight w:val="none"/>
        </w:rPr>
        <w:t>:</w:t>
      </w:r>
    </w:p>
    <w:p w14:paraId="79CE9C79">
      <w:pPr>
        <w:tabs>
          <w:tab w:val="left" w:pos="3045"/>
        </w:tabs>
        <w:spacing w:line="280" w:lineRule="exact"/>
        <w:rPr>
          <w:rFonts w:hint="eastAsia" w:ascii="宋体" w:hAnsi="宋体" w:eastAsia="宋体" w:cs="宋体"/>
          <w:color w:val="auto"/>
          <w:szCs w:val="24"/>
          <w:highlight w:val="none"/>
        </w:rPr>
      </w:pPr>
    </w:p>
    <w:p w14:paraId="5F7EDE66">
      <w:pPr>
        <w:spacing w:line="280" w:lineRule="exact"/>
        <w:rPr>
          <w:rFonts w:hint="eastAsia" w:ascii="宋体" w:hAnsi="宋体" w:eastAsia="宋体" w:cs="宋体"/>
          <w:color w:val="auto"/>
          <w:szCs w:val="24"/>
          <w:highlight w:val="none"/>
        </w:rPr>
      </w:pPr>
    </w:p>
    <w:p w14:paraId="2243EEAC">
      <w:pPr>
        <w:spacing w:line="280" w:lineRule="exact"/>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公      章：</w:t>
      </w:r>
    </w:p>
    <w:p w14:paraId="26257E83">
      <w:pPr>
        <w:rPr>
          <w:rFonts w:hint="eastAsia" w:ascii="宋体" w:hAnsi="宋体" w:eastAsia="宋体" w:cs="宋体"/>
          <w:color w:val="auto"/>
          <w:szCs w:val="24"/>
          <w:highlight w:val="none"/>
        </w:rPr>
      </w:pPr>
    </w:p>
    <w:p w14:paraId="37A3DFA0">
      <w:pPr>
        <w:spacing w:line="360" w:lineRule="auto"/>
        <w:ind w:left="1560" w:hanging="1560" w:hangingChars="65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  1.  ☆1指招标文件中的技术规格(参数),供应商应按照招标文件中的内容逐条抄写。</w:t>
      </w:r>
    </w:p>
    <w:p w14:paraId="6EF74531">
      <w:pPr>
        <w:spacing w:line="360" w:lineRule="auto"/>
        <w:ind w:left="1560" w:hanging="1560" w:hangingChars="65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2.  ☆2指供应商拟提供的招标产品的功能及技术规格(参数),供应商应逐条如实填写并提供相应的支持文件。 </w:t>
      </w:r>
    </w:p>
    <w:p w14:paraId="582D1A3F">
      <w:pPr>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highlight w:val="none"/>
        </w:rPr>
        <w:t>3.     偏离说明填写：优于、满足或低于。</w:t>
      </w:r>
    </w:p>
    <w:p w14:paraId="46CCC80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D505831">
      <w:pPr>
        <w:pStyle w:val="4"/>
        <w:spacing w:before="333" w:beforeLines="100"/>
        <w:ind w:firstLine="321" w:firstLineChars="100"/>
        <w:rPr>
          <w:rFonts w:hint="eastAsia" w:ascii="宋体" w:hAnsi="宋体" w:eastAsia="宋体" w:cs="宋体"/>
          <w:color w:val="auto"/>
          <w:sz w:val="32"/>
          <w:szCs w:val="32"/>
          <w:highlight w:val="none"/>
        </w:rPr>
      </w:pPr>
      <w:bookmarkStart w:id="153" w:name="_Toc9218"/>
      <w:bookmarkStart w:id="154" w:name="_Toc23455"/>
      <w:bookmarkStart w:id="155" w:name="_Toc403077655"/>
      <w:bookmarkStart w:id="156" w:name="_Toc363474032"/>
      <w:bookmarkStart w:id="157" w:name="_Toc21284"/>
      <w:bookmarkStart w:id="158" w:name="_Toc426457713"/>
      <w:bookmarkStart w:id="159" w:name="_Toc1379"/>
      <w:bookmarkStart w:id="160" w:name="_Toc2621"/>
      <w:bookmarkStart w:id="161" w:name="_Toc17364"/>
      <w:bookmarkStart w:id="162" w:name="_Toc19497"/>
      <w:bookmarkStart w:id="163" w:name="_Toc2700"/>
      <w:bookmarkStart w:id="164" w:name="_Toc13421"/>
      <w:bookmarkStart w:id="165" w:name="_Toc4633"/>
      <w:bookmarkStart w:id="166" w:name="_Toc19142"/>
      <w:r>
        <w:rPr>
          <w:rFonts w:hint="eastAsia" w:ascii="宋体" w:hAnsi="宋体" w:eastAsia="宋体" w:cs="宋体"/>
          <w:color w:val="auto"/>
          <w:sz w:val="32"/>
          <w:szCs w:val="32"/>
          <w:highlight w:val="none"/>
        </w:rPr>
        <w:t>四、</w:t>
      </w:r>
      <w:bookmarkEnd w:id="153"/>
      <w:bookmarkEnd w:id="154"/>
      <w:bookmarkEnd w:id="155"/>
      <w:bookmarkEnd w:id="156"/>
      <w:bookmarkEnd w:id="157"/>
      <w:bookmarkEnd w:id="158"/>
      <w:bookmarkEnd w:id="159"/>
      <w:bookmarkEnd w:id="160"/>
      <w:r>
        <w:rPr>
          <w:rFonts w:hint="eastAsia" w:ascii="宋体" w:hAnsi="宋体" w:eastAsia="宋体" w:cs="宋体"/>
          <w:color w:val="auto"/>
          <w:sz w:val="32"/>
          <w:szCs w:val="32"/>
          <w:highlight w:val="none"/>
        </w:rPr>
        <w:t>商务条款偏离表</w:t>
      </w:r>
      <w:bookmarkEnd w:id="161"/>
      <w:bookmarkEnd w:id="162"/>
      <w:bookmarkEnd w:id="163"/>
      <w:bookmarkEnd w:id="164"/>
      <w:bookmarkEnd w:id="165"/>
      <w:bookmarkEnd w:id="166"/>
    </w:p>
    <w:p w14:paraId="0AF39CCD">
      <w:pPr>
        <w:pStyle w:val="17"/>
        <w:widowControl w:val="0"/>
        <w:spacing w:before="166" w:beforeLines="50" w:beforeAutospacing="0" w:after="166" w:afterLines="5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3F5B3106">
      <w:pPr>
        <w:pStyle w:val="17"/>
        <w:widowControl w:val="0"/>
        <w:spacing w:before="166" w:beforeLines="50" w:beforeAutospacing="0" w:after="166" w:afterLines="5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项目</w:t>
      </w:r>
      <w:r>
        <w:rPr>
          <w:rFonts w:hint="eastAsia" w:ascii="宋体" w:hAnsi="宋体" w:eastAsia="宋体" w:cs="宋体"/>
          <w:color w:val="auto"/>
          <w:highlight w:val="none"/>
          <w:lang w:eastAsia="zh-CN"/>
        </w:rPr>
        <w:t>编号</w:t>
      </w:r>
      <w:r>
        <w:rPr>
          <w:rFonts w:hint="eastAsia" w:ascii="宋体" w:hAnsi="宋体" w:eastAsia="宋体" w:cs="宋体"/>
          <w:color w:val="auto"/>
          <w:highlight w:val="none"/>
        </w:rPr>
        <w:t>：</w:t>
      </w:r>
    </w:p>
    <w:tbl>
      <w:tblPr>
        <w:tblStyle w:val="21"/>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F34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55C6AF">
            <w:pPr>
              <w:pStyle w:val="17"/>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F031509">
            <w:pPr>
              <w:pStyle w:val="17"/>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DBF80E9">
            <w:pPr>
              <w:pStyle w:val="17"/>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6AC5970">
            <w:pPr>
              <w:pStyle w:val="17"/>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5976F0E">
            <w:pPr>
              <w:pStyle w:val="17"/>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31AB72DF">
            <w:pPr>
              <w:pStyle w:val="17"/>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说明</w:t>
            </w:r>
          </w:p>
        </w:tc>
      </w:tr>
      <w:tr w14:paraId="7EBD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937C5AB">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B87C0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51F72D9">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52FA97B">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515D81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A560D2">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5895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0FD54C8">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2B71D10">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06B01D3">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7D1C375">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3452BC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33A780B">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6283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5A95175">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909AD8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55073E7">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EF1D020">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126FC3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B2CE09">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2443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0449ABB">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5043AE4">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232E8C4">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AD0990D">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9B01463">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691E7A30">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3642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F0E30B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7EB73777">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0570F0D">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2EB5F67">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A426F14">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84FF4D5">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0E5C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7856DE9">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71C4FC48">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762B232">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8EDDB6E">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E27B9CC">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CD8D43">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0C5D3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F3F7976">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8A0ADA3">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E3B6565">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6AFC5C">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6C4398C">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D10FE02">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tc>
      </w:tr>
    </w:tbl>
    <w:p w14:paraId="38F79E89">
      <w:pPr>
        <w:pStyle w:val="17"/>
        <w:widowControl w:val="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说明：</w:t>
      </w:r>
    </w:p>
    <w:p w14:paraId="3AE591A0">
      <w:pPr>
        <w:pStyle w:val="17"/>
        <w:widowControl w:val="0"/>
        <w:spacing w:before="0" w:beforeAutospacing="0" w:after="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1.本表只填写投标文件中与招标文件有偏离（包括正偏离和负偏离）的内容，投标文件中商务响应与招标文件要求完全一致的，不用在此表中列出，但必须提交空白表。</w:t>
      </w:r>
    </w:p>
    <w:p w14:paraId="4EB89863">
      <w:pPr>
        <w:pStyle w:val="17"/>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2.供应商必须据实填写，不得虚假响应，否则将取消其投标或中标资格，并按有关规定进处罚。</w:t>
      </w:r>
    </w:p>
    <w:p w14:paraId="7C5F55B7">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p w14:paraId="090614AD">
      <w:pPr>
        <w:pStyle w:val="17"/>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（单位公章）</w:t>
      </w:r>
    </w:p>
    <w:p w14:paraId="093E1D29">
      <w:pPr>
        <w:pStyle w:val="17"/>
        <w:widowControl w:val="0"/>
        <w:spacing w:before="0" w:beforeAutospacing="0" w:after="0" w:afterAutospacing="0"/>
        <w:ind w:firstLine="480" w:firstLineChars="200"/>
        <w:jc w:val="center"/>
        <w:rPr>
          <w:rFonts w:hint="eastAsia" w:ascii="宋体" w:hAnsi="宋体" w:eastAsia="宋体" w:cs="宋体"/>
          <w:color w:val="auto"/>
          <w:highlight w:val="none"/>
        </w:rPr>
      </w:pPr>
    </w:p>
    <w:p w14:paraId="315876B9">
      <w:pPr>
        <w:pStyle w:val="17"/>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w:t>
      </w:r>
    </w:p>
    <w:p w14:paraId="66FD32F2">
      <w:pPr>
        <w:jc w:val="center"/>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167" w:name="_Toc10058"/>
      <w:bookmarkStart w:id="168" w:name="_Toc426457714"/>
      <w:bookmarkStart w:id="169" w:name="_Toc22990"/>
      <w:bookmarkStart w:id="170" w:name="_Toc403077656"/>
      <w:bookmarkStart w:id="171" w:name="_Toc8692"/>
      <w:bookmarkStart w:id="172" w:name="_Toc363474033"/>
      <w:bookmarkStart w:id="173" w:name="_Toc10179"/>
      <w:bookmarkStart w:id="174" w:name="_Toc6432"/>
      <w:bookmarkStart w:id="175" w:name="_Toc6862"/>
      <w:bookmarkStart w:id="176" w:name="_Toc26290"/>
      <w:bookmarkStart w:id="177" w:name="_Toc8857"/>
      <w:bookmarkStart w:id="178" w:name="_Toc24011"/>
      <w:bookmarkStart w:id="179" w:name="_Toc8659"/>
      <w:bookmarkStart w:id="180" w:name="_Toc13133"/>
      <w:r>
        <w:rPr>
          <w:rStyle w:val="29"/>
          <w:rFonts w:hint="eastAsia" w:ascii="宋体" w:hAnsi="宋体" w:eastAsia="宋体" w:cs="宋体"/>
          <w:color w:val="auto"/>
          <w:sz w:val="32"/>
          <w:szCs w:val="32"/>
          <w:highlight w:val="none"/>
        </w:rPr>
        <w:t>五、</w:t>
      </w:r>
      <w:bookmarkEnd w:id="167"/>
      <w:bookmarkEnd w:id="168"/>
      <w:bookmarkEnd w:id="169"/>
      <w:bookmarkEnd w:id="170"/>
      <w:bookmarkEnd w:id="171"/>
      <w:bookmarkEnd w:id="172"/>
      <w:bookmarkEnd w:id="173"/>
      <w:bookmarkEnd w:id="174"/>
      <w:bookmarkEnd w:id="175"/>
      <w:r>
        <w:rPr>
          <w:rStyle w:val="29"/>
          <w:rFonts w:hint="eastAsia" w:ascii="宋体" w:hAnsi="宋体" w:eastAsia="宋体" w:cs="宋体"/>
          <w:color w:val="auto"/>
          <w:sz w:val="32"/>
          <w:szCs w:val="32"/>
          <w:highlight w:val="none"/>
        </w:rPr>
        <w:t>陕西省政府采购供应商拒绝政府采购领域商业贿赂承诺书</w:t>
      </w:r>
      <w:bookmarkEnd w:id="176"/>
      <w:bookmarkEnd w:id="177"/>
      <w:bookmarkEnd w:id="178"/>
      <w:bookmarkEnd w:id="179"/>
      <w:bookmarkEnd w:id="180"/>
    </w:p>
    <w:p w14:paraId="627E4BC1">
      <w:pPr>
        <w:widowControl/>
        <w:spacing w:line="408" w:lineRule="auto"/>
        <w:ind w:left="274" w:leftChars="114" w:firstLine="470" w:firstLineChars="196"/>
        <w:jc w:val="left"/>
        <w:rPr>
          <w:rFonts w:hint="eastAsia" w:ascii="宋体" w:hAnsi="宋体" w:eastAsia="宋体" w:cs="宋体"/>
          <w:color w:val="auto"/>
          <w:highlight w:val="none"/>
        </w:rPr>
      </w:pPr>
      <w:r>
        <w:rPr>
          <w:rFonts w:hint="eastAsia" w:ascii="宋体" w:hAnsi="宋体" w:eastAsia="宋体" w:cs="宋体"/>
          <w:color w:val="auto"/>
          <w:highlight w:val="none"/>
        </w:rPr>
        <w:t>为响应党中央、国务院关于治理政府采购领域商业贿赂行为的号召，我公司在此庄严承诺：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1、在参与政府采购活动中遵纪守法、诚信经营、公平竞标。</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2、不向政府采购人、采购代理机构和政府采购评审专家进行任何形式的商业贿赂以谋取交易机会。</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3、不向政府采购代理机构和采购人提供虚假资质文件或采用虚假应标方式参与政府采购市场竞争并谋取中标、成交。</w:t>
      </w:r>
      <w:r>
        <w:rPr>
          <w:rFonts w:hint="eastAsia" w:ascii="宋体" w:hAnsi="宋体" w:eastAsia="宋体" w:cs="宋体"/>
          <w:color w:val="auto"/>
          <w:highlight w:val="none"/>
        </w:rPr>
        <w:br w:type="textWrapping"/>
      </w:r>
      <w:r>
        <w:rPr>
          <w:rFonts w:hint="eastAsia" w:ascii="宋体" w:hAnsi="宋体" w:eastAsia="宋体" w:cs="宋体"/>
          <w:color w:val="auto"/>
          <w:highlight w:val="none"/>
        </w:rPr>
        <w:t>4、不采取“围标、陪标”等商业欺诈手段获得政府采购定单。</w:t>
      </w:r>
      <w:r>
        <w:rPr>
          <w:rFonts w:hint="eastAsia" w:ascii="宋体" w:hAnsi="宋体" w:eastAsia="宋体" w:cs="宋体"/>
          <w:color w:val="auto"/>
          <w:highlight w:val="none"/>
        </w:rPr>
        <w:br w:type="textWrapping"/>
      </w:r>
      <w:r>
        <w:rPr>
          <w:rFonts w:hint="eastAsia" w:ascii="宋体" w:hAnsi="宋体" w:eastAsia="宋体" w:cs="宋体"/>
          <w:color w:val="auto"/>
          <w:highlight w:val="none"/>
        </w:rPr>
        <w:t>5、不采取不正当手段诋毁、排挤其他供应商。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6、不在提供商品和服务时“偷梁换柱、以次充好”损害采购人的合法权益。</w:t>
      </w:r>
      <w:r>
        <w:rPr>
          <w:rFonts w:hint="eastAsia" w:ascii="宋体" w:hAnsi="宋体" w:eastAsia="宋体" w:cs="宋体"/>
          <w:color w:val="auto"/>
          <w:highlight w:val="none"/>
        </w:rPr>
        <w:br w:type="textWrapping"/>
      </w:r>
      <w:r>
        <w:rPr>
          <w:rFonts w:hint="eastAsia" w:ascii="宋体" w:hAnsi="宋体" w:eastAsia="宋体" w:cs="宋体"/>
          <w:color w:val="auto"/>
          <w:highlight w:val="none"/>
        </w:rPr>
        <w:t>7、不与采购人、采购代理机构政府采购评审专家或其它供应商恶意串通，进行质疑和投诉，维护政府采购市场秩序。</w:t>
      </w:r>
      <w:r>
        <w:rPr>
          <w:rFonts w:hint="eastAsia" w:ascii="宋体" w:hAnsi="宋体" w:eastAsia="宋体" w:cs="宋体"/>
          <w:color w:val="auto"/>
          <w:highlight w:val="none"/>
        </w:rPr>
        <w:br w:type="textWrapping"/>
      </w:r>
      <w:r>
        <w:rPr>
          <w:rFonts w:hint="eastAsia" w:ascii="宋体" w:hAnsi="宋体" w:eastAsia="宋体" w:cs="宋体"/>
          <w:color w:val="auto"/>
          <w:highlight w:val="none"/>
        </w:rPr>
        <w:t>8、尊重和接受政府采购监督管理部门的监督和政府采购代理机构招标采购要求，承担因违约行为给采购人造成的损失。</w:t>
      </w:r>
      <w:r>
        <w:rPr>
          <w:rFonts w:hint="eastAsia" w:ascii="宋体" w:hAnsi="宋体" w:eastAsia="宋体" w:cs="宋体"/>
          <w:color w:val="auto"/>
          <w:highlight w:val="none"/>
        </w:rPr>
        <w:br w:type="textWrapping"/>
      </w:r>
      <w:r>
        <w:rPr>
          <w:rFonts w:hint="eastAsia" w:ascii="宋体" w:hAnsi="宋体" w:eastAsia="宋体" w:cs="宋体"/>
          <w:color w:val="auto"/>
          <w:highlight w:val="none"/>
        </w:rPr>
        <w:t>9、不发生其他有悖于政府采购公开、公平、公正和诚信原则的行为。</w:t>
      </w:r>
      <w:r>
        <w:rPr>
          <w:rFonts w:hint="eastAsia" w:ascii="宋体" w:hAnsi="宋体" w:eastAsia="宋体" w:cs="宋体"/>
          <w:color w:val="auto"/>
          <w:highlight w:val="none"/>
        </w:rPr>
        <w:br w:type="textWrapping"/>
      </w:r>
    </w:p>
    <w:p w14:paraId="75585C9B">
      <w:pPr>
        <w:widowControl/>
        <w:spacing w:line="408" w:lineRule="auto"/>
        <w:ind w:left="274" w:leftChars="114"/>
        <w:jc w:val="left"/>
        <w:rPr>
          <w:rFonts w:hint="eastAsia" w:ascii="宋体" w:hAnsi="宋体" w:eastAsia="宋体" w:cs="宋体"/>
          <w:color w:val="auto"/>
          <w:highlight w:val="none"/>
        </w:rPr>
      </w:pPr>
      <w:r>
        <w:rPr>
          <w:rFonts w:hint="eastAsia" w:ascii="宋体" w:hAnsi="宋体" w:eastAsia="宋体" w:cs="宋体"/>
          <w:color w:val="auto"/>
          <w:highlight w:val="none"/>
        </w:rPr>
        <w:t>承诺单位：（盖章）</w:t>
      </w:r>
      <w:r>
        <w:rPr>
          <w:rFonts w:hint="eastAsia" w:ascii="宋体" w:hAnsi="宋体" w:eastAsia="宋体" w:cs="宋体"/>
          <w:color w:val="auto"/>
          <w:highlight w:val="none"/>
        </w:rPr>
        <w:br w:type="textWrapping"/>
      </w:r>
      <w:r>
        <w:rPr>
          <w:rFonts w:hint="eastAsia" w:ascii="宋体" w:hAnsi="宋体" w:eastAsia="宋体" w:cs="宋体"/>
          <w:color w:val="auto"/>
          <w:highlight w:val="none"/>
        </w:rPr>
        <w:t>全权代表：（</w:t>
      </w:r>
      <w:r>
        <w:rPr>
          <w:rFonts w:hint="eastAsia" w:ascii="宋体" w:hAnsi="宋体" w:eastAsia="宋体" w:cs="宋体"/>
          <w:color w:val="auto"/>
          <w:szCs w:val="24"/>
          <w:highlight w:val="none"/>
        </w:rPr>
        <w:t>签字</w:t>
      </w:r>
      <w:r>
        <w:rPr>
          <w:rFonts w:hint="eastAsia" w:ascii="宋体" w:hAnsi="宋体" w:eastAsia="宋体" w:cs="宋体"/>
          <w:color w:val="auto"/>
          <w:highlight w:val="none"/>
        </w:rPr>
        <w:t>）：</w:t>
      </w:r>
      <w:r>
        <w:rPr>
          <w:rFonts w:hint="eastAsia" w:ascii="宋体" w:hAnsi="宋体" w:eastAsia="宋体" w:cs="宋体"/>
          <w:color w:val="auto"/>
          <w:highlight w:val="none"/>
        </w:rPr>
        <w:br w:type="textWrapping"/>
      </w:r>
      <w:r>
        <w:rPr>
          <w:rFonts w:hint="eastAsia" w:ascii="宋体" w:hAnsi="宋体" w:eastAsia="宋体" w:cs="宋体"/>
          <w:color w:val="auto"/>
          <w:highlight w:val="none"/>
        </w:rPr>
        <w:t>地  址：                        </w:t>
      </w:r>
    </w:p>
    <w:p w14:paraId="78BDEA40">
      <w:pPr>
        <w:widowControl/>
        <w:spacing w:line="408" w:lineRule="auto"/>
        <w:ind w:left="274" w:leftChars="114"/>
        <w:jc w:val="left"/>
        <w:rPr>
          <w:rFonts w:hint="eastAsia" w:ascii="宋体" w:hAnsi="宋体" w:eastAsia="宋体" w:cs="宋体"/>
          <w:color w:val="auto"/>
          <w:highlight w:val="none"/>
        </w:rPr>
      </w:pPr>
      <w:r>
        <w:rPr>
          <w:rFonts w:hint="eastAsia" w:ascii="宋体" w:hAnsi="宋体" w:eastAsia="宋体" w:cs="宋体"/>
          <w:color w:val="auto"/>
          <w:highlight w:val="none"/>
        </w:rPr>
        <w:t>邮  编：</w:t>
      </w:r>
      <w:r>
        <w:rPr>
          <w:rFonts w:hint="eastAsia" w:ascii="宋体" w:hAnsi="宋体" w:eastAsia="宋体" w:cs="宋体"/>
          <w:color w:val="auto"/>
          <w:highlight w:val="none"/>
        </w:rPr>
        <w:br w:type="textWrapping"/>
      </w:r>
      <w:r>
        <w:rPr>
          <w:rFonts w:hint="eastAsia" w:ascii="宋体" w:hAnsi="宋体" w:eastAsia="宋体" w:cs="宋体"/>
          <w:color w:val="auto"/>
          <w:highlight w:val="none"/>
        </w:rPr>
        <w:t>电  话：                                                                   年  月  日</w:t>
      </w:r>
    </w:p>
    <w:p w14:paraId="2F85EF87">
      <w:pPr>
        <w:pStyle w:val="4"/>
        <w:spacing w:before="333" w:beforeLines="100"/>
        <w:rPr>
          <w:rFonts w:hint="eastAsia" w:ascii="宋体" w:hAnsi="宋体" w:eastAsia="宋体" w:cs="宋体"/>
          <w:color w:val="auto"/>
          <w:sz w:val="32"/>
          <w:szCs w:val="32"/>
          <w:highlight w:val="none"/>
        </w:rPr>
      </w:pPr>
      <w:bookmarkStart w:id="181" w:name="_Toc27947"/>
      <w:bookmarkStart w:id="182" w:name="_Toc426457715"/>
      <w:bookmarkStart w:id="183" w:name="_Toc22335"/>
      <w:bookmarkStart w:id="184" w:name="_Toc28113"/>
      <w:bookmarkStart w:id="185" w:name="_Toc5679"/>
      <w:bookmarkStart w:id="186" w:name="_Toc403077657"/>
      <w:bookmarkStart w:id="187" w:name="_Toc3206"/>
      <w:bookmarkStart w:id="188" w:name="_Toc155"/>
      <w:bookmarkStart w:id="189" w:name="_Toc491"/>
      <w:bookmarkStart w:id="190" w:name="_Toc20139"/>
      <w:bookmarkStart w:id="191" w:name="_Toc7550"/>
      <w:bookmarkStart w:id="192" w:name="_Toc363474034"/>
      <w:bookmarkStart w:id="193" w:name="_Toc8066"/>
      <w:bookmarkStart w:id="194" w:name="_Toc21171"/>
      <w:r>
        <w:rPr>
          <w:rFonts w:hint="eastAsia" w:ascii="宋体" w:hAnsi="宋体" w:eastAsia="宋体" w:cs="宋体"/>
          <w:color w:val="auto"/>
          <w:sz w:val="32"/>
          <w:szCs w:val="32"/>
          <w:highlight w:val="none"/>
        </w:rPr>
        <w:t>六、资格证明文件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0B7AB6AC">
      <w:pPr>
        <w:spacing w:line="480" w:lineRule="auto"/>
        <w:rPr>
          <w:rFonts w:hint="eastAsia"/>
          <w:color w:val="auto"/>
          <w:highlight w:val="none"/>
        </w:rPr>
      </w:pPr>
      <w:r>
        <w:rPr>
          <w:rFonts w:hint="eastAsia"/>
          <w:color w:val="auto"/>
          <w:highlight w:val="none"/>
        </w:rPr>
        <w:t>(1)具有独立承担民事责任能力的法人、其他组织或自然人，并出具合法有效的统一社会信用代码的营业执照或事业单位法人证书等国家规定的相关证明，自然人参与的提供其身份证明；</w:t>
      </w:r>
    </w:p>
    <w:p w14:paraId="73C367E9">
      <w:pPr>
        <w:spacing w:line="480" w:lineRule="auto"/>
        <w:rPr>
          <w:rFonts w:hint="eastAsia"/>
          <w:color w:val="auto"/>
          <w:highlight w:val="none"/>
        </w:rPr>
      </w:pPr>
      <w:r>
        <w:rPr>
          <w:rFonts w:hint="eastAsia"/>
          <w:color w:val="auto"/>
          <w:highlight w:val="none"/>
        </w:rPr>
        <w:t>(2)提供法定代表人授权书（附法定代表人、被授权人身份证复印件），法定代表人直接参加投标，须提供法定代表人身份证明（附法定代表人身份证复印件）；</w:t>
      </w:r>
    </w:p>
    <w:p w14:paraId="4791901F">
      <w:pPr>
        <w:spacing w:line="480" w:lineRule="auto"/>
        <w:rPr>
          <w:rFonts w:hint="eastAsia"/>
          <w:color w:val="auto"/>
          <w:highlight w:val="none"/>
        </w:rPr>
      </w:pPr>
      <w:r>
        <w:rPr>
          <w:rFonts w:hint="eastAsia"/>
          <w:color w:val="auto"/>
          <w:highlight w:val="none"/>
        </w:rPr>
        <w:t>(3)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p>
    <w:p w14:paraId="187E85D6">
      <w:pPr>
        <w:spacing w:line="480" w:lineRule="auto"/>
        <w:rPr>
          <w:rFonts w:hint="eastAsia"/>
          <w:color w:val="auto"/>
          <w:highlight w:val="none"/>
        </w:rPr>
      </w:pPr>
      <w:r>
        <w:rPr>
          <w:rFonts w:hint="eastAsia"/>
          <w:color w:val="auto"/>
          <w:highlight w:val="none"/>
        </w:rPr>
        <w:t>(4)提供投标截止日前近一年内至少一个月的纳税证明或完税证明，依法免税的单位应提供相关证明材料；</w:t>
      </w:r>
    </w:p>
    <w:p w14:paraId="594CBBB5">
      <w:pPr>
        <w:spacing w:line="480" w:lineRule="auto"/>
        <w:rPr>
          <w:rFonts w:hint="eastAsia"/>
          <w:color w:val="auto"/>
          <w:highlight w:val="none"/>
        </w:rPr>
      </w:pPr>
      <w:r>
        <w:rPr>
          <w:rFonts w:hint="eastAsia"/>
          <w:color w:val="auto"/>
          <w:highlight w:val="none"/>
        </w:rPr>
        <w:t>(5)提供投标截止日前近一年内至少一个月的社会保障资金缴存单据或社保机构开具的社会保险 参保缴费情况证明，依法不需要缴纳社会保障资金的单位应提供相关证明材料；</w:t>
      </w:r>
    </w:p>
    <w:p w14:paraId="63944550">
      <w:pPr>
        <w:spacing w:line="480" w:lineRule="auto"/>
        <w:rPr>
          <w:rFonts w:hint="eastAsia"/>
          <w:color w:val="auto"/>
          <w:highlight w:val="none"/>
        </w:rPr>
      </w:pPr>
      <w:r>
        <w:rPr>
          <w:rFonts w:hint="eastAsia"/>
          <w:color w:val="auto"/>
          <w:highlight w:val="none"/>
        </w:rPr>
        <w:t>(6)提供具有履行本合同所必需的设备和专业技术能力的说明及承诺书；</w:t>
      </w:r>
    </w:p>
    <w:p w14:paraId="622BCCE2">
      <w:pPr>
        <w:spacing w:line="480" w:lineRule="auto"/>
        <w:rPr>
          <w:rFonts w:hint="eastAsia"/>
          <w:color w:val="auto"/>
          <w:highlight w:val="none"/>
        </w:rPr>
      </w:pPr>
      <w:r>
        <w:rPr>
          <w:rFonts w:hint="eastAsia"/>
          <w:color w:val="auto"/>
          <w:highlight w:val="none"/>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B0E5384">
      <w:pPr>
        <w:spacing w:line="480" w:lineRule="auto"/>
        <w:rPr>
          <w:rFonts w:hint="eastAsia"/>
          <w:color w:val="auto"/>
          <w:highlight w:val="none"/>
        </w:rPr>
      </w:pPr>
      <w:r>
        <w:rPr>
          <w:rFonts w:hint="eastAsia"/>
          <w:color w:val="auto"/>
          <w:highlight w:val="none"/>
        </w:rPr>
        <w:t>(8)参加政府采购活动前3年内，在经营活动中没有重大违法记录的书面声明；</w:t>
      </w:r>
    </w:p>
    <w:p w14:paraId="5AFA350C">
      <w:pPr>
        <w:spacing w:line="480" w:lineRule="auto"/>
        <w:rPr>
          <w:rFonts w:hint="eastAsia"/>
          <w:color w:val="auto"/>
          <w:highlight w:val="none"/>
        </w:rPr>
      </w:pPr>
      <w:r>
        <w:rPr>
          <w:rFonts w:hint="eastAsia"/>
          <w:color w:val="auto"/>
          <w:highlight w:val="none"/>
        </w:rPr>
        <w:t>(9)提供直接控股和管理关系清单。若与其他供应商存在单位负责人为同一人或者存在直接控股、管理关系的，则投标无效；</w:t>
      </w:r>
    </w:p>
    <w:p w14:paraId="58C2E6D3">
      <w:pPr>
        <w:spacing w:line="480" w:lineRule="auto"/>
        <w:rPr>
          <w:rFonts w:hint="eastAsia"/>
          <w:color w:val="auto"/>
          <w:highlight w:val="none"/>
        </w:rPr>
      </w:pPr>
      <w:r>
        <w:rPr>
          <w:rFonts w:hint="eastAsia"/>
          <w:color w:val="auto"/>
          <w:highlight w:val="none"/>
        </w:rPr>
        <w:t>(10)本项目专门面向中小企业采购，提供中小企业声明函；</w:t>
      </w:r>
    </w:p>
    <w:p w14:paraId="7B445193">
      <w:pPr>
        <w:spacing w:line="480" w:lineRule="auto"/>
        <w:rPr>
          <w:color w:val="auto"/>
          <w:highlight w:val="none"/>
        </w:rPr>
      </w:pPr>
      <w:r>
        <w:rPr>
          <w:rFonts w:hint="eastAsia"/>
          <w:color w:val="auto"/>
          <w:highlight w:val="none"/>
        </w:rPr>
        <w:t>(11)本项目不接受联合体投标（需提供承诺书）。</w:t>
      </w:r>
    </w:p>
    <w:p w14:paraId="1C423882">
      <w:pPr>
        <w:spacing w:line="480" w:lineRule="auto"/>
        <w:rPr>
          <w:color w:val="auto"/>
          <w:highlight w:val="none"/>
        </w:rPr>
      </w:pPr>
    </w:p>
    <w:p w14:paraId="6A9FA326">
      <w:pPr>
        <w:spacing w:line="5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后附相关格式：</w:t>
      </w:r>
    </w:p>
    <w:p w14:paraId="3DA589C9">
      <w:pPr>
        <w:pStyle w:val="8"/>
        <w:rPr>
          <w:rFonts w:hint="eastAsia" w:ascii="宋体" w:hAnsi="宋体" w:eastAsia="宋体" w:cs="宋体"/>
          <w:color w:val="auto"/>
          <w:szCs w:val="24"/>
          <w:highlight w:val="none"/>
        </w:rPr>
      </w:pPr>
    </w:p>
    <w:p w14:paraId="165E298B">
      <w:pPr>
        <w:pStyle w:val="8"/>
        <w:rPr>
          <w:rFonts w:hint="eastAsia" w:ascii="宋体" w:hAnsi="宋体" w:eastAsia="宋体" w:cs="宋体"/>
          <w:b/>
          <w:bCs/>
          <w:color w:val="auto"/>
          <w:sz w:val="30"/>
          <w:szCs w:val="30"/>
          <w:highlight w:val="none"/>
        </w:rPr>
        <w:sectPr>
          <w:type w:val="continuous"/>
          <w:pgSz w:w="11906" w:h="16838"/>
          <w:pgMar w:top="1361" w:right="1417" w:bottom="1361" w:left="1417" w:header="1134" w:footer="992" w:gutter="0"/>
          <w:pgNumType w:fmt="decimal"/>
          <w:cols w:space="720" w:num="1"/>
          <w:docGrid w:type="lines" w:linePitch="333" w:charSpace="0"/>
        </w:sectPr>
      </w:pPr>
      <w:bookmarkStart w:id="195" w:name="_Toc426457701"/>
      <w:bookmarkStart w:id="196" w:name="_Toc25348"/>
      <w:bookmarkStart w:id="197" w:name="_Toc403077649"/>
      <w:bookmarkStart w:id="198" w:name="_Toc4867"/>
      <w:bookmarkStart w:id="199" w:name="_Toc363474028"/>
      <w:bookmarkStart w:id="200" w:name="_Toc30210"/>
      <w:bookmarkStart w:id="201" w:name="_Toc19075"/>
      <w:bookmarkStart w:id="202" w:name="_Toc16097"/>
    </w:p>
    <w:bookmarkEnd w:id="195"/>
    <w:bookmarkEnd w:id="196"/>
    <w:bookmarkEnd w:id="197"/>
    <w:bookmarkEnd w:id="198"/>
    <w:bookmarkEnd w:id="199"/>
    <w:bookmarkEnd w:id="200"/>
    <w:bookmarkEnd w:id="201"/>
    <w:bookmarkEnd w:id="202"/>
    <w:p w14:paraId="5D9F42C8">
      <w:pPr>
        <w:jc w:val="center"/>
        <w:outlineLvl w:val="2"/>
        <w:rPr>
          <w:rFonts w:hint="eastAsia" w:ascii="宋体" w:hAnsi="宋体" w:eastAsia="宋体" w:cs="宋体"/>
          <w:b/>
          <w:bCs/>
          <w:color w:val="auto"/>
          <w:sz w:val="30"/>
          <w:szCs w:val="30"/>
          <w:highlight w:val="none"/>
        </w:rPr>
      </w:pPr>
      <w:bookmarkStart w:id="203" w:name="_Toc1056"/>
      <w:bookmarkStart w:id="204" w:name="_Toc7508"/>
      <w:bookmarkStart w:id="205" w:name="_Toc25505"/>
      <w:bookmarkStart w:id="206" w:name="_Toc30099"/>
      <w:r>
        <w:rPr>
          <w:rFonts w:hint="eastAsia" w:ascii="宋体" w:hAnsi="宋体" w:eastAsia="宋体" w:cs="宋体"/>
          <w:b/>
          <w:bCs/>
          <w:color w:val="auto"/>
          <w:sz w:val="30"/>
          <w:szCs w:val="30"/>
          <w:highlight w:val="none"/>
        </w:rPr>
        <w:t>七、其他</w:t>
      </w:r>
      <w:bookmarkEnd w:id="203"/>
      <w:bookmarkEnd w:id="204"/>
      <w:bookmarkEnd w:id="205"/>
      <w:bookmarkEnd w:id="206"/>
    </w:p>
    <w:p w14:paraId="760FE9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1、依据招标文件要求，供应商认为有必要说明的其他内容</w:t>
      </w:r>
    </w:p>
    <w:p w14:paraId="4BCBA1B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2、其他可以证明供应商实力的文件。</w:t>
      </w:r>
    </w:p>
    <w:p w14:paraId="387E79C5">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CBB8C05">
      <w:pPr>
        <w:adjustRightInd w:val="0"/>
        <w:snapToGrid w:val="0"/>
        <w:spacing w:line="480" w:lineRule="auto"/>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附件1：</w:t>
      </w:r>
    </w:p>
    <w:p w14:paraId="017CB852">
      <w:pPr>
        <w:adjustRightInd w:val="0"/>
        <w:snapToGrid w:val="0"/>
        <w:spacing w:line="48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法定代表人身份证明</w:t>
      </w:r>
    </w:p>
    <w:p w14:paraId="231346D8">
      <w:pPr>
        <w:autoSpaceDE w:val="0"/>
        <w:autoSpaceDN w:val="0"/>
        <w:adjustRightInd w:val="0"/>
        <w:snapToGrid w:val="0"/>
        <w:spacing w:beforeLines="50" w:line="48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01C37A58">
      <w:pPr>
        <w:autoSpaceDE w:val="0"/>
        <w:autoSpaceDN w:val="0"/>
        <w:adjustRightInd w:val="0"/>
        <w:snapToGrid w:val="0"/>
        <w:spacing w:beforeLines="50" w:line="48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u w:val="single"/>
        </w:rPr>
        <w:t xml:space="preserve">                                  </w:t>
      </w:r>
    </w:p>
    <w:p w14:paraId="736BF4EC">
      <w:pPr>
        <w:autoSpaceDE w:val="0"/>
        <w:autoSpaceDN w:val="0"/>
        <w:adjustRightInd w:val="0"/>
        <w:snapToGrid w:val="0"/>
        <w:spacing w:beforeLines="50" w:line="48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注册地址：</w:t>
      </w:r>
      <w:r>
        <w:rPr>
          <w:rFonts w:hint="eastAsia" w:ascii="宋体" w:hAnsi="宋体" w:eastAsia="宋体" w:cs="宋体"/>
          <w:color w:val="auto"/>
          <w:kern w:val="0"/>
          <w:sz w:val="24"/>
          <w:szCs w:val="24"/>
          <w:highlight w:val="none"/>
          <w:u w:val="single"/>
        </w:rPr>
        <w:t xml:space="preserve">                                          </w:t>
      </w:r>
    </w:p>
    <w:p w14:paraId="4A41C966">
      <w:pPr>
        <w:autoSpaceDE w:val="0"/>
        <w:autoSpaceDN w:val="0"/>
        <w:adjustRightInd w:val="0"/>
        <w:snapToGrid w:val="0"/>
        <w:spacing w:beforeLines="50" w:line="480" w:lineRule="auto"/>
        <w:ind w:firstLine="480" w:firstLineChars="200"/>
        <w:jc w:val="left"/>
        <w:rPr>
          <w:rFonts w:hint="eastAsia" w:ascii="宋体" w:hAnsi="宋体" w:eastAsia="宋体" w:cs="宋体"/>
          <w:strike/>
          <w:dstrike w:val="0"/>
          <w:color w:val="auto"/>
          <w:kern w:val="0"/>
          <w:sz w:val="24"/>
          <w:szCs w:val="24"/>
          <w:highlight w:val="non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年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278E6519">
      <w:pPr>
        <w:autoSpaceDE w:val="0"/>
        <w:autoSpaceDN w:val="0"/>
        <w:adjustRightInd w:val="0"/>
        <w:snapToGrid w:val="0"/>
        <w:spacing w:beforeLines="50" w:line="48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经营</w:t>
      </w:r>
      <w:r>
        <w:rPr>
          <w:rFonts w:hint="eastAsia" w:ascii="宋体" w:hAnsi="宋体" w:eastAsia="宋体" w:cs="宋体"/>
          <w:color w:val="auto"/>
          <w:kern w:val="0"/>
          <w:sz w:val="24"/>
          <w:szCs w:val="24"/>
          <w:highlight w:val="none"/>
          <w:lang w:val="en-US" w:eastAsia="zh-CN"/>
        </w:rPr>
        <w:t>期限</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029D79A9">
      <w:pPr>
        <w:autoSpaceDE w:val="0"/>
        <w:autoSpaceDN w:val="0"/>
        <w:adjustRightInd w:val="0"/>
        <w:snapToGrid w:val="0"/>
        <w:spacing w:beforeLines="50" w:line="48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性别：</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u w:val="single"/>
        </w:rPr>
        <w:t>投标人</w:t>
      </w:r>
      <w:r>
        <w:rPr>
          <w:rFonts w:hint="eastAsia" w:ascii="宋体" w:hAnsi="宋体" w:eastAsia="宋体" w:cs="宋体"/>
          <w:color w:val="auto"/>
          <w:kern w:val="0"/>
          <w:sz w:val="24"/>
          <w:szCs w:val="24"/>
          <w:highlight w:val="none"/>
          <w:u w:val="single"/>
        </w:rPr>
        <w:t xml:space="preserve">名称）    </w:t>
      </w:r>
      <w:r>
        <w:rPr>
          <w:rFonts w:hint="eastAsia" w:ascii="宋体" w:hAnsi="宋体" w:eastAsia="宋体" w:cs="宋体"/>
          <w:color w:val="auto"/>
          <w:kern w:val="0"/>
          <w:sz w:val="24"/>
          <w:szCs w:val="24"/>
          <w:highlight w:val="none"/>
        </w:rPr>
        <w:t>的法定代表人。</w:t>
      </w:r>
    </w:p>
    <w:p w14:paraId="13D7C9E8">
      <w:pPr>
        <w:autoSpaceDE w:val="0"/>
        <w:autoSpaceDN w:val="0"/>
        <w:adjustRightInd w:val="0"/>
        <w:snapToGrid w:val="0"/>
        <w:spacing w:beforeLines="50" w:line="48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2A9E0937">
      <w:pPr>
        <w:autoSpaceDE w:val="0"/>
        <w:autoSpaceDN w:val="0"/>
        <w:adjustRightInd w:val="0"/>
        <w:snapToGrid w:val="0"/>
        <w:spacing w:beforeLines="50" w:line="48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w:t>
      </w:r>
    </w:p>
    <w:tbl>
      <w:tblPr>
        <w:tblStyle w:val="21"/>
        <w:tblW w:w="6804" w:type="dxa"/>
        <w:tblInd w:w="1242" w:type="dxa"/>
        <w:tblLayout w:type="fixed"/>
        <w:tblCellMar>
          <w:top w:w="0" w:type="dxa"/>
          <w:left w:w="108" w:type="dxa"/>
          <w:bottom w:w="0" w:type="dxa"/>
          <w:right w:w="108" w:type="dxa"/>
        </w:tblCellMar>
      </w:tblPr>
      <w:tblGrid>
        <w:gridCol w:w="6804"/>
      </w:tblGrid>
      <w:tr w14:paraId="28F244F5">
        <w:tblPrEx>
          <w:tblCellMar>
            <w:top w:w="0" w:type="dxa"/>
            <w:left w:w="108" w:type="dxa"/>
            <w:bottom w:w="0" w:type="dxa"/>
            <w:right w:w="108" w:type="dxa"/>
          </w:tblCellMar>
        </w:tblPrEx>
        <w:trPr>
          <w:trHeight w:val="2818" w:hRule="atLeast"/>
        </w:trPr>
        <w:tc>
          <w:tcPr>
            <w:tcW w:w="6804" w:type="dxa"/>
            <w:tcBorders>
              <w:top w:val="single" w:color="auto" w:sz="6" w:space="0"/>
              <w:left w:val="single" w:color="auto" w:sz="6" w:space="0"/>
              <w:bottom w:val="single" w:color="auto" w:sz="6" w:space="0"/>
              <w:right w:val="single" w:color="auto" w:sz="6" w:space="0"/>
            </w:tcBorders>
            <w:noWrap w:val="0"/>
            <w:vAlign w:val="center"/>
          </w:tcPr>
          <w:p w14:paraId="28D41837">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法定代表人身份证复印件或扫描件</w:t>
            </w:r>
          </w:p>
          <w:p w14:paraId="1E9C7E14">
            <w:pPr>
              <w:spacing w:line="480" w:lineRule="auto"/>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（国徽面、人像面）</w:t>
            </w:r>
          </w:p>
        </w:tc>
      </w:tr>
    </w:tbl>
    <w:p w14:paraId="71D0B125">
      <w:pPr>
        <w:pStyle w:val="11"/>
        <w:spacing w:line="480" w:lineRule="auto"/>
        <w:rPr>
          <w:rFonts w:hint="eastAsia" w:ascii="宋体" w:hAnsi="宋体" w:eastAsia="宋体" w:cs="宋体"/>
          <w:b/>
          <w:snapToGrid w:val="0"/>
          <w:color w:val="auto"/>
          <w:kern w:val="0"/>
          <w:sz w:val="24"/>
          <w:szCs w:val="24"/>
          <w:highlight w:val="none"/>
        </w:rPr>
      </w:pPr>
    </w:p>
    <w:p w14:paraId="3F565A2D">
      <w:pPr>
        <w:pStyle w:val="11"/>
        <w:spacing w:line="480" w:lineRule="auto"/>
        <w:rPr>
          <w:rFonts w:hint="eastAsia" w:ascii="宋体" w:hAnsi="宋体" w:eastAsia="宋体" w:cs="宋体"/>
          <w:b/>
          <w:snapToGrid w:val="0"/>
          <w:color w:val="auto"/>
          <w:kern w:val="0"/>
          <w:sz w:val="24"/>
          <w:szCs w:val="24"/>
          <w:highlight w:val="none"/>
        </w:rPr>
      </w:pPr>
    </w:p>
    <w:p w14:paraId="0948F387">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加盖单位公章</w:t>
      </w:r>
      <w:r>
        <w:rPr>
          <w:rFonts w:hint="eastAsia" w:ascii="宋体" w:hAnsi="宋体" w:eastAsia="宋体" w:cs="宋体"/>
          <w:color w:val="auto"/>
          <w:sz w:val="24"/>
          <w:szCs w:val="24"/>
          <w:highlight w:val="none"/>
        </w:rPr>
        <w:t>）</w:t>
      </w:r>
    </w:p>
    <w:p w14:paraId="2757D2AD">
      <w:pPr>
        <w:pStyle w:val="8"/>
        <w:spacing w:line="360" w:lineRule="auto"/>
        <w:rPr>
          <w:rFonts w:hint="eastAsia" w:ascii="宋体" w:hAnsi="宋体" w:eastAsia="宋体" w:cs="宋体"/>
          <w:color w:val="auto"/>
          <w:sz w:val="24"/>
          <w:szCs w:val="24"/>
          <w:highlight w:val="none"/>
        </w:rPr>
      </w:pPr>
    </w:p>
    <w:p w14:paraId="719019AC">
      <w:pPr>
        <w:adjustRightInd w:val="0"/>
        <w:snapToGrid w:val="0"/>
        <w:spacing w:line="360" w:lineRule="auto"/>
        <w:ind w:firstLine="2880" w:firstLineChars="1200"/>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日   期：   年   月</w:t>
      </w:r>
      <w:r>
        <w:rPr>
          <w:rFonts w:hint="eastAsia" w:ascii="宋体" w:hAnsi="宋体" w:eastAsia="宋体" w:cs="宋体"/>
          <w:color w:val="auto"/>
          <w:sz w:val="24"/>
          <w:szCs w:val="24"/>
          <w:highlight w:val="none"/>
          <w:lang w:val="en-US" w:eastAsia="zh-CN"/>
        </w:rPr>
        <w:t xml:space="preserve">   日</w:t>
      </w:r>
    </w:p>
    <w:p w14:paraId="551CAC6D">
      <w:pPr>
        <w:keepNext/>
        <w:spacing w:before="312" w:beforeLines="100"/>
        <w:jc w:val="center"/>
        <w:rPr>
          <w:rFonts w:hint="eastAsia" w:ascii="宋体" w:hAnsi="宋体" w:eastAsia="宋体" w:cs="宋体"/>
          <w:b/>
          <w:bCs/>
          <w:sz w:val="24"/>
          <w:szCs w:val="24"/>
          <w:highlight w:val="none"/>
        </w:rPr>
      </w:pPr>
      <w:r>
        <w:rPr>
          <w:rFonts w:hint="eastAsia" w:ascii="宋体" w:hAnsi="宋体" w:eastAsia="宋体" w:cs="宋体"/>
          <w:b/>
          <w:color w:val="auto"/>
          <w:sz w:val="24"/>
          <w:szCs w:val="24"/>
          <w:highlight w:val="none"/>
          <w:lang w:val="en-US" w:eastAsia="zh-CN"/>
        </w:rPr>
        <w:br w:type="page"/>
      </w:r>
      <w:r>
        <w:rPr>
          <w:rFonts w:hint="eastAsia" w:ascii="宋体" w:hAnsi="宋体" w:eastAsia="宋体" w:cs="宋体"/>
          <w:b/>
          <w:bCs/>
          <w:sz w:val="24"/>
          <w:szCs w:val="24"/>
          <w:highlight w:val="none"/>
        </w:rPr>
        <w:t>法定代表人授权书</w:t>
      </w:r>
    </w:p>
    <w:p w14:paraId="59E13AE9">
      <w:pPr>
        <w:spacing w:line="50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hAnsi="宋体" w:cs="宋体"/>
          <w:spacing w:val="4"/>
          <w:sz w:val="24"/>
          <w:szCs w:val="24"/>
          <w:highlight w:val="none"/>
          <w:u w:val="single"/>
          <w:lang w:eastAsia="zh-CN"/>
        </w:rPr>
        <w:t>陕西海源广合项目管理有限公司</w:t>
      </w:r>
      <w:r>
        <w:rPr>
          <w:rFonts w:hint="eastAsia" w:ascii="宋体" w:hAnsi="宋体" w:eastAsia="宋体" w:cs="宋体"/>
          <w:spacing w:val="4"/>
          <w:sz w:val="24"/>
          <w:szCs w:val="24"/>
          <w:highlight w:val="none"/>
          <w:u w:val="single"/>
        </w:rPr>
        <w:t xml:space="preserve"> </w:t>
      </w:r>
    </w:p>
    <w:p w14:paraId="2AB04C87">
      <w:pPr>
        <w:spacing w:line="500" w:lineRule="exact"/>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u w:val="single"/>
          <w:lang w:eastAsia="zh-CN"/>
        </w:rPr>
        <w:t>（</w:t>
      </w:r>
      <w:r>
        <w:rPr>
          <w:rFonts w:hint="eastAsia" w:ascii="宋体" w:hAnsi="宋体" w:cs="宋体"/>
          <w:spacing w:val="4"/>
          <w:sz w:val="24"/>
          <w:szCs w:val="24"/>
          <w:highlight w:val="none"/>
          <w:u w:val="single"/>
          <w:lang w:val="en-US" w:eastAsia="zh-CN"/>
        </w:rPr>
        <w:t>投标人</w:t>
      </w:r>
      <w:r>
        <w:rPr>
          <w:rFonts w:hint="eastAsia" w:ascii="宋体" w:hAnsi="宋体" w:eastAsia="宋体" w:cs="宋体"/>
          <w:spacing w:val="4"/>
          <w:sz w:val="24"/>
          <w:szCs w:val="24"/>
          <w:highlight w:val="none"/>
          <w:u w:val="single"/>
        </w:rPr>
        <w:t>名称</w:t>
      </w:r>
      <w:r>
        <w:rPr>
          <w:rFonts w:hint="eastAsia" w:ascii="宋体" w:hAnsi="宋体" w:eastAsia="宋体" w:cs="宋体"/>
          <w:spacing w:val="4"/>
          <w:sz w:val="24"/>
          <w:szCs w:val="24"/>
          <w:highlight w:val="none"/>
          <w:u w:val="single"/>
          <w:lang w:eastAsia="zh-CN"/>
        </w:rPr>
        <w:t>）</w:t>
      </w:r>
      <w:r>
        <w:rPr>
          <w:rFonts w:hint="eastAsia" w:ascii="宋体" w:hAnsi="宋体" w:eastAsia="宋体" w:cs="宋体"/>
          <w:spacing w:val="4"/>
          <w:sz w:val="24"/>
          <w:szCs w:val="24"/>
          <w:highlight w:val="none"/>
        </w:rPr>
        <w:t>按中华人民共和国法律于</w:t>
      </w:r>
      <w:r>
        <w:rPr>
          <w:rFonts w:hint="eastAsia" w:ascii="宋体" w:hAnsi="宋体" w:eastAsia="宋体" w:cs="宋体"/>
          <w:spacing w:val="4"/>
          <w:sz w:val="24"/>
          <w:szCs w:val="24"/>
          <w:highlight w:val="none"/>
          <w:u w:val="single"/>
        </w:rPr>
        <w:t>（  年  月  日 ）</w:t>
      </w:r>
      <w:r>
        <w:rPr>
          <w:rFonts w:hint="eastAsia" w:ascii="宋体" w:hAnsi="宋体" w:eastAsia="宋体" w:cs="宋体"/>
          <w:spacing w:val="4"/>
          <w:sz w:val="24"/>
          <w:szCs w:val="24"/>
          <w:highlight w:val="none"/>
        </w:rPr>
        <w:t>成立。</w:t>
      </w:r>
      <w:r>
        <w:rPr>
          <w:rFonts w:hint="eastAsia" w:ascii="宋体" w:hAnsi="宋体" w:eastAsia="宋体" w:cs="宋体"/>
          <w:spacing w:val="4"/>
          <w:sz w:val="24"/>
          <w:szCs w:val="24"/>
          <w:highlight w:val="none"/>
          <w:u w:val="single"/>
          <w:lang w:eastAsia="zh-CN"/>
        </w:rPr>
        <w:t>（</w:t>
      </w:r>
      <w:r>
        <w:rPr>
          <w:rFonts w:hint="eastAsia" w:ascii="宋体" w:hAnsi="宋体" w:eastAsia="宋体" w:cs="宋体"/>
          <w:spacing w:val="4"/>
          <w:sz w:val="24"/>
          <w:szCs w:val="24"/>
          <w:highlight w:val="none"/>
          <w:u w:val="single"/>
        </w:rPr>
        <w:t>法定代表人姓名</w:t>
      </w:r>
      <w:r>
        <w:rPr>
          <w:rFonts w:hint="eastAsia" w:ascii="宋体" w:hAnsi="宋体" w:eastAsia="宋体" w:cs="宋体"/>
          <w:spacing w:val="4"/>
          <w:sz w:val="24"/>
          <w:szCs w:val="24"/>
          <w:highlight w:val="none"/>
          <w:u w:val="single"/>
          <w:lang w:eastAsia="zh-CN"/>
        </w:rPr>
        <w:t>）</w:t>
      </w:r>
      <w:r>
        <w:rPr>
          <w:rFonts w:hint="eastAsia" w:ascii="宋体" w:hAnsi="宋体" w:eastAsia="宋体" w:cs="宋体"/>
          <w:spacing w:val="4"/>
          <w:sz w:val="24"/>
          <w:szCs w:val="24"/>
          <w:highlight w:val="none"/>
        </w:rPr>
        <w:t>特授权</w:t>
      </w:r>
      <w:r>
        <w:rPr>
          <w:rFonts w:hint="eastAsia" w:ascii="宋体" w:hAnsi="宋体" w:eastAsia="宋体" w:cs="宋体"/>
          <w:spacing w:val="4"/>
          <w:sz w:val="24"/>
          <w:szCs w:val="24"/>
          <w:highlight w:val="none"/>
          <w:u w:val="single"/>
        </w:rPr>
        <w:t xml:space="preserve">（ </w:t>
      </w:r>
      <w:r>
        <w:rPr>
          <w:rFonts w:hint="eastAsia" w:ascii="宋体" w:hAnsi="宋体" w:eastAsia="宋体" w:cs="宋体"/>
          <w:sz w:val="24"/>
          <w:szCs w:val="24"/>
          <w:highlight w:val="none"/>
          <w:u w:val="single"/>
        </w:rPr>
        <w:t>授权代表</w:t>
      </w:r>
      <w:r>
        <w:rPr>
          <w:rFonts w:hint="eastAsia" w:ascii="宋体" w:hAnsi="宋体" w:eastAsia="宋体" w:cs="宋体"/>
          <w:spacing w:val="4"/>
          <w:sz w:val="24"/>
          <w:szCs w:val="24"/>
          <w:highlight w:val="none"/>
          <w:u w:val="single"/>
        </w:rPr>
        <w:t>姓名 ）</w:t>
      </w:r>
      <w:r>
        <w:rPr>
          <w:rFonts w:hint="eastAsia" w:ascii="宋体" w:hAnsi="宋体" w:eastAsia="宋体" w:cs="宋体"/>
          <w:spacing w:val="4"/>
          <w:sz w:val="24"/>
          <w:szCs w:val="24"/>
          <w:highlight w:val="none"/>
        </w:rPr>
        <w:t xml:space="preserve">代表我公司全权办理针对本次 </w:t>
      </w:r>
      <w:r>
        <w:rPr>
          <w:rFonts w:hint="eastAsia" w:ascii="宋体" w:hAnsi="宋体" w:eastAsia="宋体" w:cs="宋体"/>
          <w:spacing w:val="4"/>
          <w:sz w:val="24"/>
          <w:szCs w:val="24"/>
          <w:highlight w:val="none"/>
          <w:u w:val="single"/>
          <w:lang w:eastAsia="zh-CN"/>
        </w:rPr>
        <w:t>（</w:t>
      </w:r>
      <w:r>
        <w:rPr>
          <w:rFonts w:hint="eastAsia" w:ascii="宋体" w:hAnsi="宋体" w:eastAsia="宋体" w:cs="宋体"/>
          <w:spacing w:val="4"/>
          <w:sz w:val="24"/>
          <w:szCs w:val="24"/>
          <w:highlight w:val="none"/>
          <w:u w:val="single"/>
          <w:lang w:val="en-US" w:eastAsia="zh-CN"/>
        </w:rPr>
        <w:t>项</w:t>
      </w:r>
      <w:r>
        <w:rPr>
          <w:rFonts w:hint="eastAsia" w:ascii="宋体" w:hAnsi="宋体" w:eastAsia="宋体" w:cs="宋体"/>
          <w:spacing w:val="4"/>
          <w:sz w:val="24"/>
          <w:szCs w:val="24"/>
          <w:highlight w:val="none"/>
          <w:u w:val="single"/>
        </w:rPr>
        <w:t>目编号：    ）</w:t>
      </w:r>
      <w:r>
        <w:rPr>
          <w:rFonts w:hint="eastAsia" w:ascii="宋体" w:hAnsi="宋体" w:eastAsia="宋体" w:cs="宋体"/>
          <w:spacing w:val="4"/>
          <w:sz w:val="24"/>
          <w:szCs w:val="24"/>
          <w:highlight w:val="none"/>
        </w:rPr>
        <w:t>项目的</w:t>
      </w:r>
      <w:r>
        <w:rPr>
          <w:rFonts w:hint="eastAsia" w:ascii="宋体" w:hAnsi="宋体" w:eastAsia="宋体" w:cs="宋体"/>
          <w:spacing w:val="4"/>
          <w:sz w:val="24"/>
          <w:szCs w:val="24"/>
          <w:highlight w:val="none"/>
          <w:lang w:val="en-US" w:eastAsia="zh-CN"/>
        </w:rPr>
        <w:t>投标</w:t>
      </w:r>
      <w:r>
        <w:rPr>
          <w:rFonts w:hint="eastAsia" w:ascii="宋体" w:hAnsi="宋体" w:eastAsia="宋体" w:cs="宋体"/>
          <w:spacing w:val="4"/>
          <w:sz w:val="24"/>
          <w:szCs w:val="24"/>
          <w:highlight w:val="none"/>
        </w:rPr>
        <w:t>、签约等具体工作，并签署全部有关的文件、协议及合同。</w:t>
      </w:r>
    </w:p>
    <w:p w14:paraId="29563A02">
      <w:pPr>
        <w:spacing w:line="500" w:lineRule="exact"/>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我公司对</w:t>
      </w:r>
      <w:r>
        <w:rPr>
          <w:rFonts w:hint="eastAsia" w:ascii="宋体" w:hAnsi="宋体" w:eastAsia="宋体" w:cs="宋体"/>
          <w:sz w:val="24"/>
          <w:szCs w:val="24"/>
          <w:highlight w:val="none"/>
        </w:rPr>
        <w:t>授权代表</w:t>
      </w:r>
      <w:r>
        <w:rPr>
          <w:rFonts w:hint="eastAsia" w:ascii="宋体" w:hAnsi="宋体" w:eastAsia="宋体" w:cs="宋体"/>
          <w:spacing w:val="4"/>
          <w:sz w:val="24"/>
          <w:szCs w:val="24"/>
          <w:highlight w:val="none"/>
        </w:rPr>
        <w:t>的签名负全部责任。</w:t>
      </w:r>
    </w:p>
    <w:p w14:paraId="4B6A217A">
      <w:pPr>
        <w:spacing w:line="500" w:lineRule="exact"/>
        <w:ind w:right="617" w:rightChars="257"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委托期限：</w:t>
      </w:r>
      <w:r>
        <w:rPr>
          <w:rFonts w:hint="eastAsia" w:ascii="宋体" w:hAnsi="宋体" w:eastAsia="宋体" w:cs="宋体"/>
          <w:sz w:val="24"/>
          <w:szCs w:val="24"/>
          <w:highlight w:val="none"/>
          <w:lang w:val="zh-CN"/>
        </w:rPr>
        <w:t>自</w:t>
      </w:r>
      <w:r>
        <w:rPr>
          <w:rFonts w:hint="eastAsia" w:ascii="宋体" w:hAnsi="宋体" w:cs="宋体"/>
          <w:sz w:val="24"/>
          <w:szCs w:val="24"/>
          <w:highlight w:val="none"/>
          <w:lang w:val="en-US" w:eastAsia="zh-CN"/>
        </w:rPr>
        <w:t>开标</w:t>
      </w:r>
      <w:r>
        <w:rPr>
          <w:rFonts w:hint="eastAsia" w:ascii="宋体" w:hAnsi="宋体" w:eastAsia="宋体" w:cs="宋体"/>
          <w:sz w:val="24"/>
          <w:szCs w:val="24"/>
          <w:highlight w:val="none"/>
          <w:lang w:val="zh-CN"/>
        </w:rPr>
        <w:t>之日起</w:t>
      </w:r>
      <w:r>
        <w:rPr>
          <w:rFonts w:hint="eastAsia" w:ascii="宋体" w:hAnsi="宋体" w:eastAsia="宋体" w:cs="宋体"/>
          <w:sz w:val="24"/>
          <w:szCs w:val="24"/>
          <w:highlight w:val="none"/>
          <w:u w:val="single"/>
        </w:rPr>
        <w:t>90</w:t>
      </w:r>
      <w:r>
        <w:rPr>
          <w:rFonts w:hint="eastAsia" w:ascii="宋体" w:hAnsi="宋体" w:eastAsia="宋体" w:cs="宋体"/>
          <w:sz w:val="24"/>
          <w:szCs w:val="24"/>
          <w:highlight w:val="none"/>
          <w:lang w:val="zh-CN"/>
        </w:rPr>
        <w:t>天。</w:t>
      </w:r>
    </w:p>
    <w:p w14:paraId="757818E9">
      <w:pPr>
        <w:spacing w:line="500" w:lineRule="exact"/>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本授权书于</w:t>
      </w:r>
      <w:r>
        <w:rPr>
          <w:rFonts w:hint="eastAsia" w:ascii="宋体" w:hAnsi="宋体" w:eastAsia="宋体" w:cs="宋体"/>
          <w:spacing w:val="4"/>
          <w:sz w:val="24"/>
          <w:szCs w:val="24"/>
          <w:highlight w:val="none"/>
          <w:u w:val="single"/>
        </w:rPr>
        <w:t xml:space="preserve">      年   月   日</w:t>
      </w:r>
      <w:r>
        <w:rPr>
          <w:rFonts w:hint="eastAsia" w:ascii="宋体" w:hAnsi="宋体" w:eastAsia="宋体" w:cs="宋体"/>
          <w:spacing w:val="4"/>
          <w:sz w:val="24"/>
          <w:szCs w:val="24"/>
          <w:highlight w:val="none"/>
        </w:rPr>
        <w:t>签字生效，特此证明。</w:t>
      </w:r>
    </w:p>
    <w:p w14:paraId="20BB1B67">
      <w:pPr>
        <w:spacing w:line="360" w:lineRule="auto"/>
        <w:ind w:firstLine="496" w:firstLineChars="200"/>
        <w:jc w:val="left"/>
        <w:rPr>
          <w:rFonts w:hint="eastAsia" w:ascii="宋体" w:hAnsi="宋体" w:eastAsia="宋体" w:cs="宋体"/>
          <w:spacing w:val="4"/>
          <w:sz w:val="24"/>
          <w:szCs w:val="24"/>
          <w:highlight w:val="none"/>
        </w:rPr>
      </w:pPr>
    </w:p>
    <w:tbl>
      <w:tblPr>
        <w:tblStyle w:val="21"/>
        <w:tblW w:w="0" w:type="auto"/>
        <w:tblInd w:w="633" w:type="dxa"/>
        <w:tblLayout w:type="fixed"/>
        <w:tblCellMar>
          <w:top w:w="0" w:type="dxa"/>
          <w:left w:w="108" w:type="dxa"/>
          <w:bottom w:w="0" w:type="dxa"/>
          <w:right w:w="108" w:type="dxa"/>
        </w:tblCellMar>
      </w:tblPr>
      <w:tblGrid>
        <w:gridCol w:w="4200"/>
        <w:gridCol w:w="3990"/>
      </w:tblGrid>
      <w:tr w14:paraId="38BC1341">
        <w:tblPrEx>
          <w:tblCellMar>
            <w:top w:w="0" w:type="dxa"/>
            <w:left w:w="108" w:type="dxa"/>
            <w:bottom w:w="0" w:type="dxa"/>
            <w:right w:w="108" w:type="dxa"/>
          </w:tblCellMar>
        </w:tblPrEx>
        <w:trPr>
          <w:trHeight w:val="600" w:hRule="atLeast"/>
        </w:trPr>
        <w:tc>
          <w:tcPr>
            <w:tcW w:w="4200" w:type="dxa"/>
          </w:tcPr>
          <w:p w14:paraId="2A525905">
            <w:pP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被授权人签字或盖章：</w:t>
            </w:r>
          </w:p>
        </w:tc>
        <w:tc>
          <w:tcPr>
            <w:tcW w:w="3990" w:type="dxa"/>
          </w:tcPr>
          <w:p w14:paraId="24F68ED3">
            <w:pP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法定代表人签字或盖章：</w:t>
            </w:r>
          </w:p>
        </w:tc>
      </w:tr>
      <w:tr w14:paraId="220A196C">
        <w:tblPrEx>
          <w:tblCellMar>
            <w:top w:w="0" w:type="dxa"/>
            <w:left w:w="108" w:type="dxa"/>
            <w:bottom w:w="0" w:type="dxa"/>
            <w:right w:w="108" w:type="dxa"/>
          </w:tblCellMar>
        </w:tblPrEx>
        <w:trPr>
          <w:trHeight w:val="600" w:hRule="atLeast"/>
        </w:trPr>
        <w:tc>
          <w:tcPr>
            <w:tcW w:w="4200" w:type="dxa"/>
          </w:tcPr>
          <w:p w14:paraId="0604B46D">
            <w:pP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职务：</w:t>
            </w:r>
          </w:p>
        </w:tc>
        <w:tc>
          <w:tcPr>
            <w:tcW w:w="3990" w:type="dxa"/>
          </w:tcPr>
          <w:p w14:paraId="4A604BEC">
            <w:pP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职务：</w:t>
            </w:r>
          </w:p>
        </w:tc>
      </w:tr>
    </w:tbl>
    <w:p w14:paraId="74D32C93">
      <w:pPr>
        <w:spacing w:line="360" w:lineRule="auto"/>
        <w:ind w:firstLine="505" w:firstLineChars="204"/>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附：法定代表人、被授权人身份证复印件</w:t>
      </w:r>
    </w:p>
    <w:p w14:paraId="05B63AD2">
      <w:pPr>
        <w:spacing w:line="360" w:lineRule="auto"/>
        <w:rPr>
          <w:rFonts w:hint="eastAsia" w:ascii="宋体" w:hAnsi="宋体" w:eastAsia="宋体" w:cs="宋体"/>
          <w:spacing w:val="4"/>
          <w:sz w:val="24"/>
          <w:szCs w:val="24"/>
          <w:highlight w:val="none"/>
        </w:rPr>
      </w:pPr>
    </w:p>
    <w:tbl>
      <w:tblPr>
        <w:tblStyle w:val="21"/>
        <w:tblW w:w="0" w:type="auto"/>
        <w:tblInd w:w="540" w:type="dxa"/>
        <w:tblLayout w:type="fixed"/>
        <w:tblCellMar>
          <w:top w:w="0" w:type="dxa"/>
          <w:left w:w="108" w:type="dxa"/>
          <w:bottom w:w="0" w:type="dxa"/>
          <w:right w:w="108" w:type="dxa"/>
        </w:tblCellMar>
      </w:tblPr>
      <w:tblGrid>
        <w:gridCol w:w="4246"/>
        <w:gridCol w:w="4111"/>
      </w:tblGrid>
      <w:tr w14:paraId="24DB2420">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0FDB49C6">
            <w:pPr>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法定代表人身份证复印件粘贴处</w:t>
            </w:r>
          </w:p>
          <w:p w14:paraId="0C5F7973">
            <w:pPr>
              <w:spacing w:line="360" w:lineRule="auto"/>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1522A315">
            <w:pPr>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授权代表身份证复印件粘贴处</w:t>
            </w:r>
          </w:p>
          <w:p w14:paraId="6F73D810">
            <w:pPr>
              <w:spacing w:line="360" w:lineRule="auto"/>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（正反面）</w:t>
            </w:r>
          </w:p>
        </w:tc>
      </w:tr>
    </w:tbl>
    <w:p w14:paraId="5F3CB76B">
      <w:pPr>
        <w:spacing w:line="360" w:lineRule="auto"/>
        <w:ind w:firstLine="510"/>
        <w:rPr>
          <w:rFonts w:hint="eastAsia" w:ascii="宋体" w:hAnsi="宋体" w:eastAsia="宋体" w:cs="宋体"/>
          <w:spacing w:val="4"/>
          <w:sz w:val="24"/>
          <w:szCs w:val="24"/>
          <w:highlight w:val="none"/>
        </w:rPr>
      </w:pPr>
    </w:p>
    <w:p w14:paraId="73C80F2D">
      <w:pPr>
        <w:spacing w:before="156" w:beforeLines="50" w:after="156" w:afterLines="50" w:line="360" w:lineRule="auto"/>
        <w:rPr>
          <w:rFonts w:hint="eastAsia" w:ascii="宋体" w:hAnsi="宋体" w:eastAsia="宋体" w:cs="宋体"/>
          <w:spacing w:val="4"/>
          <w:sz w:val="24"/>
          <w:szCs w:val="24"/>
          <w:highlight w:val="none"/>
        </w:rPr>
      </w:pPr>
      <w:r>
        <w:rPr>
          <w:rFonts w:hint="eastAsia" w:ascii="宋体" w:hAnsi="宋体" w:cs="宋体"/>
          <w:spacing w:val="4"/>
          <w:sz w:val="24"/>
          <w:szCs w:val="24"/>
          <w:highlight w:val="none"/>
          <w:lang w:val="en-US" w:eastAsia="zh-CN"/>
        </w:rPr>
        <w:t>投标人</w:t>
      </w:r>
      <w:r>
        <w:rPr>
          <w:rFonts w:hint="eastAsia" w:ascii="宋体" w:hAnsi="宋体" w:eastAsia="宋体" w:cs="宋体"/>
          <w:spacing w:val="4"/>
          <w:sz w:val="24"/>
          <w:szCs w:val="24"/>
          <w:highlight w:val="none"/>
        </w:rPr>
        <w:t>名称：</w:t>
      </w:r>
      <w:r>
        <w:rPr>
          <w:rFonts w:hint="eastAsia" w:ascii="宋体" w:hAnsi="宋体" w:eastAsia="宋体" w:cs="宋体"/>
          <w:sz w:val="24"/>
          <w:szCs w:val="24"/>
          <w:highlight w:val="none"/>
          <w:u w:val="single"/>
        </w:rPr>
        <w:t xml:space="preserve">      （加盖单位公章）       </w:t>
      </w:r>
    </w:p>
    <w:p w14:paraId="3347E678">
      <w:pPr>
        <w:spacing w:before="156" w:beforeLines="50" w:after="156" w:afterLines="50" w:line="360" w:lineRule="auto"/>
        <w:rPr>
          <w:rFonts w:hint="eastAsia" w:ascii="宋体" w:hAnsi="宋体" w:eastAsia="宋体" w:cs="宋体"/>
          <w:sz w:val="24"/>
          <w:szCs w:val="24"/>
          <w:highlight w:val="none"/>
          <w:lang w:val="en-US" w:eastAsia="zh-CN"/>
        </w:rPr>
      </w:pPr>
      <w:r>
        <w:rPr>
          <w:rFonts w:hint="eastAsia" w:ascii="宋体" w:hAnsi="宋体" w:eastAsia="宋体" w:cs="宋体"/>
          <w:spacing w:val="4"/>
          <w:sz w:val="24"/>
          <w:szCs w:val="24"/>
          <w:highlight w:val="none"/>
        </w:rPr>
        <w:t>日期：</w:t>
      </w:r>
      <w:r>
        <w:rPr>
          <w:rFonts w:hint="eastAsia" w:ascii="宋体" w:hAnsi="宋体" w:eastAsia="宋体" w:cs="宋体"/>
          <w:spacing w:val="4"/>
          <w:sz w:val="24"/>
          <w:szCs w:val="24"/>
          <w:highlight w:val="none"/>
          <w:lang w:val="en-US" w:eastAsia="zh-CN"/>
        </w:rPr>
        <w:t xml:space="preserve">   年  月  日</w:t>
      </w:r>
    </w:p>
    <w:p w14:paraId="36C07C7A">
      <w:pPr>
        <w:spacing w:line="480" w:lineRule="auto"/>
        <w:ind w:left="485" w:leftChars="202"/>
        <w:rPr>
          <w:rFonts w:hint="eastAsia" w:ascii="宋体" w:hAnsi="宋体" w:eastAsia="宋体" w:cs="宋体"/>
          <w:color w:val="auto"/>
          <w:spacing w:val="4"/>
          <w:sz w:val="24"/>
          <w:szCs w:val="24"/>
          <w:highlight w:val="none"/>
        </w:rPr>
      </w:pPr>
    </w:p>
    <w:p w14:paraId="3770A36A">
      <w:pPr>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br w:type="page"/>
      </w:r>
    </w:p>
    <w:p w14:paraId="4408F276">
      <w:pPr>
        <w:adjustRightInd w:val="0"/>
        <w:snapToGrid w:val="0"/>
        <w:spacing w:line="480" w:lineRule="auto"/>
        <w:jc w:val="both"/>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07" w:name="_Toc20070"/>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附件2：供应商信用记录书面声明函</w:t>
      </w:r>
      <w:bookmarkEnd w:id="207"/>
    </w:p>
    <w:p w14:paraId="0B26E522">
      <w:pPr>
        <w:spacing w:line="50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hAnsi="宋体" w:cs="宋体"/>
          <w:spacing w:val="4"/>
          <w:sz w:val="24"/>
          <w:szCs w:val="24"/>
          <w:highlight w:val="none"/>
          <w:u w:val="single"/>
          <w:lang w:eastAsia="zh-CN"/>
        </w:rPr>
        <w:t>陕西海源广合项目管理有限公司</w:t>
      </w:r>
      <w:r>
        <w:rPr>
          <w:rFonts w:hint="eastAsia" w:ascii="宋体" w:hAnsi="宋体" w:eastAsia="宋体" w:cs="宋体"/>
          <w:spacing w:val="4"/>
          <w:sz w:val="24"/>
          <w:szCs w:val="24"/>
          <w:highlight w:val="none"/>
          <w:u w:val="single"/>
        </w:rPr>
        <w:t xml:space="preserve"> </w:t>
      </w:r>
    </w:p>
    <w:p w14:paraId="52E723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方作为项目名称</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color w:val="000000"/>
          <w:spacing w:val="19"/>
          <w:sz w:val="24"/>
          <w:szCs w:val="24"/>
          <w:highlight w:val="none"/>
          <w:u w:val="single"/>
          <w:lang w:val="en-US" w:eastAsia="zh-CN"/>
        </w:rPr>
        <w:t>（项目名称）</w:t>
      </w:r>
      <w:r>
        <w:rPr>
          <w:rFonts w:hint="eastAsia" w:ascii="宋体" w:hAnsi="宋体" w:eastAsia="宋体" w:cs="宋体"/>
          <w:i w:val="0"/>
          <w:iCs w:val="0"/>
          <w:caps w:val="0"/>
          <w:color w:val="000000"/>
          <w:spacing w:val="0"/>
          <w:sz w:val="24"/>
          <w:szCs w:val="24"/>
          <w:highlight w:val="none"/>
          <w:shd w:val="clear" w:color="auto" w:fill="FFFFFF"/>
        </w:rPr>
        <w:t>的</w:t>
      </w:r>
      <w:r>
        <w:rPr>
          <w:rFonts w:hint="eastAsia" w:ascii="宋体" w:hAnsi="宋体" w:eastAsia="宋体" w:cs="宋体"/>
          <w:i w:val="0"/>
          <w:iCs w:val="0"/>
          <w:caps w:val="0"/>
          <w:color w:val="000000"/>
          <w:spacing w:val="0"/>
          <w:sz w:val="24"/>
          <w:szCs w:val="24"/>
          <w:highlight w:val="none"/>
          <w:shd w:val="clear" w:color="auto" w:fill="FFFFFF"/>
          <w:lang w:val="en-US" w:eastAsia="zh-CN"/>
        </w:rPr>
        <w:t>投标人</w:t>
      </w:r>
      <w:r>
        <w:rPr>
          <w:rFonts w:hint="eastAsia" w:ascii="宋体" w:hAnsi="宋体" w:eastAsia="宋体" w:cs="宋体"/>
          <w:i w:val="0"/>
          <w:iCs w:val="0"/>
          <w:caps w:val="0"/>
          <w:color w:val="000000"/>
          <w:spacing w:val="0"/>
          <w:sz w:val="24"/>
          <w:szCs w:val="24"/>
          <w:highlight w:val="none"/>
          <w:shd w:val="clear" w:color="auto" w:fill="FFFFFF"/>
        </w:rPr>
        <w:t>，在此郑重声明：</w:t>
      </w:r>
    </w:p>
    <w:p w14:paraId="3A5D61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1.</w:t>
      </w:r>
      <w:r>
        <w:rPr>
          <w:rFonts w:hint="eastAsia" w:ascii="宋体" w:hAnsi="宋体" w:eastAsia="宋体" w:cs="宋体"/>
          <w:i w:val="0"/>
          <w:iCs w:val="0"/>
          <w:caps w:val="0"/>
          <w:color w:val="000000"/>
          <w:spacing w:val="0"/>
          <w:sz w:val="24"/>
          <w:szCs w:val="24"/>
          <w:highlight w:val="none"/>
          <w:shd w:val="clear" w:color="auto" w:fill="FFFFFF"/>
        </w:rPr>
        <w:t>在参加本次政府采购活动前3年内的经营活动中</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（填“没有”或“有”）重大违法记录。</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在参加政府采购活动前 3 年内因违法经营被禁止在一定期限内参加政府采购活动，期限届满的，可以参加政府采购活动，但应提供期限届满的证明材料。</w:t>
      </w:r>
    </w:p>
    <w:p w14:paraId="180CA4B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2.</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（填“未被列入”或“被列入”）失信被执行人名单。</w:t>
      </w:r>
    </w:p>
    <w:p w14:paraId="1C6ADF5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3.</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（填“未被列入”或“被列入”）重大税收违法案件当事人名单。</w:t>
      </w:r>
    </w:p>
    <w:p w14:paraId="10C4E1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4.</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（填“未被列入”或“被列入”）政府采购严重违法失信行为记录名单。</w:t>
      </w:r>
    </w:p>
    <w:p w14:paraId="3F88045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如有不实，</w:t>
      </w: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方将无条件地退出本项目的采购活动，并遵照《</w:t>
      </w:r>
      <w:r>
        <w:rPr>
          <w:rFonts w:hint="eastAsia" w:ascii="宋体" w:hAnsi="宋体" w:eastAsia="宋体" w:cs="宋体"/>
          <w:i w:val="0"/>
          <w:iCs w:val="0"/>
          <w:caps w:val="0"/>
          <w:color w:val="000000"/>
          <w:spacing w:val="0"/>
          <w:sz w:val="24"/>
          <w:szCs w:val="24"/>
          <w:highlight w:val="none"/>
          <w:shd w:val="clear" w:color="auto" w:fill="FFFFFF"/>
          <w:lang w:eastAsia="zh-CN"/>
        </w:rPr>
        <w:t>中华人民共和国政府采购法</w:t>
      </w:r>
      <w:r>
        <w:rPr>
          <w:rFonts w:hint="eastAsia" w:ascii="宋体" w:hAnsi="宋体" w:eastAsia="宋体" w:cs="宋体"/>
          <w:i w:val="0"/>
          <w:iCs w:val="0"/>
          <w:caps w:val="0"/>
          <w:color w:val="000000"/>
          <w:spacing w:val="0"/>
          <w:sz w:val="24"/>
          <w:szCs w:val="24"/>
          <w:highlight w:val="none"/>
          <w:shd w:val="clear" w:color="auto" w:fill="FFFFFF"/>
        </w:rPr>
        <w:t>》有关“提供虚假材料的规定”接受处罚。</w:t>
      </w:r>
    </w:p>
    <w:p w14:paraId="7EF1D0D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特此声明。</w:t>
      </w:r>
    </w:p>
    <w:p w14:paraId="4F6D83C5">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701E011">
      <w:pPr>
        <w:pStyle w:val="30"/>
        <w:spacing w:before="156" w:beforeLines="50"/>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07D0098">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E7A5A64">
      <w:pPr>
        <w:adjustRightInd w:val="0"/>
        <w:snapToGrid w:val="0"/>
        <w:spacing w:line="480" w:lineRule="auto"/>
        <w:jc w:val="both"/>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08" w:name="_Toc13896"/>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附件3：参加政府采购活动前3年内在经营活动中没有重大违法纪录的书面声明</w:t>
      </w:r>
      <w:bookmarkEnd w:id="208"/>
    </w:p>
    <w:p w14:paraId="61603FC9">
      <w:pPr>
        <w:widowControl/>
        <w:spacing w:line="360" w:lineRule="auto"/>
        <w:ind w:left="1"/>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（格式）</w:t>
      </w:r>
    </w:p>
    <w:p w14:paraId="314FDC2E">
      <w:pPr>
        <w:pStyle w:val="17"/>
        <w:wordWrap w:val="0"/>
        <w:spacing w:line="560" w:lineRule="exact"/>
        <w:rPr>
          <w:rFonts w:hint="eastAsia" w:ascii="宋体" w:hAnsi="宋体" w:eastAsia="宋体" w:cs="宋体"/>
          <w:color w:val="auto"/>
          <w:sz w:val="24"/>
          <w:szCs w:val="24"/>
          <w:highlight w:val="none"/>
          <w:u w:val="single"/>
          <w:shd w:val="clear" w:color="auto" w:fill="FFFFFF"/>
        </w:rPr>
      </w:pPr>
    </w:p>
    <w:p w14:paraId="208EC701">
      <w:pPr>
        <w:spacing w:line="50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hAnsi="宋体" w:cs="宋体"/>
          <w:spacing w:val="4"/>
          <w:sz w:val="24"/>
          <w:szCs w:val="24"/>
          <w:highlight w:val="none"/>
          <w:u w:val="single"/>
          <w:lang w:eastAsia="zh-CN"/>
        </w:rPr>
        <w:t>陕西海源广合项目管理有限公司</w:t>
      </w:r>
      <w:r>
        <w:rPr>
          <w:rFonts w:hint="eastAsia" w:ascii="宋体" w:hAnsi="宋体" w:eastAsia="宋体" w:cs="宋体"/>
          <w:spacing w:val="4"/>
          <w:sz w:val="24"/>
          <w:szCs w:val="24"/>
          <w:highlight w:val="none"/>
          <w:u w:val="single"/>
        </w:rPr>
        <w:t xml:space="preserve"> </w:t>
      </w:r>
    </w:p>
    <w:p w14:paraId="0867A1B5">
      <w:pPr>
        <w:pStyle w:val="17"/>
        <w:wordWrap w:val="0"/>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我方作为项目名称</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的供应商，在此郑重声明： </w:t>
      </w:r>
    </w:p>
    <w:p w14:paraId="6C5E45FE">
      <w:pPr>
        <w:pStyle w:val="17"/>
        <w:wordWrap w:val="0"/>
        <w:spacing w:line="5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在参加本次政府采购活动前3年内的经营活动中</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7B3EDD6">
      <w:pPr>
        <w:pStyle w:val="17"/>
        <w:wordWrap w:val="0"/>
        <w:spacing w:line="5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eastAsia="zh-CN"/>
        </w:rPr>
        <w:t>中华人民共和国政府采购法</w:t>
      </w:r>
      <w:r>
        <w:rPr>
          <w:rFonts w:hint="eastAsia" w:ascii="宋体" w:hAnsi="宋体" w:eastAsia="宋体" w:cs="宋体"/>
          <w:color w:val="auto"/>
          <w:sz w:val="24"/>
          <w:szCs w:val="24"/>
          <w:highlight w:val="none"/>
          <w:shd w:val="clear" w:color="auto" w:fill="FFFFFF"/>
        </w:rPr>
        <w:t xml:space="preserve">》有关“提供虚假材料的规定”接受处罚。 </w:t>
      </w:r>
    </w:p>
    <w:p w14:paraId="686B6596">
      <w:pPr>
        <w:pStyle w:val="17"/>
        <w:wordWrap w:val="0"/>
        <w:spacing w:line="560" w:lineRule="exact"/>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特此声明！</w:t>
      </w:r>
    </w:p>
    <w:p w14:paraId="6A4203FA">
      <w:pPr>
        <w:pStyle w:val="17"/>
        <w:wordWrap w:val="0"/>
        <w:spacing w:line="560" w:lineRule="exact"/>
        <w:ind w:firstLine="420"/>
        <w:rPr>
          <w:rFonts w:hint="eastAsia" w:ascii="宋体" w:hAnsi="宋体" w:eastAsia="宋体" w:cs="宋体"/>
          <w:color w:val="auto"/>
          <w:sz w:val="24"/>
          <w:szCs w:val="24"/>
          <w:highlight w:val="none"/>
          <w:shd w:val="clear" w:color="auto" w:fill="FFFFFF"/>
        </w:rPr>
      </w:pPr>
    </w:p>
    <w:p w14:paraId="3654A360">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3877140E">
      <w:pPr>
        <w:jc w:val="right"/>
        <w:rPr>
          <w:rFonts w:hint="eastAsia" w:ascii="宋体" w:hAnsi="宋体" w:eastAsia="宋体" w:cs="宋体"/>
          <w:b/>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b/>
          <w:sz w:val="24"/>
          <w:szCs w:val="24"/>
          <w:highlight w:val="none"/>
        </w:rPr>
        <w:br w:type="page"/>
      </w:r>
    </w:p>
    <w:p w14:paraId="04B63481">
      <w:pPr>
        <w:adjustRightInd w:val="0"/>
        <w:snapToGrid w:val="0"/>
        <w:spacing w:line="480" w:lineRule="auto"/>
        <w:jc w:val="both"/>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09" w:name="_Toc19247"/>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附件4：具有履行合同所必需的设备和专业技术能力的书面承诺</w:t>
      </w:r>
    </w:p>
    <w:p w14:paraId="661FB0D3">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C1587AB">
      <w:pPr>
        <w:rPr>
          <w:highlight w:val="none"/>
        </w:rPr>
      </w:pPr>
    </w:p>
    <w:p w14:paraId="7D8C93C2">
      <w:pPr>
        <w:pStyle w:val="11"/>
        <w:adjustRightInd w:val="0"/>
        <w:snapToGrid w:val="0"/>
        <w:spacing w:line="720" w:lineRule="exact"/>
        <w:jc w:val="center"/>
        <w:rPr>
          <w:rFonts w:hAnsi="宋体"/>
          <w:b/>
          <w:sz w:val="28"/>
          <w:szCs w:val="28"/>
          <w:highlight w:val="none"/>
        </w:rPr>
      </w:pPr>
    </w:p>
    <w:p w14:paraId="20B0AD22">
      <w:pPr>
        <w:spacing w:line="50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hAnsi="宋体" w:cs="宋体"/>
          <w:spacing w:val="4"/>
          <w:sz w:val="24"/>
          <w:szCs w:val="24"/>
          <w:highlight w:val="none"/>
          <w:u w:val="single"/>
          <w:lang w:eastAsia="zh-CN"/>
        </w:rPr>
        <w:t>陕西海源广合项目管理有限公司</w:t>
      </w:r>
      <w:r>
        <w:rPr>
          <w:rFonts w:hint="eastAsia" w:ascii="宋体" w:hAnsi="宋体" w:eastAsia="宋体" w:cs="宋体"/>
          <w:spacing w:val="4"/>
          <w:sz w:val="24"/>
          <w:szCs w:val="24"/>
          <w:highlight w:val="none"/>
          <w:u w:val="single"/>
        </w:rPr>
        <w:t xml:space="preserve"> </w:t>
      </w:r>
    </w:p>
    <w:p w14:paraId="1E2237C6">
      <w:pPr>
        <w:pStyle w:val="11"/>
        <w:adjustRightInd w:val="0"/>
        <w:snapToGrid w:val="0"/>
        <w:spacing w:line="720" w:lineRule="exact"/>
        <w:rPr>
          <w:rFonts w:hAnsi="宋体"/>
          <w:spacing w:val="4"/>
          <w:sz w:val="24"/>
          <w:szCs w:val="24"/>
          <w:highlight w:val="none"/>
        </w:rPr>
      </w:pPr>
      <w:r>
        <w:rPr>
          <w:rFonts w:hint="eastAsia" w:hAnsi="宋体"/>
          <w:spacing w:val="4"/>
          <w:sz w:val="24"/>
          <w:szCs w:val="24"/>
          <w:highlight w:val="none"/>
        </w:rPr>
        <w:t xml:space="preserve">   </w:t>
      </w:r>
      <w:r>
        <w:rPr>
          <w:rFonts w:hint="eastAsia" w:hAnsi="宋体"/>
          <w:spacing w:val="4"/>
          <w:sz w:val="24"/>
          <w:szCs w:val="24"/>
          <w:highlight w:val="none"/>
          <w:u w:val="single"/>
        </w:rPr>
        <w:t xml:space="preserve">      （投标人名称）    </w:t>
      </w:r>
      <w:r>
        <w:rPr>
          <w:rFonts w:hint="eastAsia" w:hAnsi="宋体"/>
          <w:spacing w:val="4"/>
          <w:sz w:val="24"/>
          <w:szCs w:val="24"/>
          <w:highlight w:val="none"/>
        </w:rPr>
        <w:t xml:space="preserve"> 于</w:t>
      </w:r>
      <w:r>
        <w:rPr>
          <w:rFonts w:hint="eastAsia" w:hAnsi="宋体"/>
          <w:spacing w:val="4"/>
          <w:sz w:val="24"/>
          <w:szCs w:val="24"/>
          <w:highlight w:val="none"/>
          <w:u w:val="single"/>
        </w:rPr>
        <w:t xml:space="preserve">     </w:t>
      </w:r>
      <w:r>
        <w:rPr>
          <w:rFonts w:hint="eastAsia" w:hAnsi="宋体"/>
          <w:spacing w:val="4"/>
          <w:sz w:val="24"/>
          <w:szCs w:val="24"/>
          <w:highlight w:val="none"/>
        </w:rPr>
        <w:t>年</w:t>
      </w:r>
      <w:r>
        <w:rPr>
          <w:rFonts w:hint="eastAsia" w:hAnsi="宋体"/>
          <w:spacing w:val="4"/>
          <w:sz w:val="24"/>
          <w:szCs w:val="24"/>
          <w:highlight w:val="none"/>
          <w:u w:val="single"/>
        </w:rPr>
        <w:t xml:space="preserve">    </w:t>
      </w:r>
      <w:r>
        <w:rPr>
          <w:rFonts w:hint="eastAsia" w:hAnsi="宋体"/>
          <w:spacing w:val="4"/>
          <w:sz w:val="24"/>
          <w:szCs w:val="24"/>
          <w:highlight w:val="none"/>
        </w:rPr>
        <w:t>月</w:t>
      </w:r>
      <w:r>
        <w:rPr>
          <w:rFonts w:hint="eastAsia" w:hAnsi="宋体"/>
          <w:spacing w:val="4"/>
          <w:sz w:val="24"/>
          <w:szCs w:val="24"/>
          <w:highlight w:val="none"/>
          <w:u w:val="single"/>
        </w:rPr>
        <w:t xml:space="preserve">   </w:t>
      </w:r>
      <w:r>
        <w:rPr>
          <w:rFonts w:hint="eastAsia" w:hAnsi="宋体"/>
          <w:spacing w:val="4"/>
          <w:sz w:val="24"/>
          <w:szCs w:val="24"/>
          <w:highlight w:val="none"/>
        </w:rPr>
        <w:t>日在中华人民共和国境内</w:t>
      </w:r>
      <w:r>
        <w:rPr>
          <w:rFonts w:hint="eastAsia" w:hAnsi="宋体"/>
          <w:spacing w:val="4"/>
          <w:sz w:val="24"/>
          <w:szCs w:val="24"/>
          <w:highlight w:val="none"/>
          <w:u w:val="single"/>
        </w:rPr>
        <w:t xml:space="preserve">               （详细注册地址）     </w:t>
      </w:r>
      <w:r>
        <w:rPr>
          <w:rFonts w:hint="eastAsia" w:hAnsi="宋体"/>
          <w:spacing w:val="4"/>
          <w:sz w:val="24"/>
          <w:szCs w:val="24"/>
          <w:highlight w:val="none"/>
        </w:rPr>
        <w:t>合法注册并经营，公司主营业务为</w:t>
      </w:r>
      <w:r>
        <w:rPr>
          <w:rFonts w:hint="eastAsia" w:hAnsi="宋体"/>
          <w:spacing w:val="4"/>
          <w:sz w:val="24"/>
          <w:szCs w:val="24"/>
          <w:highlight w:val="none"/>
          <w:u w:val="single"/>
        </w:rPr>
        <w:t xml:space="preserve">                        </w:t>
      </w:r>
      <w:r>
        <w:rPr>
          <w:rFonts w:hint="eastAsia" w:hAnsi="宋体"/>
          <w:spacing w:val="4"/>
          <w:sz w:val="24"/>
          <w:szCs w:val="24"/>
          <w:highlight w:val="none"/>
        </w:rPr>
        <w:t>。</w:t>
      </w:r>
    </w:p>
    <w:p w14:paraId="14A16649">
      <w:pPr>
        <w:pStyle w:val="11"/>
        <w:adjustRightInd w:val="0"/>
        <w:snapToGrid w:val="0"/>
        <w:spacing w:line="720" w:lineRule="exact"/>
        <w:ind w:firstLine="550" w:firstLineChars="222"/>
        <w:rPr>
          <w:rFonts w:hAnsi="宋体"/>
          <w:spacing w:val="4"/>
          <w:sz w:val="24"/>
          <w:szCs w:val="24"/>
          <w:highlight w:val="none"/>
        </w:rPr>
      </w:pPr>
      <w:r>
        <w:rPr>
          <w:rFonts w:hint="eastAsia" w:hAnsi="宋体"/>
          <w:spacing w:val="4"/>
          <w:sz w:val="24"/>
          <w:szCs w:val="24"/>
          <w:highlight w:val="none"/>
        </w:rPr>
        <w:t>我公司郑重承诺，我公司具有履行本合同所必需的设备和专业技术能力，合同履约中将无条件增加相关设备、人员，直至满足项目需求。</w:t>
      </w:r>
    </w:p>
    <w:p w14:paraId="4F90ADBC">
      <w:pPr>
        <w:pStyle w:val="11"/>
        <w:adjustRightInd w:val="0"/>
        <w:snapToGrid w:val="0"/>
        <w:spacing w:line="720" w:lineRule="exact"/>
        <w:rPr>
          <w:rFonts w:hAnsi="宋体"/>
          <w:spacing w:val="4"/>
          <w:sz w:val="24"/>
          <w:szCs w:val="24"/>
          <w:highlight w:val="none"/>
        </w:rPr>
      </w:pPr>
    </w:p>
    <w:p w14:paraId="05DA5705">
      <w:pPr>
        <w:pStyle w:val="11"/>
        <w:adjustRightInd w:val="0"/>
        <w:snapToGrid w:val="0"/>
        <w:spacing w:line="720" w:lineRule="exact"/>
        <w:rPr>
          <w:rFonts w:hAnsi="宋体"/>
          <w:spacing w:val="4"/>
          <w:sz w:val="24"/>
          <w:szCs w:val="24"/>
          <w:highlight w:val="none"/>
        </w:rPr>
      </w:pPr>
    </w:p>
    <w:p w14:paraId="6A4BCE50">
      <w:pPr>
        <w:pStyle w:val="11"/>
        <w:adjustRightInd w:val="0"/>
        <w:snapToGrid w:val="0"/>
        <w:spacing w:line="720" w:lineRule="exact"/>
        <w:rPr>
          <w:rFonts w:hAnsi="宋体"/>
          <w:spacing w:val="4"/>
          <w:sz w:val="24"/>
          <w:szCs w:val="24"/>
          <w:highlight w:val="none"/>
        </w:rPr>
      </w:pPr>
    </w:p>
    <w:p w14:paraId="1675D45C">
      <w:pPr>
        <w:spacing w:line="480" w:lineRule="auto"/>
        <w:ind w:firstLine="3360" w:firstLineChars="1400"/>
        <w:rPr>
          <w:rFonts w:ascii="宋体" w:hAnsi="宋体" w:cs="宋体"/>
          <w:sz w:val="24"/>
          <w:highlight w:val="none"/>
        </w:rPr>
      </w:pPr>
      <w:r>
        <w:rPr>
          <w:rFonts w:hint="eastAsia" w:ascii="宋体" w:hAnsi="宋体" w:cs="宋体"/>
          <w:sz w:val="24"/>
          <w:highlight w:val="none"/>
        </w:rPr>
        <w:t>投标人名称：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D7511FA">
      <w:pPr>
        <w:pStyle w:val="30"/>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DF11D0">
      <w:pPr>
        <w:rPr>
          <w:rFonts w:asciiTheme="minorEastAsia" w:hAnsiTheme="minorEastAsia" w:eastAsiaTheme="minorEastAsia" w:cstheme="minorEastAsia"/>
          <w:b/>
          <w:sz w:val="28"/>
          <w:szCs w:val="28"/>
          <w:highlight w:val="none"/>
        </w:rPr>
      </w:pPr>
    </w:p>
    <w:p w14:paraId="1A8EBE8E">
      <w:pP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7FAFAD71">
      <w:pPr>
        <w:adjustRightInd w:val="0"/>
        <w:snapToGrid w:val="0"/>
        <w:spacing w:line="480" w:lineRule="auto"/>
        <w:jc w:val="both"/>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附件5：基本资格条件承诺函</w:t>
      </w:r>
      <w:bookmarkEnd w:id="209"/>
    </w:p>
    <w:p w14:paraId="119DBD2B">
      <w:pPr>
        <w:spacing w:before="152" w:after="160" w:line="324" w:lineRule="auto"/>
        <w:rPr>
          <w:rFonts w:hint="eastAsia" w:ascii="宋体" w:hAnsi="宋体" w:eastAsia="宋体" w:cs="宋体"/>
          <w:b/>
          <w:color w:val="auto"/>
          <w:sz w:val="24"/>
          <w:szCs w:val="24"/>
          <w:highlight w:val="none"/>
        </w:rPr>
      </w:pPr>
    </w:p>
    <w:p w14:paraId="6B6ECA7F">
      <w:pPr>
        <w:spacing w:before="152" w:after="160" w:line="324"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基本资格条件承诺函</w:t>
      </w:r>
    </w:p>
    <w:p w14:paraId="145B6CF7">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spacing w:val="4"/>
          <w:sz w:val="24"/>
          <w:szCs w:val="24"/>
          <w:highlight w:val="none"/>
        </w:rPr>
        <w:t>致：</w:t>
      </w:r>
      <w:r>
        <w:rPr>
          <w:rFonts w:hint="eastAsia" w:hAnsi="宋体" w:cs="宋体"/>
          <w:spacing w:val="4"/>
          <w:sz w:val="24"/>
          <w:szCs w:val="24"/>
          <w:highlight w:val="none"/>
          <w:u w:val="single"/>
          <w:lang w:eastAsia="zh-CN"/>
        </w:rPr>
        <w:t>陕西海源广合项目管理有限公司</w:t>
      </w:r>
      <w:r>
        <w:rPr>
          <w:rFonts w:hint="eastAsia" w:ascii="宋体" w:hAnsi="宋体" w:eastAsia="宋体" w:cs="宋体"/>
          <w:spacing w:val="4"/>
          <w:sz w:val="24"/>
          <w:szCs w:val="24"/>
          <w:highlight w:val="none"/>
          <w:u w:val="single"/>
        </w:rPr>
        <w:t xml:space="preserve"> </w:t>
      </w:r>
    </w:p>
    <w:p w14:paraId="2DC0DE7C">
      <w:pPr>
        <w:snapToGrid w:val="0"/>
        <w:spacing w:line="360" w:lineRule="auto"/>
        <w:ind w:firstLine="240" w:firstLineChars="100"/>
        <w:rPr>
          <w:rFonts w:hint="eastAsia" w:ascii="宋体" w:hAnsi="宋体" w:eastAsia="宋体" w:cs="宋体"/>
          <w:color w:val="auto"/>
          <w:sz w:val="24"/>
          <w:szCs w:val="24"/>
          <w:highlight w:val="none"/>
          <w:u w:val="single"/>
        </w:rPr>
      </w:pPr>
    </w:p>
    <w:p w14:paraId="126FF8E7">
      <w:pPr>
        <w:snapToGrid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(投标人名称)郑重承诺:</w:t>
      </w:r>
    </w:p>
    <w:p w14:paraId="6CAC8018">
      <w:pPr>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1.我方具有良好的商业信誉和健全的财务会计制度，具有履行合同所必需的设备和专业技术能力，具有依法缴纳税收和社会保障金的良好记录，参加本项目采购活动前三年内无重大违法活动记录。</w:t>
      </w:r>
    </w:p>
    <w:p w14:paraId="30BB122E">
      <w:pPr>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13B53320">
      <w:pPr>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3.我方在采购项目评审(评标)环节结束后，随时接受</w:t>
      </w:r>
      <w:r>
        <w:rPr>
          <w:rFonts w:hint="eastAsia" w:hAnsi="宋体" w:cs="宋体"/>
          <w:color w:val="auto"/>
          <w:sz w:val="24"/>
          <w:szCs w:val="24"/>
          <w:highlight w:val="none"/>
          <w:lang w:eastAsia="zh-CN"/>
        </w:rPr>
        <w:t>招标人</w:t>
      </w:r>
      <w:r>
        <w:rPr>
          <w:rFonts w:hint="eastAsia" w:ascii="宋体" w:hAnsi="宋体" w:eastAsia="宋体" w:cs="宋体"/>
          <w:color w:val="auto"/>
          <w:sz w:val="24"/>
          <w:szCs w:val="24"/>
          <w:highlight w:val="none"/>
        </w:rPr>
        <w:t>、采购代理机构的检查验证，配合提供相关证明材料，证明符合《中华人民共和国政府采购法》规定的投标人基本资格条件。</w:t>
      </w:r>
    </w:p>
    <w:p w14:paraId="2976FFE2">
      <w:pPr>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我方对以上承诺负全部法律责任。</w:t>
      </w:r>
    </w:p>
    <w:p w14:paraId="55434FDA">
      <w:pPr>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16AC09AF">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4A41E324">
      <w:pPr>
        <w:adjustRightInd w:val="0"/>
        <w:snapToGrid w:val="0"/>
        <w:spacing w:line="44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9280B8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893B71D">
      <w:pP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10" w:name="_Toc836"/>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附件6：控股管理关系清单</w:t>
      </w:r>
    </w:p>
    <w:p w14:paraId="07236428">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583590A3">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陕西海源广合项目管理有限公司</w:t>
      </w:r>
      <w:r>
        <w:rPr>
          <w:rFonts w:hint="eastAsia" w:ascii="宋体" w:hAnsi="宋体" w:eastAsia="宋体" w:cs="宋体"/>
          <w:color w:val="000000"/>
          <w:kern w:val="0"/>
          <w:sz w:val="24"/>
          <w:szCs w:val="24"/>
          <w:highlight w:val="none"/>
          <w:lang w:val="en-US" w:eastAsia="zh-CN" w:bidi="ar"/>
        </w:rPr>
        <w:t>：</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3867"/>
        <w:gridCol w:w="3045"/>
        <w:gridCol w:w="1357"/>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default" w:hAnsi="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default" w:hAnsi="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default" w:hAnsi="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default" w:hAnsi="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27CFCF00">
      <w:pP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br w:type="page"/>
      </w:r>
    </w:p>
    <w:p w14:paraId="22E86B49">
      <w:pPr>
        <w:adjustRightInd w:val="0"/>
        <w:snapToGrid w:val="0"/>
        <w:spacing w:line="480" w:lineRule="auto"/>
        <w:jc w:val="both"/>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附件7：非联合体投标承诺书</w:t>
      </w:r>
      <w:bookmarkEnd w:id="210"/>
    </w:p>
    <w:p w14:paraId="1E86D9B0">
      <w:pPr>
        <w:adjustRightInd w:val="0"/>
        <w:snapToGrid w:val="0"/>
        <w:spacing w:line="360" w:lineRule="auto"/>
        <w:jc w:val="center"/>
        <w:rPr>
          <w:rFonts w:hint="eastAsia" w:ascii="宋体" w:hAnsi="宋体" w:eastAsia="宋体" w:cs="宋体"/>
          <w:b/>
          <w:sz w:val="24"/>
          <w:szCs w:val="24"/>
          <w:highlight w:val="none"/>
          <w:lang w:val="en-US" w:eastAsia="zh-CN"/>
        </w:rPr>
      </w:pPr>
    </w:p>
    <w:p w14:paraId="5E15FD46">
      <w:pPr>
        <w:adjustRightInd w:val="0"/>
        <w:snapToGrid w:val="0"/>
        <w:spacing w:line="360" w:lineRule="auto"/>
        <w:jc w:val="cente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非联合体投标承诺书</w:t>
      </w:r>
    </w:p>
    <w:p w14:paraId="1330F5EF">
      <w:pPr>
        <w:widowControl/>
        <w:spacing w:line="360" w:lineRule="auto"/>
        <w:ind w:left="1"/>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（格式）</w:t>
      </w:r>
    </w:p>
    <w:p w14:paraId="14899B70">
      <w:pPr>
        <w:rPr>
          <w:rFonts w:hint="eastAsia" w:ascii="宋体" w:hAnsi="宋体" w:eastAsia="宋体" w:cs="宋体"/>
          <w:b/>
          <w:sz w:val="24"/>
          <w:szCs w:val="24"/>
          <w:highlight w:val="none"/>
        </w:rPr>
      </w:pPr>
    </w:p>
    <w:p w14:paraId="24BE8FA7">
      <w:pPr>
        <w:bidi w:val="0"/>
        <w:rPr>
          <w:rFonts w:hint="eastAsia" w:ascii="宋体" w:hAnsi="宋体" w:eastAsia="宋体" w:cs="宋体"/>
          <w:sz w:val="24"/>
          <w:szCs w:val="24"/>
          <w:highlight w:val="none"/>
        </w:rPr>
      </w:pPr>
    </w:p>
    <w:p w14:paraId="2A5A2EEB">
      <w:pPr>
        <w:spacing w:line="500" w:lineRule="exact"/>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致：</w:t>
      </w:r>
      <w:r>
        <w:rPr>
          <w:rFonts w:hint="eastAsia" w:hAnsi="宋体" w:cs="宋体"/>
          <w:spacing w:val="4"/>
          <w:sz w:val="24"/>
          <w:szCs w:val="24"/>
          <w:highlight w:val="none"/>
          <w:u w:val="single"/>
          <w:lang w:eastAsia="zh-CN"/>
        </w:rPr>
        <w:t>陕西海源广合项目管理有限公司</w:t>
      </w:r>
      <w:r>
        <w:rPr>
          <w:rFonts w:hint="eastAsia" w:ascii="宋体" w:hAnsi="宋体" w:eastAsia="宋体" w:cs="宋体"/>
          <w:spacing w:val="4"/>
          <w:sz w:val="24"/>
          <w:szCs w:val="24"/>
          <w:highlight w:val="none"/>
          <w:u w:val="single"/>
        </w:rPr>
        <w:t xml:space="preserve"> </w:t>
      </w:r>
    </w:p>
    <w:p w14:paraId="722491E5">
      <w:pPr>
        <w:pStyle w:val="11"/>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w:t>
      </w:r>
      <w:r>
        <w:rPr>
          <w:rFonts w:hint="eastAsia" w:ascii="宋体" w:hAnsi="宋体" w:eastAsia="宋体" w:cs="宋体"/>
          <w:spacing w:val="4"/>
          <w:sz w:val="24"/>
          <w:szCs w:val="24"/>
          <w:highlight w:val="none"/>
          <w:lang w:val="en-US" w:eastAsia="zh-CN"/>
        </w:rPr>
        <w:t>在本项目投标中非联合投标</w:t>
      </w:r>
      <w:r>
        <w:rPr>
          <w:rFonts w:hint="eastAsia" w:ascii="宋体" w:hAnsi="宋体" w:eastAsia="宋体" w:cs="宋体"/>
          <w:spacing w:val="4"/>
          <w:sz w:val="24"/>
          <w:szCs w:val="24"/>
          <w:highlight w:val="none"/>
        </w:rPr>
        <w:t>。</w:t>
      </w:r>
    </w:p>
    <w:p w14:paraId="32E14265">
      <w:pPr>
        <w:pStyle w:val="11"/>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ascii="宋体" w:hAnsi="宋体" w:eastAsia="宋体" w:cs="宋体"/>
          <w:spacing w:val="4"/>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val="en-US" w:eastAsia="zh-CN"/>
        </w:rPr>
        <w:t>相关法律法规按照</w:t>
      </w:r>
      <w:r>
        <w:rPr>
          <w:rFonts w:hint="eastAsia" w:ascii="宋体" w:hAnsi="宋体" w:eastAsia="宋体" w:cs="宋体"/>
          <w:color w:val="auto"/>
          <w:sz w:val="24"/>
          <w:szCs w:val="24"/>
          <w:highlight w:val="none"/>
          <w:shd w:val="clear" w:color="auto" w:fill="FFFFFF"/>
        </w:rPr>
        <w:t>“提供虚假材料的规定”接受处罚。</w:t>
      </w:r>
    </w:p>
    <w:p w14:paraId="187407F6">
      <w:pPr>
        <w:pStyle w:val="11"/>
        <w:adjustRightInd w:val="0"/>
        <w:snapToGrid w:val="0"/>
        <w:spacing w:line="720" w:lineRule="exact"/>
        <w:rPr>
          <w:rFonts w:hint="eastAsia" w:ascii="宋体" w:hAnsi="宋体" w:eastAsia="宋体" w:cs="宋体"/>
          <w:spacing w:val="4"/>
          <w:sz w:val="24"/>
          <w:szCs w:val="24"/>
          <w:highlight w:val="none"/>
        </w:rPr>
      </w:pPr>
    </w:p>
    <w:p w14:paraId="6D8ACD61">
      <w:pPr>
        <w:pStyle w:val="11"/>
        <w:adjustRightInd w:val="0"/>
        <w:snapToGrid w:val="0"/>
        <w:spacing w:line="720" w:lineRule="exact"/>
        <w:rPr>
          <w:rFonts w:hint="eastAsia" w:ascii="宋体" w:hAnsi="宋体" w:eastAsia="宋体" w:cs="宋体"/>
          <w:spacing w:val="4"/>
          <w:sz w:val="24"/>
          <w:szCs w:val="24"/>
          <w:highlight w:val="none"/>
        </w:rPr>
      </w:pPr>
    </w:p>
    <w:p w14:paraId="7AF2AEE0">
      <w:pPr>
        <w:spacing w:line="480" w:lineRule="auto"/>
        <w:ind w:firstLine="3360" w:firstLineChars="1400"/>
        <w:jc w:val="righ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（盖章）</w:t>
      </w:r>
    </w:p>
    <w:p w14:paraId="0B64492F">
      <w:pPr>
        <w:jc w:val="right"/>
        <w:outlineLvl w:val="9"/>
        <w:rPr>
          <w:rFonts w:hint="eastAsia" w:ascii="宋体" w:hAnsi="宋体" w:eastAsia="宋体" w:cs="宋体"/>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1D032D1">
      <w:pPr>
        <w:rPr>
          <w:rFonts w:hint="eastAsia" w:ascii="宋体" w:hAnsi="宋体" w:cs="宋体"/>
          <w:b/>
          <w:bCs/>
          <w:sz w:val="30"/>
          <w:szCs w:val="30"/>
          <w:highlight w:val="none"/>
        </w:rPr>
      </w:pPr>
      <w:r>
        <w:rPr>
          <w:rFonts w:hint="eastAsia" w:ascii="宋体" w:hAnsi="宋体" w:cs="宋体"/>
          <w:b/>
          <w:bCs/>
          <w:sz w:val="30"/>
          <w:szCs w:val="30"/>
          <w:highlight w:val="none"/>
        </w:rPr>
        <w:br w:type="page"/>
      </w:r>
    </w:p>
    <w:p w14:paraId="19EC8712">
      <w:pPr>
        <w:rPr>
          <w:rFonts w:hint="eastAsia" w:ascii="宋体" w:hAnsi="宋体" w:eastAsia="宋体" w:cs="宋体"/>
          <w:b/>
          <w:color w:val="auto"/>
          <w:sz w:val="28"/>
          <w:szCs w:val="28"/>
          <w:highlight w:val="no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附件8：中小企业声明函</w:t>
      </w:r>
      <w:r>
        <w:rPr>
          <w:rFonts w:hint="eastAsia" w:ascii="宋体" w:hAnsi="宋体" w:eastAsia="宋体" w:cs="宋体"/>
          <w:b/>
          <w:color w:val="auto"/>
          <w:sz w:val="28"/>
          <w:szCs w:val="28"/>
          <w:highlight w:val="none"/>
        </w:rPr>
        <w:t>：</w:t>
      </w:r>
    </w:p>
    <w:p w14:paraId="7D90CD35">
      <w:pPr>
        <w:spacing w:line="588" w:lineRule="exact"/>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中小企业声明函</w:t>
      </w:r>
    </w:p>
    <w:p w14:paraId="552523FE">
      <w:pPr>
        <w:pStyle w:val="8"/>
        <w:spacing w:before="2"/>
        <w:rPr>
          <w:rFonts w:hint="eastAsia" w:ascii="宋体" w:hAnsi="宋体" w:eastAsia="宋体" w:cs="宋体"/>
          <w:b/>
          <w:color w:val="auto"/>
          <w:sz w:val="24"/>
          <w:highlight w:val="none"/>
        </w:rPr>
      </w:pPr>
    </w:p>
    <w:p w14:paraId="7C84D79D">
      <w:pPr>
        <w:pStyle w:val="8"/>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项目名称</w:t>
      </w:r>
      <w:r>
        <w:rPr>
          <w:rFonts w:hint="eastAsia" w:ascii="宋体" w:hAnsi="宋体" w:eastAsia="宋体" w:cs="宋体"/>
          <w:color w:val="auto"/>
          <w:spacing w:val="6"/>
          <w:sz w:val="24"/>
          <w:szCs w:val="24"/>
          <w:highlight w:val="none"/>
        </w:rPr>
        <w:t>）采购活动，提供的货物全部由符合政策要求的中小企业制造。相关企业（含联合体中的中小企业、签订分包意向协议的中小企业）的具体情况如下：</w:t>
      </w:r>
    </w:p>
    <w:p w14:paraId="1E437D36">
      <w:pPr>
        <w:pStyle w:val="27"/>
        <w:tabs>
          <w:tab w:val="left" w:pos="1183"/>
          <w:tab w:val="left" w:pos="1484"/>
          <w:tab w:val="left" w:pos="4662"/>
          <w:tab w:val="left" w:pos="6903"/>
        </w:tabs>
        <w:spacing w:line="360" w:lineRule="auto"/>
        <w:ind w:firstLine="444"/>
        <w:jc w:val="left"/>
        <w:rPr>
          <w:rFonts w:hint="eastAsia" w:ascii="宋体" w:hAnsi="宋体" w:eastAsia="宋体" w:cs="宋体"/>
          <w:color w:val="auto"/>
          <w:spacing w:val="6"/>
          <w:kern w:val="2"/>
          <w:sz w:val="24"/>
          <w:szCs w:val="24"/>
          <w:highlight w:val="none"/>
          <w:u w:val="none"/>
        </w:rPr>
      </w:pPr>
      <w:r>
        <w:rPr>
          <w:rFonts w:hint="eastAsia" w:ascii="宋体" w:hAnsi="宋体" w:eastAsia="宋体" w:cs="宋体"/>
          <w:color w:val="auto"/>
          <w:spacing w:val="6"/>
          <w:kern w:val="2"/>
          <w:sz w:val="24"/>
          <w:szCs w:val="24"/>
          <w:highlight w:val="none"/>
          <w:u w:val="none"/>
        </w:rPr>
        <w:t>1.</w:t>
      </w:r>
      <w:r>
        <w:rPr>
          <w:rFonts w:hint="eastAsia" w:ascii="宋体" w:hAnsi="宋体" w:eastAsia="宋体" w:cs="宋体"/>
          <w:color w:val="auto"/>
          <w:spacing w:val="6"/>
          <w:kern w:val="2"/>
          <w:sz w:val="24"/>
          <w:szCs w:val="24"/>
          <w:highlight w:val="none"/>
          <w:u w:val="single"/>
        </w:rPr>
        <w:t>（ 标 的 名 称 ）</w:t>
      </w:r>
      <w:r>
        <w:rPr>
          <w:rFonts w:hint="eastAsia" w:ascii="宋体" w:hAnsi="宋体" w:eastAsia="宋体" w:cs="宋体"/>
          <w:color w:val="auto"/>
          <w:spacing w:val="6"/>
          <w:kern w:val="2"/>
          <w:sz w:val="24"/>
          <w:szCs w:val="24"/>
          <w:highlight w:val="none"/>
          <w:u w:val="none"/>
        </w:rPr>
        <w:t>，属于</w:t>
      </w:r>
      <w:r>
        <w:rPr>
          <w:rFonts w:hint="eastAsia" w:ascii="宋体" w:hAnsi="宋体" w:eastAsia="宋体" w:cs="宋体"/>
          <w:color w:val="auto"/>
          <w:spacing w:val="6"/>
          <w:kern w:val="2"/>
          <w:sz w:val="24"/>
          <w:szCs w:val="24"/>
          <w:highlight w:val="none"/>
          <w:u w:val="single"/>
        </w:rPr>
        <w:t>（ 采 购 文 件 中 明 确 的 所 属 行 业 ）行业</w:t>
      </w:r>
      <w:r>
        <w:rPr>
          <w:rFonts w:hint="eastAsia" w:ascii="宋体" w:hAnsi="宋体" w:eastAsia="宋体" w:cs="宋体"/>
          <w:color w:val="auto"/>
          <w:spacing w:val="6"/>
          <w:kern w:val="2"/>
          <w:sz w:val="24"/>
          <w:szCs w:val="24"/>
          <w:highlight w:val="none"/>
          <w:u w:val="none"/>
        </w:rPr>
        <w:t>；制造商为</w:t>
      </w:r>
      <w:r>
        <w:rPr>
          <w:rFonts w:hint="eastAsia" w:ascii="宋体" w:hAnsi="宋体" w:eastAsia="宋体" w:cs="宋体"/>
          <w:color w:val="auto"/>
          <w:spacing w:val="6"/>
          <w:kern w:val="2"/>
          <w:sz w:val="24"/>
          <w:szCs w:val="24"/>
          <w:highlight w:val="none"/>
          <w:u w:val="single"/>
        </w:rPr>
        <w:t>（企业名称）</w:t>
      </w:r>
      <w:r>
        <w:rPr>
          <w:rFonts w:hint="eastAsia" w:ascii="宋体" w:hAnsi="宋体" w:eastAsia="宋体" w:cs="宋体"/>
          <w:color w:val="auto"/>
          <w:spacing w:val="6"/>
          <w:kern w:val="2"/>
          <w:sz w:val="24"/>
          <w:szCs w:val="24"/>
          <w:highlight w:val="none"/>
          <w:u w:val="none"/>
        </w:rPr>
        <w:t>，从业人员</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人，营业收入为</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万元，资产总额为</w:t>
      </w:r>
      <w:r>
        <w:rPr>
          <w:rFonts w:hint="eastAsia" w:ascii="宋体" w:hAnsi="宋体" w:eastAsia="宋体" w:cs="宋体"/>
          <w:color w:val="auto"/>
          <w:spacing w:val="6"/>
          <w:kern w:val="2"/>
          <w:sz w:val="24"/>
          <w:szCs w:val="24"/>
          <w:highlight w:val="none"/>
          <w:u w:val="single"/>
        </w:rPr>
        <w:t xml:space="preserve"> </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w:t>
      </w:r>
      <w:r>
        <w:rPr>
          <w:rFonts w:hint="eastAsia" w:ascii="宋体" w:hAnsi="宋体" w:eastAsia="宋体" w:cs="宋体"/>
          <w:color w:val="auto"/>
          <w:spacing w:val="6"/>
          <w:kern w:val="2"/>
          <w:sz w:val="24"/>
          <w:szCs w:val="24"/>
          <w:highlight w:val="none"/>
          <w:u w:val="single"/>
        </w:rPr>
        <w:t>属于（中型企业、小型企业、微型企业）</w:t>
      </w:r>
      <w:r>
        <w:rPr>
          <w:rFonts w:hint="eastAsia" w:ascii="宋体" w:hAnsi="宋体" w:eastAsia="宋体" w:cs="宋体"/>
          <w:color w:val="auto"/>
          <w:spacing w:val="6"/>
          <w:kern w:val="2"/>
          <w:sz w:val="24"/>
          <w:szCs w:val="24"/>
          <w:highlight w:val="none"/>
          <w:u w:val="none"/>
        </w:rPr>
        <w:t>；</w:t>
      </w:r>
    </w:p>
    <w:p w14:paraId="74D51F0A">
      <w:pPr>
        <w:pStyle w:val="27"/>
        <w:tabs>
          <w:tab w:val="left" w:pos="1183"/>
          <w:tab w:val="left" w:pos="1484"/>
          <w:tab w:val="left" w:pos="4662"/>
          <w:tab w:val="left" w:pos="6903"/>
        </w:tabs>
        <w:spacing w:line="360" w:lineRule="auto"/>
        <w:ind w:firstLine="444"/>
        <w:jc w:val="left"/>
        <w:rPr>
          <w:rFonts w:hint="eastAsia" w:ascii="宋体" w:hAnsi="宋体" w:eastAsia="宋体" w:cs="宋体"/>
          <w:color w:val="auto"/>
          <w:spacing w:val="6"/>
          <w:kern w:val="2"/>
          <w:sz w:val="24"/>
          <w:szCs w:val="24"/>
          <w:highlight w:val="none"/>
          <w:u w:val="none"/>
        </w:rPr>
      </w:pPr>
      <w:r>
        <w:rPr>
          <w:rFonts w:hint="eastAsia" w:ascii="宋体" w:hAnsi="宋体" w:eastAsia="宋体" w:cs="宋体"/>
          <w:color w:val="auto"/>
          <w:spacing w:val="6"/>
          <w:kern w:val="2"/>
          <w:sz w:val="24"/>
          <w:szCs w:val="24"/>
          <w:highlight w:val="none"/>
          <w:u w:val="none"/>
          <w:lang w:val="en-US" w:eastAsia="zh-CN"/>
        </w:rPr>
        <w:t>2.</w:t>
      </w:r>
      <w:r>
        <w:rPr>
          <w:rFonts w:hint="eastAsia" w:ascii="宋体" w:hAnsi="宋体" w:eastAsia="宋体" w:cs="宋体"/>
          <w:color w:val="auto"/>
          <w:spacing w:val="6"/>
          <w:kern w:val="2"/>
          <w:sz w:val="24"/>
          <w:szCs w:val="24"/>
          <w:highlight w:val="none"/>
          <w:u w:val="single"/>
        </w:rPr>
        <w:t>（ 标 的 名 称 ）</w:t>
      </w:r>
      <w:r>
        <w:rPr>
          <w:rFonts w:hint="eastAsia" w:ascii="宋体" w:hAnsi="宋体" w:eastAsia="宋体" w:cs="宋体"/>
          <w:color w:val="auto"/>
          <w:spacing w:val="6"/>
          <w:kern w:val="2"/>
          <w:sz w:val="24"/>
          <w:szCs w:val="24"/>
          <w:highlight w:val="none"/>
          <w:u w:val="none"/>
        </w:rPr>
        <w:t>，属于</w:t>
      </w:r>
      <w:r>
        <w:rPr>
          <w:rFonts w:hint="eastAsia" w:ascii="宋体" w:hAnsi="宋体" w:eastAsia="宋体" w:cs="宋体"/>
          <w:color w:val="auto"/>
          <w:spacing w:val="6"/>
          <w:kern w:val="2"/>
          <w:sz w:val="24"/>
          <w:szCs w:val="24"/>
          <w:highlight w:val="none"/>
          <w:u w:val="single"/>
        </w:rPr>
        <w:t>（ 采 购 文 件 中 明 确 的 所 属 行 业 ）行业</w:t>
      </w:r>
      <w:r>
        <w:rPr>
          <w:rFonts w:hint="eastAsia" w:ascii="宋体" w:hAnsi="宋体" w:eastAsia="宋体" w:cs="宋体"/>
          <w:color w:val="auto"/>
          <w:spacing w:val="6"/>
          <w:kern w:val="2"/>
          <w:sz w:val="24"/>
          <w:szCs w:val="24"/>
          <w:highlight w:val="none"/>
          <w:u w:val="none"/>
        </w:rPr>
        <w:t>；制造商为</w:t>
      </w:r>
      <w:r>
        <w:rPr>
          <w:rFonts w:hint="eastAsia" w:ascii="宋体" w:hAnsi="宋体" w:eastAsia="宋体" w:cs="宋体"/>
          <w:color w:val="auto"/>
          <w:spacing w:val="6"/>
          <w:kern w:val="2"/>
          <w:sz w:val="24"/>
          <w:szCs w:val="24"/>
          <w:highlight w:val="none"/>
          <w:u w:val="single"/>
        </w:rPr>
        <w:t>（企业名称）</w:t>
      </w:r>
      <w:r>
        <w:rPr>
          <w:rFonts w:hint="eastAsia" w:ascii="宋体" w:hAnsi="宋体" w:eastAsia="宋体" w:cs="宋体"/>
          <w:color w:val="auto"/>
          <w:spacing w:val="6"/>
          <w:kern w:val="2"/>
          <w:sz w:val="24"/>
          <w:szCs w:val="24"/>
          <w:highlight w:val="none"/>
          <w:u w:val="none"/>
        </w:rPr>
        <w:t>，从业人员</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人，营业收入为</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万元，资产总额为</w:t>
      </w:r>
      <w:r>
        <w:rPr>
          <w:rFonts w:hint="eastAsia" w:ascii="宋体" w:hAnsi="宋体" w:eastAsia="宋体" w:cs="宋体"/>
          <w:color w:val="auto"/>
          <w:spacing w:val="6"/>
          <w:kern w:val="2"/>
          <w:sz w:val="24"/>
          <w:szCs w:val="24"/>
          <w:highlight w:val="none"/>
          <w:u w:val="single"/>
        </w:rPr>
        <w:t xml:space="preserve"> </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w:t>
      </w:r>
      <w:r>
        <w:rPr>
          <w:rFonts w:hint="eastAsia" w:ascii="宋体" w:hAnsi="宋体" w:eastAsia="宋体" w:cs="宋体"/>
          <w:color w:val="auto"/>
          <w:spacing w:val="6"/>
          <w:kern w:val="2"/>
          <w:sz w:val="24"/>
          <w:szCs w:val="24"/>
          <w:highlight w:val="none"/>
          <w:u w:val="single"/>
        </w:rPr>
        <w:t>属于（中型企业、小型企业、微型企业）</w:t>
      </w:r>
      <w:r>
        <w:rPr>
          <w:rFonts w:hint="eastAsia" w:ascii="宋体" w:hAnsi="宋体" w:eastAsia="宋体" w:cs="宋体"/>
          <w:color w:val="auto"/>
          <w:spacing w:val="6"/>
          <w:kern w:val="2"/>
          <w:sz w:val="24"/>
          <w:szCs w:val="24"/>
          <w:highlight w:val="none"/>
          <w:u w:val="none"/>
        </w:rPr>
        <w:t>；</w:t>
      </w:r>
    </w:p>
    <w:p w14:paraId="14553271">
      <w:pPr>
        <w:pStyle w:val="8"/>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14:paraId="1BDF75D8">
      <w:pPr>
        <w:pStyle w:val="8"/>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以上企业，不属于大企业的分支机构，不存在控股股东为大企业的情形，也不存在与大企业的负责人为同一人的情形。</w:t>
      </w:r>
    </w:p>
    <w:p w14:paraId="7B967AA3">
      <w:pPr>
        <w:pStyle w:val="8"/>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本企业对上述声明内容的真实性负责。如有虚假，将依法承担相应责任。</w:t>
      </w:r>
    </w:p>
    <w:p w14:paraId="3978B886">
      <w:pPr>
        <w:pStyle w:val="8"/>
        <w:spacing w:before="35" w:line="316" w:lineRule="auto"/>
        <w:ind w:left="4060" w:right="2166"/>
        <w:rPr>
          <w:rFonts w:hint="eastAsia" w:ascii="宋体" w:hAnsi="宋体" w:eastAsia="宋体" w:cs="宋体"/>
          <w:color w:val="auto"/>
          <w:spacing w:val="6"/>
          <w:sz w:val="24"/>
          <w:szCs w:val="24"/>
          <w:highlight w:val="none"/>
        </w:rPr>
      </w:pPr>
    </w:p>
    <w:p w14:paraId="26AF1A9A">
      <w:pPr>
        <w:pStyle w:val="8"/>
        <w:spacing w:before="35" w:line="316" w:lineRule="auto"/>
        <w:ind w:left="4060" w:right="2166"/>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14:paraId="4CC38067">
      <w:pPr>
        <w:pStyle w:val="8"/>
        <w:spacing w:before="35" w:line="316" w:lineRule="auto"/>
        <w:ind w:left="4060" w:right="2166"/>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日期：</w:t>
      </w:r>
    </w:p>
    <w:p w14:paraId="0D57A0A7">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6EF480EF">
      <w:pP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附件9（如有）：</w:t>
      </w:r>
    </w:p>
    <w:p w14:paraId="2DC22902">
      <w:pPr>
        <w:spacing w:line="588" w:lineRule="exact"/>
        <w:jc w:val="center"/>
        <w:rPr>
          <w:rFonts w:hint="eastAsia" w:ascii="宋体" w:hAnsi="宋体" w:eastAsia="宋体" w:cs="宋体"/>
          <w:b/>
          <w:color w:val="auto"/>
          <w:spacing w:val="6"/>
          <w:sz w:val="32"/>
          <w:szCs w:val="32"/>
          <w:highlight w:val="none"/>
        </w:rPr>
      </w:pPr>
      <w:bookmarkStart w:id="211" w:name="OLE_LINK13"/>
      <w:bookmarkStart w:id="212" w:name="OLE_LINK14"/>
      <w:r>
        <w:rPr>
          <w:rFonts w:hint="eastAsia" w:ascii="宋体" w:hAnsi="宋体" w:eastAsia="宋体" w:cs="宋体"/>
          <w:b/>
          <w:color w:val="auto"/>
          <w:spacing w:val="6"/>
          <w:sz w:val="32"/>
          <w:szCs w:val="32"/>
          <w:highlight w:val="none"/>
        </w:rPr>
        <w:t>残疾人福利性单位声明函</w:t>
      </w:r>
    </w:p>
    <w:bookmarkEnd w:id="211"/>
    <w:bookmarkEnd w:id="212"/>
    <w:p w14:paraId="40B15BB4">
      <w:pPr>
        <w:spacing w:line="588" w:lineRule="exact"/>
        <w:rPr>
          <w:rFonts w:hint="eastAsia" w:ascii="宋体" w:hAnsi="宋体" w:eastAsia="宋体" w:cs="宋体"/>
          <w:b/>
          <w:color w:val="auto"/>
          <w:spacing w:val="6"/>
          <w:sz w:val="30"/>
          <w:szCs w:val="30"/>
          <w:highlight w:val="none"/>
        </w:rPr>
      </w:pPr>
    </w:p>
    <w:p w14:paraId="5BA221C3">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本单位郑重声明，根据《财政部 民政部 中国残疾人联合会关于促进残疾人就业政府采购政策的通知》（财库</w:t>
      </w:r>
      <w:r>
        <w:rPr>
          <w:rFonts w:hint="eastAsia" w:ascii="宋体" w:hAnsi="宋体" w:eastAsia="宋体" w:cs="宋体"/>
          <w:color w:val="auto"/>
          <w:szCs w:val="24"/>
          <w:highlight w:val="none"/>
        </w:rPr>
        <w:t>〔2017〕 141</w:t>
      </w:r>
      <w:r>
        <w:rPr>
          <w:rFonts w:hint="eastAsia" w:ascii="宋体" w:hAnsi="宋体" w:eastAsia="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971D22">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本单位对上述声明的真实性负责。如有虚假，将依法承担相应责任。</w:t>
      </w:r>
    </w:p>
    <w:p w14:paraId="38C2F2BB">
      <w:pPr>
        <w:spacing w:line="588" w:lineRule="exact"/>
        <w:ind w:firstLine="504" w:firstLineChars="200"/>
        <w:rPr>
          <w:rFonts w:hint="eastAsia" w:ascii="宋体" w:hAnsi="宋体" w:eastAsia="宋体" w:cs="宋体"/>
          <w:color w:val="auto"/>
          <w:spacing w:val="6"/>
          <w:szCs w:val="24"/>
          <w:highlight w:val="none"/>
        </w:rPr>
      </w:pPr>
    </w:p>
    <w:p w14:paraId="1DF82376">
      <w:pPr>
        <w:spacing w:line="588" w:lineRule="exact"/>
        <w:ind w:firstLine="504" w:firstLineChars="200"/>
        <w:rPr>
          <w:rFonts w:hint="eastAsia" w:ascii="宋体" w:hAnsi="宋体" w:eastAsia="宋体" w:cs="宋体"/>
          <w:color w:val="auto"/>
          <w:spacing w:val="6"/>
          <w:szCs w:val="24"/>
          <w:highlight w:val="none"/>
        </w:rPr>
      </w:pPr>
    </w:p>
    <w:p w14:paraId="571222A4">
      <w:pPr>
        <w:spacing w:line="588" w:lineRule="exact"/>
        <w:ind w:firstLine="504" w:firstLineChars="200"/>
        <w:rPr>
          <w:rFonts w:hint="eastAsia" w:ascii="宋体" w:hAnsi="宋体" w:eastAsia="宋体" w:cs="宋体"/>
          <w:color w:val="auto"/>
          <w:spacing w:val="6"/>
          <w:szCs w:val="24"/>
          <w:highlight w:val="none"/>
        </w:rPr>
      </w:pPr>
    </w:p>
    <w:p w14:paraId="735A7C03">
      <w:pPr>
        <w:spacing w:line="588" w:lineRule="exact"/>
        <w:ind w:firstLine="504" w:firstLineChars="200"/>
        <w:rPr>
          <w:rFonts w:hint="eastAsia" w:ascii="宋体" w:hAnsi="宋体" w:eastAsia="宋体" w:cs="宋体"/>
          <w:color w:val="auto"/>
          <w:spacing w:val="6"/>
          <w:szCs w:val="24"/>
          <w:highlight w:val="none"/>
        </w:rPr>
      </w:pPr>
    </w:p>
    <w:p w14:paraId="38950E3A">
      <w:pPr>
        <w:tabs>
          <w:tab w:val="left" w:pos="4860"/>
        </w:tabs>
        <w:spacing w:line="588" w:lineRule="exact"/>
        <w:ind w:right="1560" w:firstLine="504" w:firstLineChars="20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单位名称（盖章）：</w:t>
      </w:r>
    </w:p>
    <w:p w14:paraId="08EC56A8">
      <w:pPr>
        <w:tabs>
          <w:tab w:val="left" w:pos="4860"/>
        </w:tabs>
        <w:spacing w:line="588" w:lineRule="exact"/>
        <w:ind w:right="1560" w:firstLine="504" w:firstLineChars="20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日    期：</w:t>
      </w:r>
    </w:p>
    <w:p w14:paraId="17A610A3">
      <w:pPr>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附件10：</w:t>
      </w:r>
    </w:p>
    <w:p w14:paraId="19071E08">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13BF90FA">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704A884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7A93E7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B62600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5FFDF7F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7A922A0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DAA3BC3">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217B116">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10898A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6183D28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70FF02A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F6DA2C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66D4DA80">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51B509BA">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E076D6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5193E2">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377DB696">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AF7BA3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4440FDE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6CFC1B5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4BD9A5C9">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43077DAF">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656284DE">
      <w:pPr>
        <w:rPr>
          <w:rFonts w:hAnsi="宋体" w:cs="宋体"/>
          <w:color w:val="auto"/>
          <w:szCs w:val="24"/>
          <w:highlight w:val="none"/>
        </w:rPr>
      </w:pPr>
      <w:r>
        <w:rPr>
          <w:rFonts w:hint="eastAsia" w:hAnsi="宋体" w:cs="宋体"/>
          <w:color w:val="auto"/>
          <w:szCs w:val="24"/>
          <w:highlight w:val="none"/>
        </w:rPr>
        <w:t xml:space="preserve">签字(签章)：                   公章：                      </w:t>
      </w:r>
    </w:p>
    <w:p w14:paraId="523C8B1B">
      <w:pPr>
        <w:rPr>
          <w:rFonts w:hAnsi="宋体" w:cs="宋体"/>
          <w:color w:val="auto"/>
          <w:szCs w:val="24"/>
          <w:highlight w:val="none"/>
        </w:rPr>
      </w:pPr>
      <w:r>
        <w:rPr>
          <w:rFonts w:hint="eastAsia" w:hAnsi="宋体" w:cs="宋体"/>
          <w:color w:val="auto"/>
          <w:szCs w:val="24"/>
          <w:highlight w:val="none"/>
        </w:rPr>
        <w:t xml:space="preserve">日期：    </w:t>
      </w:r>
    </w:p>
    <w:p w14:paraId="0935FDD2">
      <w:pPr>
        <w:jc w:val="center"/>
        <w:rPr>
          <w:rFonts w:hAnsi="宋体" w:cs="宋体"/>
          <w:b/>
          <w:color w:val="auto"/>
          <w:sz w:val="44"/>
          <w:szCs w:val="44"/>
          <w:highlight w:val="none"/>
        </w:rPr>
      </w:pPr>
    </w:p>
    <w:p w14:paraId="4F3F981E">
      <w:pPr>
        <w:rPr>
          <w:rFonts w:hint="eastAsia" w:hAnsi="宋体" w:cs="宋体"/>
          <w:b/>
          <w:color w:val="auto"/>
          <w:sz w:val="44"/>
          <w:szCs w:val="44"/>
          <w:highlight w:val="none"/>
        </w:rPr>
      </w:pPr>
      <w:r>
        <w:rPr>
          <w:rFonts w:hint="eastAsia" w:hAnsi="宋体" w:cs="宋体"/>
          <w:b/>
          <w:color w:val="auto"/>
          <w:sz w:val="44"/>
          <w:szCs w:val="44"/>
          <w:highlight w:val="none"/>
        </w:rPr>
        <w:br w:type="page"/>
      </w:r>
    </w:p>
    <w:p w14:paraId="5121865F">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034B85DA">
      <w:pPr>
        <w:rPr>
          <w:rFonts w:hAnsi="宋体" w:cs="宋体"/>
          <w:color w:val="auto"/>
          <w:szCs w:val="24"/>
          <w:highlight w:val="none"/>
        </w:rPr>
      </w:pPr>
      <w:r>
        <w:rPr>
          <w:rFonts w:hint="eastAsia" w:hAnsi="宋体" w:cs="宋体"/>
          <w:color w:val="auto"/>
          <w:szCs w:val="24"/>
          <w:highlight w:val="none"/>
        </w:rPr>
        <w:t>一、投诉相关主体基本情况</w:t>
      </w:r>
    </w:p>
    <w:p w14:paraId="4C668860">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2F337BC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65D63CE">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A9A0F85">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6107CAD">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14AAFF91">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7B2FE7C7">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9EFC966">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DA2180D">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6A8517EA">
      <w:pPr>
        <w:rPr>
          <w:rFonts w:hAnsi="宋体" w:cs="宋体"/>
          <w:color w:val="auto"/>
          <w:szCs w:val="24"/>
          <w:highlight w:val="none"/>
        </w:rPr>
      </w:pPr>
      <w:r>
        <w:rPr>
          <w:rFonts w:hint="eastAsia" w:hAnsi="宋体" w:cs="宋体"/>
          <w:color w:val="auto"/>
          <w:szCs w:val="24"/>
          <w:highlight w:val="none"/>
        </w:rPr>
        <w:t>被投诉人2</w:t>
      </w:r>
    </w:p>
    <w:p w14:paraId="723C0E2E">
      <w:pPr>
        <w:rPr>
          <w:rFonts w:hAnsi="宋体" w:cs="宋体"/>
          <w:color w:val="auto"/>
          <w:szCs w:val="24"/>
          <w:highlight w:val="none"/>
          <w:u w:val="dotted"/>
        </w:rPr>
      </w:pPr>
      <w:r>
        <w:rPr>
          <w:rFonts w:hint="eastAsia" w:hAnsi="宋体" w:cs="宋体"/>
          <w:color w:val="auto"/>
          <w:szCs w:val="24"/>
          <w:highlight w:val="none"/>
        </w:rPr>
        <w:t>……</w:t>
      </w:r>
    </w:p>
    <w:p w14:paraId="2D7876E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C859F2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ECD78F4">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5D8586F">
      <w:pPr>
        <w:rPr>
          <w:rFonts w:hAnsi="宋体" w:cs="宋体"/>
          <w:color w:val="auto"/>
          <w:szCs w:val="24"/>
          <w:highlight w:val="none"/>
        </w:rPr>
      </w:pPr>
      <w:r>
        <w:rPr>
          <w:rFonts w:hint="eastAsia" w:hAnsi="宋体" w:cs="宋体"/>
          <w:color w:val="auto"/>
          <w:szCs w:val="24"/>
          <w:highlight w:val="none"/>
        </w:rPr>
        <w:t>二、投诉项目基本情况</w:t>
      </w:r>
    </w:p>
    <w:p w14:paraId="1F743FAF">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5B111A62">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4B18DF13">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8C94E40">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74A8AAD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3850DADB">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2EC7D42">
      <w:pPr>
        <w:rPr>
          <w:rFonts w:hAnsi="宋体" w:cs="宋体"/>
          <w:color w:val="auto"/>
          <w:szCs w:val="24"/>
          <w:highlight w:val="none"/>
        </w:rPr>
      </w:pPr>
      <w:r>
        <w:rPr>
          <w:rFonts w:hint="eastAsia" w:hAnsi="宋体" w:cs="宋体"/>
          <w:color w:val="auto"/>
          <w:szCs w:val="24"/>
          <w:highlight w:val="none"/>
        </w:rPr>
        <w:t>三、质疑基本情况</w:t>
      </w:r>
    </w:p>
    <w:p w14:paraId="7E551B66">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1C030C2F">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A4744B0">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740DDFA2">
      <w:pPr>
        <w:rPr>
          <w:rFonts w:hAnsi="宋体" w:cs="宋体"/>
          <w:color w:val="auto"/>
          <w:szCs w:val="24"/>
          <w:highlight w:val="none"/>
        </w:rPr>
      </w:pPr>
      <w:r>
        <w:rPr>
          <w:rFonts w:hint="eastAsia" w:hAnsi="宋体" w:cs="宋体"/>
          <w:color w:val="auto"/>
          <w:szCs w:val="24"/>
          <w:highlight w:val="none"/>
        </w:rPr>
        <w:t>四、投诉事项具体内容</w:t>
      </w:r>
    </w:p>
    <w:p w14:paraId="33C1F6F5">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4E4133AE">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88135">
      <w:pPr>
        <w:rPr>
          <w:rFonts w:hAnsi="宋体" w:cs="宋体"/>
          <w:color w:val="auto"/>
          <w:szCs w:val="24"/>
          <w:highlight w:val="none"/>
          <w:u w:val="dotted"/>
        </w:rPr>
      </w:pPr>
      <w:r>
        <w:rPr>
          <w:rFonts w:hint="eastAsia" w:hAnsi="宋体" w:cs="宋体"/>
          <w:color w:val="auto"/>
          <w:szCs w:val="24"/>
          <w:highlight w:val="none"/>
          <w:u w:val="dotted"/>
        </w:rPr>
        <w:t xml:space="preserve">                                                      </w:t>
      </w:r>
    </w:p>
    <w:p w14:paraId="10B48E94">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66B03D50">
      <w:pPr>
        <w:rPr>
          <w:rFonts w:hAnsi="宋体" w:cs="宋体"/>
          <w:color w:val="auto"/>
          <w:szCs w:val="24"/>
          <w:highlight w:val="none"/>
          <w:u w:val="dotted"/>
        </w:rPr>
      </w:pPr>
      <w:r>
        <w:rPr>
          <w:rFonts w:hint="eastAsia" w:hAnsi="宋体" w:cs="宋体"/>
          <w:color w:val="auto"/>
          <w:szCs w:val="24"/>
          <w:highlight w:val="none"/>
          <w:u w:val="dotted"/>
        </w:rPr>
        <w:t xml:space="preserve">                                                      </w:t>
      </w:r>
    </w:p>
    <w:p w14:paraId="596C1CD5">
      <w:pPr>
        <w:rPr>
          <w:rFonts w:hAnsi="宋体" w:cs="宋体"/>
          <w:color w:val="auto"/>
          <w:szCs w:val="24"/>
          <w:highlight w:val="none"/>
        </w:rPr>
      </w:pPr>
      <w:r>
        <w:rPr>
          <w:rFonts w:hint="eastAsia" w:hAnsi="宋体" w:cs="宋体"/>
          <w:color w:val="auto"/>
          <w:szCs w:val="24"/>
          <w:highlight w:val="none"/>
        </w:rPr>
        <w:t>投诉事项2</w:t>
      </w:r>
    </w:p>
    <w:p w14:paraId="0548041F">
      <w:pPr>
        <w:rPr>
          <w:rFonts w:hAnsi="宋体" w:cs="宋体"/>
          <w:color w:val="auto"/>
          <w:szCs w:val="24"/>
          <w:highlight w:val="none"/>
          <w:u w:val="dotted"/>
        </w:rPr>
      </w:pPr>
      <w:r>
        <w:rPr>
          <w:rFonts w:hint="eastAsia" w:hAnsi="宋体" w:cs="宋体"/>
          <w:color w:val="auto"/>
          <w:szCs w:val="24"/>
          <w:highlight w:val="none"/>
        </w:rPr>
        <w:t>……</w:t>
      </w:r>
    </w:p>
    <w:p w14:paraId="38811AFF">
      <w:pPr>
        <w:rPr>
          <w:rFonts w:hAnsi="宋体" w:cs="宋体"/>
          <w:color w:val="auto"/>
          <w:szCs w:val="24"/>
          <w:highlight w:val="none"/>
        </w:rPr>
      </w:pPr>
      <w:r>
        <w:rPr>
          <w:rFonts w:hint="eastAsia" w:hAnsi="宋体" w:cs="宋体"/>
          <w:color w:val="auto"/>
          <w:szCs w:val="24"/>
          <w:highlight w:val="none"/>
        </w:rPr>
        <w:t>五、与投诉事项相关的投诉请求</w:t>
      </w:r>
    </w:p>
    <w:p w14:paraId="20481794">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0D58D8C0">
      <w:pPr>
        <w:rPr>
          <w:rFonts w:hAnsi="宋体" w:cs="宋体"/>
          <w:color w:val="auto"/>
          <w:szCs w:val="24"/>
          <w:highlight w:val="none"/>
          <w:u w:val="single"/>
        </w:rPr>
      </w:pPr>
      <w:r>
        <w:rPr>
          <w:rFonts w:hint="eastAsia" w:hAnsi="宋体" w:cs="宋体"/>
          <w:color w:val="auto"/>
          <w:szCs w:val="24"/>
          <w:highlight w:val="none"/>
        </w:rPr>
        <w:t xml:space="preserve">                                                                                                    </w:t>
      </w:r>
    </w:p>
    <w:p w14:paraId="4877AB52">
      <w:pPr>
        <w:rPr>
          <w:rFonts w:hAnsi="宋体" w:cs="宋体"/>
          <w:color w:val="auto"/>
          <w:szCs w:val="24"/>
          <w:highlight w:val="none"/>
        </w:rPr>
      </w:pPr>
      <w:r>
        <w:rPr>
          <w:rFonts w:hint="eastAsia" w:hAnsi="宋体" w:cs="宋体"/>
          <w:color w:val="auto"/>
          <w:szCs w:val="24"/>
          <w:highlight w:val="none"/>
        </w:rPr>
        <w:t xml:space="preserve">签字(签章)：                   公章：                      </w:t>
      </w:r>
    </w:p>
    <w:p w14:paraId="034FFF71">
      <w:pPr>
        <w:rPr>
          <w:rFonts w:hAnsi="宋体" w:cs="宋体"/>
          <w:color w:val="auto"/>
          <w:szCs w:val="24"/>
          <w:highlight w:val="none"/>
        </w:rPr>
      </w:pPr>
      <w:r>
        <w:rPr>
          <w:rFonts w:hint="eastAsia" w:hAnsi="宋体" w:cs="宋体"/>
          <w:color w:val="auto"/>
          <w:szCs w:val="24"/>
          <w:highlight w:val="none"/>
        </w:rPr>
        <w:t xml:space="preserve">日期：                      </w:t>
      </w:r>
      <w:r>
        <w:rPr>
          <w:rFonts w:hint="eastAsia" w:hAnsi="宋体" w:cs="宋体"/>
          <w:color w:val="auto"/>
          <w:szCs w:val="24"/>
          <w:highlight w:val="none"/>
        </w:rPr>
        <w:tab/>
      </w:r>
    </w:p>
    <w:p w14:paraId="2F9D770E">
      <w:pPr>
        <w:rPr>
          <w:color w:val="auto"/>
          <w:highlight w:val="none"/>
        </w:rPr>
      </w:pPr>
    </w:p>
    <w:sectPr>
      <w:headerReference r:id="rId15" w:type="default"/>
      <w:footerReference r:id="rId16" w:type="default"/>
      <w:pgSz w:w="11906" w:h="16838"/>
      <w:pgMar w:top="1361" w:right="1417" w:bottom="1361"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7A"/>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D7A1E">
    <w:pPr>
      <w:tabs>
        <w:tab w:val="left" w:pos="5646"/>
      </w:tabs>
      <w:rPr>
        <w:rFonts w:hint="eastAsia" w:eastAsia="宋体"/>
        <w:sz w:val="18"/>
        <w:szCs w:val="18"/>
        <w:lang w:eastAsia="zh-CN"/>
      </w:rPr>
    </w:pPr>
    <w:r>
      <w:rPr>
        <w:sz w:val="18"/>
        <w:szCs w:val="18"/>
      </w:rPr>
      <mc:AlternateContent>
        <mc:Choice Requires="wps">
          <w:drawing>
            <wp:anchor distT="0" distB="0" distL="114300" distR="114300" simplePos="0" relativeHeight="251663360"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961FA5">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3360;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ALhidQAAAAIAQAADwAAAAAAAAABACAAAAAiAAAAZHJzL2Rvd25yZXYu&#10;eG1sUEsBAhQAFAAAAAgAh07iQBsFYq3GAQAAmwMAAA4AAAAAAAAAAQAgAAAAIwEAAGRycy9lMm9E&#10;b2MueG1sUEsFBgAAAAAGAAYAWQEAAFsFAAAAAA==&#10;">
              <v:fill on="f" focussize="0,0"/>
              <v:stroke on="f"/>
              <v:imagedata o:title=""/>
              <o:lock v:ext="edit" aspectratio="f"/>
              <v:textbox inset="0mm,0mm,0mm,0mm" style="mso-fit-shape-to-text:t;">
                <w:txbxContent>
                  <w:p w14:paraId="76961FA5">
                    <w:pPr>
                      <w:snapToGrid w:val="0"/>
                      <w:rPr>
                        <w:sz w:val="18"/>
                      </w:rPr>
                    </w:pPr>
                  </w:p>
                </w:txbxContent>
              </v:textbox>
            </v:shape>
          </w:pict>
        </mc:Fallback>
      </mc:AlternateContent>
    </w:r>
    <w:r>
      <w:rPr>
        <w:rFonts w:hint="eastAsia"/>
        <w:sz w:val="18"/>
        <w:szCs w:val="18"/>
      </w:rPr>
      <w:t xml:space="preserve"> </w:t>
    </w:r>
    <w:r>
      <w:rPr>
        <w:rFonts w:hint="eastAsia" w:cs="宋体"/>
        <w:color w:val="333333"/>
        <w:sz w:val="18"/>
        <w:szCs w:val="18"/>
        <w:shd w:val="clear" w:color="auto" w:fill="FFFFFF"/>
        <w:lang w:eastAsia="zh-CN"/>
      </w:rPr>
      <w:t>陕西海源广合项目管理有限公司</w:t>
    </w:r>
    <w:r>
      <w:rPr>
        <w:rFonts w:hint="eastAsia"/>
        <w:sz w:val="18"/>
        <w:szCs w:val="18"/>
      </w:rPr>
      <w:t xml:space="preserve">                                   地址：</w:t>
    </w:r>
    <w:r>
      <w:rPr>
        <w:sz w:val="18"/>
        <w:szCs w:val="18"/>
      </w:rPr>
      <mc:AlternateContent>
        <mc:Choice Requires="wps">
          <w:drawing>
            <wp:anchor distT="0" distB="0" distL="114300" distR="114300" simplePos="0" relativeHeight="251662336"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3A385A9">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2336;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ALhidQAAAAIAQAADwAAAAAAAAABACAAAAAiAAAAZHJzL2Rvd25yZXYu&#10;eG1sUEsBAhQAFAAAAAgAh07iQKx2gwrGAQAAmwMAAA4AAAAAAAAAAQAgAAAAIwEAAGRycy9lMm9E&#10;b2MueG1sUEsFBgAAAAAGAAYAWQEAAFsFAAAAAA==&#10;">
              <v:fill on="f" focussize="0,0"/>
              <v:stroke on="f"/>
              <v:imagedata o:title=""/>
              <o:lock v:ext="edit" aspectratio="f"/>
              <v:textbox inset="0mm,0mm,0mm,0mm" style="mso-fit-shape-to-text:t;">
                <w:txbxContent>
                  <w:p w14:paraId="53A385A9">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64F0B44">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1312;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ALhidQAAAAIAQAADwAAAAAAAAABACAAAAAiAAAAZHJzL2Rvd25yZXYu&#10;eG1sUEsBAhQAFAAAAAgAh07iQMtk7rrGAQAAmwMAAA4AAAAAAAAAAQAgAAAAIwEAAGRycy9lMm9E&#10;b2MueG1sUEsFBgAAAAAGAAYAWQEAAFsFAAAAAA==&#10;">
              <v:fill on="f" focussize="0,0"/>
              <v:stroke on="f"/>
              <v:imagedata o:title=""/>
              <o:lock v:ext="edit" aspectratio="f"/>
              <v:textbox inset="0mm,0mm,0mm,0mm" style="mso-fit-shape-to-text:t;">
                <w:txbxContent>
                  <w:p w14:paraId="264F0B44">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0288"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3F83139">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0288;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ALhidQAAAAIAQAADwAAAAAAAAABACAAAAAiAAAAZHJzL2Rvd25yZXYu&#10;eG1sUEsBAhQAFAAAAAgAh07iQCNUKLHGAQAAmwMAAA4AAAAAAAAAAQAgAAAAIwEAAGRycy9lMm9E&#10;b2MueG1sUEsFBgAAAAAGAAYAWQEAAFsFAAAAAA==&#10;">
              <v:fill on="f" focussize="0,0"/>
              <v:stroke on="f"/>
              <v:imagedata o:title=""/>
              <o:lock v:ext="edit" aspectratio="f"/>
              <v:textbox inset="0mm,0mm,0mm,0mm" style="mso-fit-shape-to-text:t;">
                <w:txbxContent>
                  <w:p w14:paraId="63F83139">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CFAB11">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ERkUBxgEAAJsDAAAOAAAAAAAAAAEAIAAAAB4BAABkcnMvZTJvRG9jLnht&#10;bFBLBQYAAAAABgAGAFkBAABWBQAAAAA=&#10;">
              <v:fill on="f" focussize="0,0"/>
              <v:stroke on="f"/>
              <v:imagedata o:title=""/>
              <o:lock v:ext="edit" aspectratio="f"/>
              <v:textbox inset="0mm,0mm,0mm,0mm" style="mso-fit-shape-to-text:t;">
                <w:txbxContent>
                  <w:p w14:paraId="6BCFAB11">
                    <w:pPr>
                      <w:snapToGrid w:val="0"/>
                      <w:rPr>
                        <w:sz w:val="18"/>
                      </w:rPr>
                    </w:pPr>
                  </w:p>
                </w:txbxContent>
              </v:textbox>
            </v:shape>
          </w:pict>
        </mc:Fallback>
      </mc:AlternateContent>
    </w:r>
    <w:r>
      <w:rPr>
        <w:rFonts w:hint="eastAsia"/>
        <w:sz w:val="18"/>
        <w:szCs w:val="18"/>
        <w:lang w:eastAsia="zh-CN"/>
      </w:rPr>
      <w:t>陕西省西安市经济技术开发区未央路171-1号银池道拉斯财富中心21楼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5DF87">
    <w:pPr>
      <w:tabs>
        <w:tab w:val="left" w:pos="5646"/>
      </w:tabs>
    </w:pPr>
    <w:r>
      <w:rPr>
        <w:sz w:val="18"/>
        <w:szCs w:val="18"/>
      </w:rPr>
      <mc:AlternateContent>
        <mc:Choice Requires="wps">
          <w:drawing>
            <wp:anchor distT="0" distB="0" distL="114300" distR="114300" simplePos="0" relativeHeight="251666432"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A5FAA6">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6432;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ALhidQAAAAIAQAADwAAAAAAAAABACAAAAAiAAAAZHJzL2Rvd25yZXYu&#10;eG1sUEsBAhQAFAAAAAgAh07iQFuS7ALGAQAAnQMAAA4AAAAAAAAAAQAgAAAAIwEAAGRycy9lMm9E&#10;b2MueG1sUEsFBgAAAAAGAAYAWQEAAFsFAAAAAA==&#10;">
              <v:fill on="f" focussize="0,0"/>
              <v:stroke on="f"/>
              <v:imagedata o:title=""/>
              <o:lock v:ext="edit" aspectratio="f"/>
              <v:textbox inset="0mm,0mm,0mm,0mm" style="mso-fit-shape-to-text:t;">
                <w:txbxContent>
                  <w:p w14:paraId="51A5FAA6">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4A772">
    <w:pPr>
      <w:tabs>
        <w:tab w:val="left" w:pos="5646"/>
      </w:tabs>
      <w:rPr>
        <w:rFonts w:hint="eastAsia" w:eastAsia="宋体"/>
        <w:sz w:val="18"/>
        <w:szCs w:val="18"/>
        <w:lang w:eastAsia="zh-CN"/>
      </w:rPr>
    </w:pPr>
    <w:r>
      <w:rPr>
        <w:sz w:val="18"/>
        <w:szCs w:val="18"/>
      </w:rPr>
      <mc:AlternateContent>
        <mc:Choice Requires="wps">
          <w:drawing>
            <wp:anchor distT="0" distB="0" distL="114300" distR="114300" simplePos="0" relativeHeight="251671552"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8761CA">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71552;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QC4YnUAAAACAEAAA8AAAAAAAAAAQAgAAAAIgAAAGRycy9kb3ducmV2&#10;LnhtbFBLAQIUABQAAAAIAIdO4kCLuTerxwEAAJ0DAAAOAAAAAAAAAAEAIAAAACMBAABkcnMvZTJv&#10;RG9jLnhtbFBLBQYAAAAABgAGAFkBAABcBQAAAAA=&#10;">
              <v:fill on="f" focussize="0,0"/>
              <v:stroke on="f"/>
              <v:imagedata o:title=""/>
              <o:lock v:ext="edit" aspectratio="f"/>
              <v:textbox inset="0mm,0mm,0mm,0mm" style="mso-fit-shape-to-text:t;">
                <w:txbxContent>
                  <w:p w14:paraId="6B8761CA">
                    <w:pPr>
                      <w:snapToGrid w:val="0"/>
                      <w:rPr>
                        <w:sz w:val="18"/>
                      </w:rPr>
                    </w:pPr>
                  </w:p>
                </w:txbxContent>
              </v:textbox>
            </v:shape>
          </w:pict>
        </mc:Fallback>
      </mc:AlternateContent>
    </w:r>
    <w:r>
      <w:rPr>
        <w:rFonts w:hint="eastAsia"/>
        <w:sz w:val="18"/>
        <w:szCs w:val="18"/>
      </w:rPr>
      <w:t xml:space="preserve"> </w:t>
    </w:r>
    <w:r>
      <w:rPr>
        <w:rFonts w:hint="eastAsia" w:cs="宋体"/>
        <w:color w:val="333333"/>
        <w:sz w:val="18"/>
        <w:szCs w:val="18"/>
        <w:shd w:val="clear" w:color="auto" w:fill="FFFFFF"/>
        <w:lang w:eastAsia="zh-CN"/>
      </w:rPr>
      <w:t>陕西海源广合项目管理有限公司</w:t>
    </w:r>
    <w:r>
      <w:rPr>
        <w:rFonts w:hint="eastAsia"/>
        <w:sz w:val="18"/>
        <w:szCs w:val="18"/>
      </w:rPr>
      <w:t xml:space="preserve">                                   地址：</w:t>
    </w:r>
    <w:r>
      <w:rPr>
        <w:sz w:val="18"/>
        <w:szCs w:val="18"/>
      </w:rPr>
      <mc:AlternateContent>
        <mc:Choice Requires="wps">
          <w:drawing>
            <wp:anchor distT="0" distB="0" distL="114300" distR="114300" simplePos="0" relativeHeight="251670528"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33BB098">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70528;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QC4YnUAAAACAEAAA8AAAAAAAAAAQAgAAAAIgAAAGRycy9kb3ducmV2&#10;LnhtbFBLAQIUABQAAAAIAIdO4kBNblIZxwEAAJ0DAAAOAAAAAAAAAAEAIAAAACMBAABkcnMvZTJv&#10;RG9jLnhtbFBLBQYAAAAABgAGAFkBAABcBQAAAAA=&#10;">
              <v:fill on="f" focussize="0,0"/>
              <v:stroke on="f"/>
              <v:imagedata o:title=""/>
              <o:lock v:ext="edit" aspectratio="f"/>
              <v:textbox inset="0mm,0mm,0mm,0mm" style="mso-fit-shape-to-text:t;">
                <w:txbxContent>
                  <w:p w14:paraId="433BB098">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9504"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6E0D347">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9504;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QC4YnUAAAACAEAAA8AAAAAAAAAAQAgAAAAIgAAAGRycy9kb3ducmV2&#10;LnhtbFBLAQIUABQAAAAIAIdO4kBq6PAjxwEAAJ0DAAAOAAAAAAAAAAEAIAAAACMBAABkcnMvZTJv&#10;RG9jLnhtbFBLBQYAAAAABgAGAFkBAABcBQAAAAA=&#10;">
              <v:fill on="f" focussize="0,0"/>
              <v:stroke on="f"/>
              <v:imagedata o:title=""/>
              <o:lock v:ext="edit" aspectratio="f"/>
              <v:textbox inset="0mm,0mm,0mm,0mm" style="mso-fit-shape-to-text:t;">
                <w:txbxContent>
                  <w:p w14:paraId="66E0D347">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8480"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165CB2">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8480;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QC4YnUAAAACAEAAA8AAAAAAAAAAQAgAAAAIgAAAGRycy9kb3ducmV2&#10;LnhtbFBLAQIUABQAAAAIAIdO4kCsP5WRxwEAAJ0DAAAOAAAAAAAAAAEAIAAAACMBAABkcnMvZTJv&#10;RG9jLnhtbFBLBQYAAAAABgAGAFkBAABcBQAAAAA=&#10;">
              <v:fill on="f" focussize="0,0"/>
              <v:stroke on="f"/>
              <v:imagedata o:title=""/>
              <o:lock v:ext="edit" aspectratio="f"/>
              <v:textbox inset="0mm,0mm,0mm,0mm" style="mso-fit-shape-to-text:t;">
                <w:txbxContent>
                  <w:p w14:paraId="58165CB2">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4E36D14">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a0NWJ8cBAACdAwAADgAAAAAAAAABACAAAAAeAQAAZHJzL2Uyb0RvYy54&#10;bWxQSwUGAAAAAAYABgBZAQAAVwUAAAAA&#10;">
              <v:fill on="f" focussize="0,0"/>
              <v:stroke on="f"/>
              <v:imagedata o:title=""/>
              <o:lock v:ext="edit" aspectratio="f"/>
              <v:textbox inset="0mm,0mm,0mm,0mm" style="mso-fit-shape-to-text:t;">
                <w:txbxContent>
                  <w:p w14:paraId="74E36D14">
                    <w:pPr>
                      <w:snapToGrid w:val="0"/>
                      <w:rPr>
                        <w:sz w:val="18"/>
                      </w:rPr>
                    </w:pPr>
                  </w:p>
                </w:txbxContent>
              </v:textbox>
            </v:shape>
          </w:pict>
        </mc:Fallback>
      </mc:AlternateContent>
    </w:r>
    <w:r>
      <w:rPr>
        <w:rFonts w:hint="eastAsia"/>
        <w:sz w:val="18"/>
        <w:szCs w:val="18"/>
        <w:lang w:eastAsia="zh-CN"/>
      </w:rPr>
      <w:t>陕西省西安市经济技术开发区未央路171-1号银池道拉斯财富中心21楼</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AC6EE">
    <w:pPr>
      <w:tabs>
        <w:tab w:val="left" w:pos="5646"/>
      </w:tabs>
    </w:pPr>
    <w:r>
      <w:rPr>
        <w:sz w:val="18"/>
        <w:szCs w:val="18"/>
      </w:rPr>
      <mc:AlternateContent>
        <mc:Choice Requires="wps">
          <w:drawing>
            <wp:anchor distT="0" distB="0" distL="114300" distR="114300" simplePos="0" relativeHeight="251672576"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048F97">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72576;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QC4YnUAAAACAEAAA8AAAAAAAAAAQAgAAAAIgAAAGRycy9kb3ducmV2&#10;LnhtbFBLAQIUABQAAAAIAIdO4kCtlDOVxwEAAJ0DAAAOAAAAAAAAAAEAIAAAACMBAABkcnMvZTJv&#10;RG9jLnhtbFBLBQYAAAAABgAGAFkBAABcBQAAAAA=&#10;">
              <v:fill on="f" focussize="0,0"/>
              <v:stroke on="f"/>
              <v:imagedata o:title=""/>
              <o:lock v:ext="edit" aspectratio="f"/>
              <v:textbox inset="0mm,0mm,0mm,0mm" style="mso-fit-shape-to-text:t;">
                <w:txbxContent>
                  <w:p w14:paraId="78048F97">
                    <w:pPr>
                      <w:snapToGrid w:val="0"/>
                      <w:rPr>
                        <w:sz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55802">
    <w:pPr>
      <w:tabs>
        <w:tab w:val="left" w:pos="5646"/>
      </w:tabs>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574A0A">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0574A0A">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DFD72">
    <w:pPr>
      <w:tabs>
        <w:tab w:val="left" w:pos="5646"/>
      </w:tabs>
      <w:rPr>
        <w:rFonts w:hint="eastAsia" w:eastAsia="宋体"/>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7AAB20F">
                          <w:pPr>
                            <w:pStyle w:val="1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88</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Ay1myXFAQAAmwMAAA4AAAAAAAAAAQAgAAAAHgEAAGRycy9lMm9Eb2MueG1s&#10;UEsFBgAAAAAGAAYAWQEAAFUFAAAAAA==&#10;">
              <v:fill on="f" focussize="0,0"/>
              <v:stroke on="f"/>
              <v:imagedata o:title=""/>
              <o:lock v:ext="edit" aspectratio="f"/>
              <v:textbox inset="0mm,0mm,0mm,0mm" style="mso-fit-shape-to-text:t;">
                <w:txbxContent>
                  <w:p w14:paraId="17AAB20F">
                    <w:pPr>
                      <w:pStyle w:val="1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88</w:t>
                    </w:r>
                    <w:r>
                      <w:rPr>
                        <w:rFonts w:hint="eastAsia"/>
                      </w:rPr>
                      <w:fldChar w:fldCharType="end"/>
                    </w:r>
                    <w:r>
                      <w:rPr>
                        <w:rFonts w:hint="eastAsia"/>
                      </w:rPr>
                      <w:t xml:space="preserve"> 页</w:t>
                    </w:r>
                  </w:p>
                </w:txbxContent>
              </v:textbox>
            </v:shape>
          </w:pict>
        </mc:Fallback>
      </mc:AlternateContent>
    </w:r>
    <w:r>
      <w:rPr>
        <w:sz w:val="18"/>
        <w:szCs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783B4A3">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a6f2lccBAACbAwAADgAAAAAAAAABACAAAAAeAQAAZHJzL2Uyb0RvYy54&#10;bWxQSwUGAAAAAAYABgBZAQAAVwUAAAAA&#10;">
              <v:fill on="f" focussize="0,0"/>
              <v:stroke on="f"/>
              <v:imagedata o:title=""/>
              <o:lock v:ext="edit" aspectratio="f"/>
              <v:textbox inset="0mm,0mm,0mm,0mm" style="mso-fit-shape-to-text:t;">
                <w:txbxContent>
                  <w:p w14:paraId="7783B4A3">
                    <w:pPr>
                      <w:snapToGrid w:val="0"/>
                      <w:rPr>
                        <w:sz w:val="18"/>
                      </w:rPr>
                    </w:pPr>
                  </w:p>
                </w:txbxContent>
              </v:textbox>
            </v:shape>
          </w:pict>
        </mc:Fallback>
      </mc:AlternateContent>
    </w:r>
    <w:r>
      <w:rPr>
        <w:rFonts w:hint="eastAsia"/>
        <w:sz w:val="18"/>
        <w:szCs w:val="18"/>
        <w:lang w:eastAsia="zh-CN"/>
      </w:rPr>
      <w:t>陕西海源广合项目管理有限公司</w:t>
    </w:r>
    <w:r>
      <w:rPr>
        <w:rFonts w:hint="eastAsia"/>
        <w:sz w:val="18"/>
        <w:szCs w:val="18"/>
      </w:rPr>
      <w:t xml:space="preserve">                                     地址：</w:t>
    </w:r>
    <w:r>
      <w:rPr>
        <w:rFonts w:hint="eastAsia"/>
        <w:sz w:val="18"/>
        <w:szCs w:val="18"/>
        <w:lang w:eastAsia="zh-CN"/>
      </w:rPr>
      <w:t>陕西省西安市经济技术开发区未央路171-1号银池道拉斯财富中心21楼</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B8385">
    <w:pPr>
      <w:pStyle w:val="13"/>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A8B4DA">
                          <w:pPr>
                            <w:pStyle w:val="1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3A8B4DA">
                    <w:pPr>
                      <w:pStyle w:val="1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9BE42">
    <w:pPr>
      <w:pStyle w:val="13"/>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BFE8D">
                          <w:pPr>
                            <w:pStyle w:val="13"/>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5ABFE8D">
                    <w:pPr>
                      <w:pStyle w:val="13"/>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8A904">
    <w:pPr>
      <w:pStyle w:val="14"/>
      <w:pBdr>
        <w:bottom w:val="single" w:color="auto" w:sz="4" w:space="1"/>
      </w:pBdr>
      <w:tabs>
        <w:tab w:val="left" w:pos="2307"/>
        <w:tab w:val="clear" w:pos="4153"/>
      </w:tabs>
      <w:jc w:val="left"/>
      <w:rPr>
        <w:sz w:val="16"/>
        <w:szCs w:val="16"/>
      </w:rPr>
    </w:pPr>
    <w:r>
      <w:rPr>
        <w:rFonts w:hint="eastAsia" w:hAnsi="宋体"/>
        <w:sz w:val="16"/>
        <w:szCs w:val="16"/>
        <w:lang w:eastAsia="zh-CN"/>
      </w:rPr>
      <w:t>一批检验类医疗设备采购项目</w:t>
    </w:r>
    <w:r>
      <w:rPr>
        <w:rFonts w:hint="eastAsia" w:hAnsi="宋体"/>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88B5A">
    <w:pPr>
      <w:pStyle w:val="14"/>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FE259">
    <w:pPr>
      <w:pStyle w:val="14"/>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4F45D">
    <w:pPr>
      <w:pStyle w:val="14"/>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E102B">
    <w:pPr>
      <w:pStyle w:val="14"/>
      <w:pBdr>
        <w:bottom w:val="single" w:color="auto" w:sz="4" w:space="1"/>
      </w:pBdr>
      <w:jc w:val="left"/>
      <w:rPr>
        <w:sz w:val="16"/>
        <w:szCs w:val="16"/>
      </w:rPr>
    </w:pPr>
    <w:r>
      <w:rPr>
        <w:rFonts w:hint="eastAsia"/>
        <w:sz w:val="16"/>
        <w:szCs w:val="16"/>
        <w:lang w:eastAsia="zh-CN"/>
      </w:rPr>
      <w:t>一批检验类医疗设备采购项目</w:t>
    </w:r>
    <w:r>
      <w:rPr>
        <w:rFonts w:hint="eastAsia"/>
        <w:sz w:val="16"/>
        <w:szCs w:val="16"/>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67D17">
    <w:pPr>
      <w:pStyle w:val="14"/>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724D3"/>
    <w:multiLevelType w:val="singleLevel"/>
    <w:tmpl w:val="A1B724D3"/>
    <w:lvl w:ilvl="0" w:tentative="0">
      <w:start w:val="1"/>
      <w:numFmt w:val="decimal"/>
      <w:lvlText w:val="(%1)"/>
      <w:lvlJc w:val="left"/>
      <w:pPr>
        <w:tabs>
          <w:tab w:val="left" w:pos="312"/>
        </w:tabs>
      </w:pPr>
    </w:lvl>
  </w:abstractNum>
  <w:abstractNum w:abstractNumId="1">
    <w:nsid w:val="00000001"/>
    <w:multiLevelType w:val="multilevel"/>
    <w:tmpl w:val="00000001"/>
    <w:lvl w:ilvl="0" w:tentative="0">
      <w:start w:val="1"/>
      <w:numFmt w:val="decimal"/>
      <w:pStyle w:val="37"/>
      <w:lvlText w:val="第%1章"/>
      <w:lvlJc w:val="left"/>
      <w:pPr>
        <w:tabs>
          <w:tab w:val="left" w:pos="3134"/>
        </w:tabs>
        <w:ind w:left="3134" w:hanging="1290"/>
      </w:pPr>
      <w:rPr>
        <w:b/>
        <w:lang w:val="en-US"/>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2">
    <w:nsid w:val="14B66CD3"/>
    <w:multiLevelType w:val="singleLevel"/>
    <w:tmpl w:val="14B66CD3"/>
    <w:lvl w:ilvl="0" w:tentative="0">
      <w:start w:val="1"/>
      <w:numFmt w:val="chineseCounting"/>
      <w:suff w:val="nothing"/>
      <w:lvlText w:val="%1、"/>
      <w:lvlJc w:val="left"/>
      <w:rPr>
        <w:rFonts w:hint="eastAsia"/>
      </w:rPr>
    </w:lvl>
  </w:abstractNum>
  <w:abstractNum w:abstractNumId="3">
    <w:nsid w:val="53EC41AD"/>
    <w:multiLevelType w:val="singleLevel"/>
    <w:tmpl w:val="53EC41AD"/>
    <w:lvl w:ilvl="0" w:tentative="0">
      <w:start w:val="1"/>
      <w:numFmt w:val="decimal"/>
      <w:lvlText w:val="（%1）"/>
      <w:lvlJc w:val="left"/>
      <w:pPr>
        <w:tabs>
          <w:tab w:val="left" w:pos="720"/>
        </w:tabs>
        <w:ind w:left="720" w:hanging="720"/>
      </w:pPr>
      <w:rPr>
        <w:rFonts w:hint="eastAsia"/>
      </w:rPr>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B25AF4"/>
    <w:multiLevelType w:val="singleLevel"/>
    <w:tmpl w:val="59B25AF4"/>
    <w:lvl w:ilvl="0" w:tentative="0">
      <w:start w:val="1"/>
      <w:numFmt w:val="decimal"/>
      <w:suff w:val="nothing"/>
      <w:lvlText w:val="（%1）"/>
      <w:lvlJc w:val="left"/>
    </w:lvl>
  </w:abstractNum>
  <w:abstractNum w:abstractNumId="6">
    <w:nsid w:val="59B64AF0"/>
    <w:multiLevelType w:val="singleLevel"/>
    <w:tmpl w:val="59B64AF0"/>
    <w:lvl w:ilvl="0" w:tentative="0">
      <w:start w:val="16"/>
      <w:numFmt w:val="decimal"/>
      <w:suff w:val="nothing"/>
      <w:lvlText w:val="%1."/>
      <w:lvlJc w:val="left"/>
    </w:lvl>
  </w:abstractNum>
  <w:num w:numId="1">
    <w:abstractNumId w:val="1"/>
  </w:num>
  <w:num w:numId="2">
    <w:abstractNumId w:val="0"/>
  </w:num>
  <w:num w:numId="3">
    <w:abstractNumId w:val="4"/>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19E13AAC"/>
    <w:rsid w:val="017E55DB"/>
    <w:rsid w:val="02470A43"/>
    <w:rsid w:val="03D270B5"/>
    <w:rsid w:val="067F6748"/>
    <w:rsid w:val="07651DCB"/>
    <w:rsid w:val="077A3808"/>
    <w:rsid w:val="07C763E8"/>
    <w:rsid w:val="09734545"/>
    <w:rsid w:val="09CF47C3"/>
    <w:rsid w:val="0BC11EE9"/>
    <w:rsid w:val="0BCA19F4"/>
    <w:rsid w:val="0C2030B4"/>
    <w:rsid w:val="0CC91795"/>
    <w:rsid w:val="0DC51C8C"/>
    <w:rsid w:val="0FC401FA"/>
    <w:rsid w:val="11AA3420"/>
    <w:rsid w:val="11C431F1"/>
    <w:rsid w:val="126632CE"/>
    <w:rsid w:val="12C30C3D"/>
    <w:rsid w:val="1332265F"/>
    <w:rsid w:val="136860B5"/>
    <w:rsid w:val="139C1093"/>
    <w:rsid w:val="15662023"/>
    <w:rsid w:val="15AB60E4"/>
    <w:rsid w:val="16663DB9"/>
    <w:rsid w:val="16797C75"/>
    <w:rsid w:val="17372E5F"/>
    <w:rsid w:val="18694035"/>
    <w:rsid w:val="19CA4142"/>
    <w:rsid w:val="19E13AAC"/>
    <w:rsid w:val="19F53DD2"/>
    <w:rsid w:val="1C51113E"/>
    <w:rsid w:val="1D4444D5"/>
    <w:rsid w:val="1D9F104A"/>
    <w:rsid w:val="1DE5415D"/>
    <w:rsid w:val="1EC427DB"/>
    <w:rsid w:val="206B52F0"/>
    <w:rsid w:val="20DE570C"/>
    <w:rsid w:val="2116462E"/>
    <w:rsid w:val="21741DEC"/>
    <w:rsid w:val="23A81EB5"/>
    <w:rsid w:val="2572277A"/>
    <w:rsid w:val="25B759C0"/>
    <w:rsid w:val="25D6226F"/>
    <w:rsid w:val="26100B98"/>
    <w:rsid w:val="261305E6"/>
    <w:rsid w:val="263A7330"/>
    <w:rsid w:val="267267AA"/>
    <w:rsid w:val="2A5A29FB"/>
    <w:rsid w:val="2D020FFA"/>
    <w:rsid w:val="2D5269EE"/>
    <w:rsid w:val="2EFD6799"/>
    <w:rsid w:val="30171EA8"/>
    <w:rsid w:val="30EF0F14"/>
    <w:rsid w:val="31603DCF"/>
    <w:rsid w:val="31C14142"/>
    <w:rsid w:val="32667B95"/>
    <w:rsid w:val="33730870"/>
    <w:rsid w:val="37B00EE0"/>
    <w:rsid w:val="37EC4036"/>
    <w:rsid w:val="39487C12"/>
    <w:rsid w:val="39581830"/>
    <w:rsid w:val="3A43160C"/>
    <w:rsid w:val="3B134F55"/>
    <w:rsid w:val="3CFE6D05"/>
    <w:rsid w:val="3F2249F7"/>
    <w:rsid w:val="3FFF2A05"/>
    <w:rsid w:val="40D13B66"/>
    <w:rsid w:val="41C77F1D"/>
    <w:rsid w:val="41D42200"/>
    <w:rsid w:val="41F67E38"/>
    <w:rsid w:val="424E1958"/>
    <w:rsid w:val="42F2451C"/>
    <w:rsid w:val="42FA7F06"/>
    <w:rsid w:val="440B7195"/>
    <w:rsid w:val="47DC3802"/>
    <w:rsid w:val="47FC506A"/>
    <w:rsid w:val="4817558D"/>
    <w:rsid w:val="4876266E"/>
    <w:rsid w:val="491C2A39"/>
    <w:rsid w:val="4AA22D89"/>
    <w:rsid w:val="4BE85896"/>
    <w:rsid w:val="4C0F4122"/>
    <w:rsid w:val="4C5455BB"/>
    <w:rsid w:val="4CF91750"/>
    <w:rsid w:val="4E7E0868"/>
    <w:rsid w:val="4F232C94"/>
    <w:rsid w:val="4F35067F"/>
    <w:rsid w:val="50016861"/>
    <w:rsid w:val="509A785D"/>
    <w:rsid w:val="531B5950"/>
    <w:rsid w:val="53E74E5D"/>
    <w:rsid w:val="545027E4"/>
    <w:rsid w:val="553F0BA9"/>
    <w:rsid w:val="59FB0549"/>
    <w:rsid w:val="5A5E0090"/>
    <w:rsid w:val="5A74796B"/>
    <w:rsid w:val="5C3C0573"/>
    <w:rsid w:val="5CF03E83"/>
    <w:rsid w:val="5E347DA0"/>
    <w:rsid w:val="61184FA9"/>
    <w:rsid w:val="61793A45"/>
    <w:rsid w:val="62284668"/>
    <w:rsid w:val="626A271A"/>
    <w:rsid w:val="634D3FA4"/>
    <w:rsid w:val="64225835"/>
    <w:rsid w:val="67971D1F"/>
    <w:rsid w:val="67BA7BB3"/>
    <w:rsid w:val="690802CD"/>
    <w:rsid w:val="69282987"/>
    <w:rsid w:val="695059C0"/>
    <w:rsid w:val="697A1E0A"/>
    <w:rsid w:val="69CE2026"/>
    <w:rsid w:val="6CC308DB"/>
    <w:rsid w:val="6CCF3B22"/>
    <w:rsid w:val="6D7D3BE2"/>
    <w:rsid w:val="6D8764E3"/>
    <w:rsid w:val="6E274FBF"/>
    <w:rsid w:val="6E740745"/>
    <w:rsid w:val="6EFC4430"/>
    <w:rsid w:val="6F250AB2"/>
    <w:rsid w:val="70236478"/>
    <w:rsid w:val="71221FFB"/>
    <w:rsid w:val="713A129B"/>
    <w:rsid w:val="71BB2380"/>
    <w:rsid w:val="73AC0C47"/>
    <w:rsid w:val="73F40FA1"/>
    <w:rsid w:val="75963BAB"/>
    <w:rsid w:val="77375DD3"/>
    <w:rsid w:val="787119EB"/>
    <w:rsid w:val="7A0D5743"/>
    <w:rsid w:val="7C5549F1"/>
    <w:rsid w:val="7D252DA4"/>
    <w:rsid w:val="7D4274B2"/>
    <w:rsid w:val="7E624A9C"/>
    <w:rsid w:val="7E9006F1"/>
    <w:rsid w:val="7ED01496"/>
    <w:rsid w:val="7F841FF4"/>
    <w:rsid w:val="7FCD4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6"/>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link w:val="29"/>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qFormat/>
    <w:uiPriority w:val="0"/>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spacing w:line="300" w:lineRule="auto"/>
      <w:ind w:firstLine="420" w:firstLineChars="200"/>
    </w:pPr>
    <w:rPr>
      <w:rFonts w:ascii="Calibri" w:hAnsi="Calibri Light" w:eastAsia="华文仿宋" w:cs="Times New Roman"/>
      <w:kern w:val="2"/>
      <w:sz w:val="21"/>
      <w:szCs w:val="24"/>
    </w:rPr>
  </w:style>
  <w:style w:type="paragraph" w:styleId="8">
    <w:name w:val="Body Text"/>
    <w:basedOn w:val="1"/>
    <w:next w:val="1"/>
    <w:qFormat/>
    <w:uiPriority w:val="0"/>
    <w:pPr>
      <w:spacing w:after="120"/>
    </w:pPr>
    <w:rPr>
      <w:rFonts w:ascii="Times New Roman"/>
      <w:kern w:val="2"/>
      <w:sz w:val="21"/>
    </w:rPr>
  </w:style>
  <w:style w:type="paragraph" w:styleId="9">
    <w:name w:val="Body Text Indent"/>
    <w:basedOn w:val="1"/>
    <w:qFormat/>
    <w:uiPriority w:val="0"/>
    <w:pPr>
      <w:widowControl/>
      <w:ind w:firstLine="652" w:firstLineChars="233"/>
    </w:pPr>
    <w:rPr>
      <w:rFonts w:ascii="Times New Roman"/>
      <w:sz w:val="28"/>
    </w:rPr>
  </w:style>
  <w:style w:type="paragraph" w:styleId="10">
    <w:name w:val="index 4"/>
    <w:basedOn w:val="1"/>
    <w:next w:val="1"/>
    <w:unhideWhenUsed/>
    <w:qFormat/>
    <w:uiPriority w:val="99"/>
    <w:pPr>
      <w:ind w:left="428" w:firstLine="140"/>
    </w:pPr>
  </w:style>
  <w:style w:type="paragraph" w:styleId="11">
    <w:name w:val="Plain Text"/>
    <w:basedOn w:val="1"/>
    <w:qFormat/>
    <w:uiPriority w:val="0"/>
    <w:rPr>
      <w:rFonts w:hAnsi="Courier New"/>
      <w:kern w:val="2"/>
      <w:sz w:val="21"/>
    </w:rPr>
  </w:style>
  <w:style w:type="paragraph" w:styleId="12">
    <w:name w:val="Date"/>
    <w:basedOn w:val="1"/>
    <w:next w:val="1"/>
    <w:qFormat/>
    <w:uiPriority w:val="0"/>
    <w:rPr>
      <w:rFonts w:ascii="Times New Roman"/>
      <w:kern w:val="2"/>
      <w:sz w:val="28"/>
    </w:rPr>
  </w:style>
  <w:style w:type="paragraph" w:styleId="13">
    <w:name w:val="footer"/>
    <w:basedOn w:val="1"/>
    <w:qFormat/>
    <w:uiPriority w:val="99"/>
    <w:pPr>
      <w:tabs>
        <w:tab w:val="center" w:pos="4153"/>
        <w:tab w:val="right" w:pos="8306"/>
      </w:tabs>
      <w:snapToGrid w:val="0"/>
      <w:jc w:val="left"/>
    </w:pPr>
    <w:rPr>
      <w:rFonts w:ascii="Times New Roman"/>
      <w:kern w:val="2"/>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5">
    <w:name w:val="toc 1"/>
    <w:basedOn w:val="1"/>
    <w:next w:val="1"/>
    <w:unhideWhenUsed/>
    <w:qFormat/>
    <w:uiPriority w:val="39"/>
    <w:pPr>
      <w:tabs>
        <w:tab w:val="left" w:pos="1418"/>
        <w:tab w:val="right" w:leader="dot" w:pos="8302"/>
      </w:tabs>
      <w:spacing w:line="960" w:lineRule="auto"/>
    </w:pPr>
  </w:style>
  <w:style w:type="paragraph" w:styleId="16">
    <w:name w:val="toc 2"/>
    <w:basedOn w:val="1"/>
    <w:next w:val="1"/>
    <w:unhideWhenUsed/>
    <w:qFormat/>
    <w:uiPriority w:val="39"/>
    <w:pPr>
      <w:tabs>
        <w:tab w:val="right" w:leader="dot" w:pos="8302"/>
      </w:tabs>
      <w:spacing w:line="960" w:lineRule="auto"/>
      <w:ind w:left="420" w:leftChars="200"/>
    </w:pPr>
  </w:style>
  <w:style w:type="paragraph" w:styleId="17">
    <w:name w:val="Normal (Web)"/>
    <w:basedOn w:val="1"/>
    <w:qFormat/>
    <w:uiPriority w:val="99"/>
    <w:pPr>
      <w:widowControl/>
      <w:spacing w:before="100" w:beforeAutospacing="1" w:after="100" w:afterAutospacing="1"/>
      <w:jc w:val="left"/>
    </w:pPr>
    <w:rPr>
      <w:rFonts w:hAnsi="宋体"/>
      <w:szCs w:val="24"/>
    </w:rPr>
  </w:style>
  <w:style w:type="paragraph" w:styleId="18">
    <w:name w:val="Title"/>
    <w:basedOn w:val="1"/>
    <w:next w:val="1"/>
    <w:qFormat/>
    <w:uiPriority w:val="0"/>
    <w:pPr>
      <w:spacing w:before="240" w:after="60"/>
      <w:jc w:val="center"/>
      <w:outlineLvl w:val="0"/>
    </w:pPr>
    <w:rPr>
      <w:rFonts w:ascii="Cambria" w:hAnsi="Cambria" w:eastAsia="宋体" w:cs="Times New Roman"/>
      <w:b/>
      <w:bCs/>
      <w:sz w:val="32"/>
      <w:szCs w:val="32"/>
    </w:rPr>
  </w:style>
  <w:style w:type="paragraph" w:styleId="19">
    <w:name w:val="Body Text First Indent"/>
    <w:basedOn w:val="8"/>
    <w:qFormat/>
    <w:uiPriority w:val="0"/>
    <w:pPr>
      <w:ind w:firstLine="420" w:firstLineChars="100"/>
    </w:pPr>
  </w:style>
  <w:style w:type="paragraph" w:styleId="20">
    <w:name w:val="Body Text First Indent 2"/>
    <w:basedOn w:val="9"/>
    <w:qFormat/>
    <w:uiPriority w:val="99"/>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22"/>
    <w:rPr>
      <w:b/>
      <w:bCs/>
    </w:rPr>
  </w:style>
  <w:style w:type="character" w:styleId="25">
    <w:name w:val="Hyperlink"/>
    <w:basedOn w:val="23"/>
    <w:qFormat/>
    <w:uiPriority w:val="99"/>
    <w:rPr>
      <w:rFonts w:hint="eastAsia" w:ascii="宋体" w:hAnsi="宋体" w:eastAsia="宋体" w:cs="宋体"/>
      <w:color w:val="000000"/>
      <w:sz w:val="18"/>
      <w:szCs w:val="18"/>
      <w:u w:val="none"/>
    </w:rPr>
  </w:style>
  <w:style w:type="character" w:customStyle="1" w:styleId="26">
    <w:name w:val="标题 1 Char"/>
    <w:link w:val="2"/>
    <w:qFormat/>
    <w:uiPriority w:val="0"/>
    <w:rPr>
      <w:rFonts w:ascii="仿宋_GB2312" w:hAnsi="宋体" w:eastAsia="仿宋_GB2312"/>
      <w:b/>
      <w:kern w:val="2"/>
      <w:sz w:val="32"/>
    </w:rPr>
  </w:style>
  <w:style w:type="paragraph" w:customStyle="1" w:styleId="27">
    <w:name w:val="列出段落1"/>
    <w:basedOn w:val="1"/>
    <w:qFormat/>
    <w:uiPriority w:val="34"/>
    <w:pPr>
      <w:ind w:firstLine="420" w:firstLineChars="200"/>
    </w:pPr>
  </w:style>
  <w:style w:type="paragraph" w:customStyle="1" w:styleId="2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character" w:customStyle="1" w:styleId="29">
    <w:name w:val="标题 3 Char"/>
    <w:link w:val="4"/>
    <w:qFormat/>
    <w:uiPriority w:val="0"/>
    <w:rPr>
      <w:rFonts w:ascii="Times New Roman"/>
      <w:b/>
      <w:bCs/>
      <w:kern w:val="2"/>
      <w:szCs w:val="24"/>
    </w:rPr>
  </w:style>
  <w:style w:type="paragraph" w:customStyle="1" w:styleId="30">
    <w:name w:val="列出段落11"/>
    <w:basedOn w:val="1"/>
    <w:qFormat/>
    <w:uiPriority w:val="34"/>
    <w:pPr>
      <w:ind w:firstLine="420" w:firstLineChars="200"/>
    </w:pPr>
    <w:rPr>
      <w:rFonts w:ascii="Calibri" w:hAnsi="Calibri"/>
      <w:szCs w:val="22"/>
    </w:rPr>
  </w:style>
  <w:style w:type="paragraph" w:customStyle="1" w:styleId="31">
    <w:name w:val="Char1"/>
    <w:basedOn w:val="1"/>
    <w:qFormat/>
    <w:uiPriority w:val="0"/>
    <w:pPr>
      <w:tabs>
        <w:tab w:val="left" w:pos="360"/>
      </w:tabs>
      <w:ind w:left="360" w:hanging="360" w:hangingChars="200"/>
    </w:pPr>
    <w:rPr>
      <w:szCs w:val="24"/>
    </w:rPr>
  </w:style>
  <w:style w:type="paragraph" w:styleId="32">
    <w:name w:val="List Paragraph"/>
    <w:basedOn w:val="1"/>
    <w:qFormat/>
    <w:uiPriority w:val="34"/>
    <w:pPr>
      <w:ind w:firstLine="420" w:firstLineChars="200"/>
    </w:pPr>
    <w:rPr>
      <w:rFonts w:ascii="Calibri" w:hAnsi="Calibri" w:eastAsia="宋体" w:cs="Times New Roman"/>
      <w:sz w:val="21"/>
      <w:szCs w:val="22"/>
    </w:rPr>
  </w:style>
  <w:style w:type="character" w:customStyle="1" w:styleId="33">
    <w:name w:val="NormalCharacter"/>
    <w:semiHidden/>
    <w:qFormat/>
    <w:uiPriority w:val="0"/>
  </w:style>
  <w:style w:type="paragraph" w:customStyle="1" w:styleId="34">
    <w:name w:val="179"/>
    <w:basedOn w:val="1"/>
    <w:qFormat/>
    <w:uiPriority w:val="0"/>
    <w:pPr>
      <w:ind w:firstLine="420" w:firstLineChars="200"/>
    </w:pPr>
    <w:rPr>
      <w:szCs w:val="22"/>
    </w:rPr>
  </w:style>
  <w:style w:type="paragraph" w:customStyle="1" w:styleId="35">
    <w:name w:val="AnnotationText"/>
    <w:basedOn w:val="1"/>
    <w:qFormat/>
    <w:uiPriority w:val="0"/>
    <w:pPr>
      <w:jc w:val="left"/>
    </w:pPr>
  </w:style>
  <w:style w:type="character" w:customStyle="1" w:styleId="36">
    <w:name w:val="UserStyle_28"/>
    <w:semiHidden/>
    <w:qFormat/>
    <w:uiPriority w:val="0"/>
    <w:rPr>
      <w:rFonts w:ascii="Calibri" w:hAnsi="Calibri" w:eastAsia="宋体"/>
      <w:kern w:val="2"/>
      <w:sz w:val="21"/>
      <w:szCs w:val="24"/>
      <w:lang w:val="en-US" w:eastAsia="zh-CN" w:bidi="ar-SA"/>
    </w:rPr>
  </w:style>
  <w:style w:type="paragraph" w:customStyle="1" w:styleId="37">
    <w:name w:val="图"/>
    <w:basedOn w:val="1"/>
    <w:next w:val="1"/>
    <w:qFormat/>
    <w:uiPriority w:val="0"/>
    <w:pPr>
      <w:numPr>
        <w:ilvl w:val="0"/>
        <w:numId w:val="1"/>
      </w:numPr>
      <w:tabs>
        <w:tab w:val="left" w:pos="1755"/>
      </w:tabs>
      <w:adjustRightInd w:val="0"/>
      <w:spacing w:before="60" w:after="60" w:line="360" w:lineRule="atLeast"/>
      <w:jc w:val="center"/>
    </w:pPr>
    <w:rPr>
      <w:rFonts w:ascii="Calibri" w:hAnsi="Calibri" w:eastAsia="黑体" w:cs="Times New Roman"/>
      <w:b/>
      <w:kern w:val="0"/>
      <w:sz w:val="24"/>
      <w:szCs w:val="20"/>
    </w:rPr>
  </w:style>
  <w:style w:type="paragraph" w:customStyle="1" w:styleId="38">
    <w:name w:val="null3"/>
    <w:hidden/>
    <w:qFormat/>
    <w:uiPriority w:val="0"/>
    <w:rPr>
      <w:rFonts w:hint="eastAsia" w:asciiTheme="minorHAnsi" w:hAnsiTheme="minorHAnsi" w:eastAsiaTheme="minorEastAsia" w:cstheme="minorBidi"/>
      <w:lang w:val="en-US" w:eastAsia="zh-Hans"/>
    </w:rPr>
  </w:style>
  <w:style w:type="character" w:customStyle="1" w:styleId="39">
    <w:name w:val="font51"/>
    <w:basedOn w:val="23"/>
    <w:qFormat/>
    <w:uiPriority w:val="0"/>
    <w:rPr>
      <w:rFonts w:hint="eastAsia" w:ascii="宋体" w:hAnsi="宋体" w:eastAsia="宋体" w:cs="宋体"/>
      <w:b/>
      <w:bCs/>
      <w:color w:val="000000"/>
      <w:sz w:val="22"/>
      <w:szCs w:val="22"/>
      <w:u w:val="none"/>
    </w:rPr>
  </w:style>
  <w:style w:type="character" w:customStyle="1" w:styleId="40">
    <w:name w:val="font41"/>
    <w:basedOn w:val="23"/>
    <w:qFormat/>
    <w:uiPriority w:val="0"/>
    <w:rPr>
      <w:rFonts w:hint="default" w:ascii="Times New Roman" w:hAnsi="Times New Roman" w:cs="Times New Roman"/>
      <w:b/>
      <w:bCs/>
      <w:color w:val="000000"/>
      <w:sz w:val="22"/>
      <w:szCs w:val="22"/>
      <w:u w:val="none"/>
    </w:rPr>
  </w:style>
  <w:style w:type="character" w:customStyle="1" w:styleId="41">
    <w:name w:val="font61"/>
    <w:basedOn w:val="23"/>
    <w:qFormat/>
    <w:uiPriority w:val="0"/>
    <w:rPr>
      <w:rFonts w:hint="eastAsia" w:ascii="宋体" w:hAnsi="宋体" w:eastAsia="宋体" w:cs="宋体"/>
      <w:color w:val="000000"/>
      <w:sz w:val="22"/>
      <w:szCs w:val="22"/>
      <w:u w:val="none"/>
    </w:rPr>
  </w:style>
  <w:style w:type="character" w:customStyle="1" w:styleId="42">
    <w:name w:val="font11"/>
    <w:basedOn w:val="23"/>
    <w:qFormat/>
    <w:uiPriority w:val="0"/>
    <w:rPr>
      <w:rFonts w:hint="default" w:ascii="Times New Roman" w:hAnsi="Times New Roman" w:cs="Times New Roman"/>
      <w:color w:val="000000"/>
      <w:sz w:val="22"/>
      <w:szCs w:val="22"/>
      <w:u w:val="none"/>
    </w:rPr>
  </w:style>
  <w:style w:type="character" w:customStyle="1" w:styleId="43">
    <w:name w:val="font81"/>
    <w:basedOn w:val="23"/>
    <w:qFormat/>
    <w:uiPriority w:val="0"/>
    <w:rPr>
      <w:rFonts w:hint="default" w:ascii="Times New Roman" w:hAnsi="Times New Roman" w:cs="Times New Roman"/>
      <w:color w:val="FF0000"/>
      <w:sz w:val="22"/>
      <w:szCs w:val="22"/>
      <w:u w:val="none"/>
    </w:rPr>
  </w:style>
  <w:style w:type="character" w:customStyle="1" w:styleId="44">
    <w:name w:val="font71"/>
    <w:basedOn w:val="23"/>
    <w:qFormat/>
    <w:uiPriority w:val="0"/>
    <w:rPr>
      <w:rFonts w:hint="eastAsia" w:ascii="宋体" w:hAnsi="宋体" w:eastAsia="宋体" w:cs="宋体"/>
      <w:color w:val="FF0000"/>
      <w:sz w:val="22"/>
      <w:szCs w:val="22"/>
      <w:u w:val="none"/>
    </w:rPr>
  </w:style>
  <w:style w:type="character" w:customStyle="1" w:styleId="45">
    <w:name w:val="font121"/>
    <w:basedOn w:val="23"/>
    <w:qFormat/>
    <w:uiPriority w:val="0"/>
    <w:rPr>
      <w:rFonts w:hint="eastAsia" w:ascii="宋体" w:hAnsi="宋体" w:eastAsia="宋体" w:cs="宋体"/>
      <w:color w:val="000000"/>
      <w:sz w:val="22"/>
      <w:szCs w:val="22"/>
      <w:u w:val="none"/>
      <w:vertAlign w:val="superscript"/>
    </w:rPr>
  </w:style>
  <w:style w:type="character" w:customStyle="1" w:styleId="46">
    <w:name w:val="font112"/>
    <w:basedOn w:val="23"/>
    <w:qFormat/>
    <w:uiPriority w:val="0"/>
    <w:rPr>
      <w:rFonts w:hint="eastAsia" w:ascii="宋体" w:hAnsi="宋体" w:eastAsia="宋体" w:cs="宋体"/>
      <w:color w:val="000000"/>
      <w:sz w:val="22"/>
      <w:szCs w:val="22"/>
      <w:u w:val="none"/>
    </w:rPr>
  </w:style>
  <w:style w:type="character" w:customStyle="1" w:styleId="47">
    <w:name w:val="font31"/>
    <w:basedOn w:val="23"/>
    <w:qFormat/>
    <w:uiPriority w:val="0"/>
    <w:rPr>
      <w:rFonts w:hint="eastAsia" w:ascii="宋体" w:hAnsi="宋体" w:eastAsia="宋体" w:cs="宋体"/>
      <w:color w:val="000000"/>
      <w:sz w:val="22"/>
      <w:szCs w:val="22"/>
      <w:u w:val="none"/>
    </w:rPr>
  </w:style>
  <w:style w:type="character" w:customStyle="1" w:styleId="48">
    <w:name w:val="font21"/>
    <w:basedOn w:val="23"/>
    <w:qFormat/>
    <w:uiPriority w:val="0"/>
    <w:rPr>
      <w:rFonts w:ascii="微软雅黑" w:hAnsi="微软雅黑" w:eastAsia="微软雅黑" w:cs="微软雅黑"/>
      <w:color w:val="000000"/>
      <w:sz w:val="20"/>
      <w:szCs w:val="20"/>
      <w:u w:val="none"/>
    </w:rPr>
  </w:style>
  <w:style w:type="paragraph" w:customStyle="1" w:styleId="49">
    <w:name w:val="Table Text"/>
    <w:basedOn w:val="1"/>
    <w:qFormat/>
    <w:uiPriority w:val="0"/>
    <w:rPr>
      <w:rFonts w:ascii="宋体" w:hAnsi="宋体" w:eastAsia="宋体" w:cs="宋体"/>
      <w:sz w:val="18"/>
      <w:szCs w:val="18"/>
      <w:lang w:val="en-US" w:eastAsia="en-US" w:bidi="ar-SA"/>
    </w:rPr>
  </w:style>
  <w:style w:type="table" w:customStyle="1" w:styleId="50">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3755</Words>
  <Characters>4256</Characters>
  <Lines>0</Lines>
  <Paragraphs>0</Paragraphs>
  <TotalTime>2</TotalTime>
  <ScaleCrop>false</ScaleCrop>
  <LinksUpToDate>false</LinksUpToDate>
  <CharactersWithSpaces>4334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2024-09-25T01:03:00Z</dcterms:created>
  <dc:creator>至诚商洛分公司</dc:creator>
  <cp:lastModifiedBy>lenovo</cp:lastModifiedBy>
  <dcterms:modified xsi:type="dcterms:W3CDTF">2026-06-11T02:42:22Z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71CA1B0172814667AEA2581D0048BB40_13</vt:lpwstr>
  </property>
  <property fmtid="{D5CDD505-2E9C-101B-9397-08002B2CF9AE}" pid="4" name="KSOTemplateDocerSaveRecord">
    <vt:lpwstr>eyJoZGlkIjoiMTM2MmExZmM3MjhmNDhmZjI1MDBiNWQ3ODkxODIzZGEiLCJ1c2VySWQiOiI0Nzc1NTUxODkifQ==</vt:lpwstr>
  </property>
</Properties>
</file>