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7C7AD9">
      <w:pPr>
        <w:pStyle w:val="3"/>
        <w:spacing w:line="360" w:lineRule="auto"/>
        <w:rPr>
          <w:rFonts w:hint="eastAsia" w:ascii="仿宋" w:hAnsi="仿宋" w:eastAsia="仿宋" w:cs="仿宋"/>
          <w:sz w:val="30"/>
          <w:szCs w:val="30"/>
          <w:highlight w:val="none"/>
        </w:rPr>
      </w:pPr>
      <w:bookmarkStart w:id="0" w:name="_GoBack"/>
      <w:r>
        <w:rPr>
          <w:rFonts w:hint="eastAsia" w:ascii="仿宋" w:hAnsi="仿宋" w:eastAsia="仿宋" w:cs="仿宋"/>
          <w:sz w:val="32"/>
          <w:szCs w:val="32"/>
          <w:highlight w:val="none"/>
          <w:lang w:val="en-US" w:eastAsia="zh-CN"/>
        </w:rPr>
        <w:t>磋商</w:t>
      </w:r>
      <w:r>
        <w:rPr>
          <w:rFonts w:hint="eastAsia" w:ascii="仿宋" w:hAnsi="仿宋" w:eastAsia="仿宋" w:cs="仿宋"/>
          <w:sz w:val="32"/>
          <w:szCs w:val="32"/>
          <w:highlight w:val="none"/>
        </w:rPr>
        <w:t>报价表</w:t>
      </w:r>
      <w:bookmarkEnd w:id="0"/>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首次</w:t>
      </w:r>
      <w:r>
        <w:rPr>
          <w:rFonts w:hint="eastAsia" w:ascii="仿宋" w:hAnsi="仿宋" w:eastAsia="仿宋" w:cs="仿宋"/>
          <w:sz w:val="32"/>
          <w:szCs w:val="32"/>
          <w:highlight w:val="none"/>
          <w:lang w:eastAsia="zh-CN"/>
        </w:rPr>
        <w:t>）</w:t>
      </w:r>
      <w:r>
        <w:rPr>
          <w:rFonts w:hint="eastAsia" w:ascii="仿宋" w:hAnsi="仿宋" w:eastAsia="仿宋" w:cs="仿宋"/>
          <w:sz w:val="30"/>
          <w:szCs w:val="30"/>
          <w:highlight w:val="none"/>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9"/>
        <w:gridCol w:w="6160"/>
      </w:tblGrid>
      <w:tr w14:paraId="7D635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3199" w:type="dxa"/>
            <w:noWrap w:val="0"/>
            <w:vAlign w:val="center"/>
          </w:tcPr>
          <w:p w14:paraId="5E7EF23D">
            <w:pPr>
              <w:jc w:val="center"/>
              <w:rPr>
                <w:rFonts w:hint="eastAsia" w:ascii="仿宋_GB2312" w:eastAsia="仿宋_GB2312"/>
                <w:sz w:val="30"/>
                <w:szCs w:val="30"/>
              </w:rPr>
            </w:pPr>
            <w:r>
              <w:rPr>
                <w:rFonts w:hint="eastAsia" w:ascii="仿宋_GB2312" w:eastAsia="仿宋_GB2312"/>
                <w:sz w:val="30"/>
                <w:szCs w:val="30"/>
                <w:lang w:val="en-US" w:eastAsia="zh-CN"/>
              </w:rPr>
              <w:t>采购</w:t>
            </w:r>
            <w:r>
              <w:rPr>
                <w:rFonts w:hint="eastAsia" w:ascii="仿宋_GB2312" w:eastAsia="仿宋_GB2312"/>
                <w:sz w:val="30"/>
                <w:szCs w:val="30"/>
              </w:rPr>
              <w:t>项目名称</w:t>
            </w:r>
          </w:p>
        </w:tc>
        <w:tc>
          <w:tcPr>
            <w:tcW w:w="6160" w:type="dxa"/>
            <w:noWrap w:val="0"/>
            <w:vAlign w:val="center"/>
          </w:tcPr>
          <w:p w14:paraId="7ECC4B02">
            <w:pPr>
              <w:jc w:val="center"/>
              <w:rPr>
                <w:rFonts w:hint="eastAsia" w:ascii="仿宋_GB2312" w:eastAsia="仿宋_GB2312"/>
                <w:sz w:val="30"/>
                <w:szCs w:val="30"/>
                <w:lang w:eastAsia="zh-CN"/>
              </w:rPr>
            </w:pPr>
            <w:r>
              <w:rPr>
                <w:rFonts w:hint="eastAsia" w:ascii="仿宋_GB2312" w:eastAsia="仿宋_GB2312"/>
                <w:sz w:val="30"/>
                <w:szCs w:val="30"/>
                <w:lang w:eastAsia="zh-CN"/>
              </w:rPr>
              <w:t>2026年第一批市级农业农村发展专项资金－农产品检验检测项目</w:t>
            </w:r>
          </w:p>
        </w:tc>
      </w:tr>
      <w:tr w14:paraId="3E912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3199" w:type="dxa"/>
            <w:noWrap w:val="0"/>
            <w:vAlign w:val="center"/>
          </w:tcPr>
          <w:p w14:paraId="5ECB1DE3">
            <w:pPr>
              <w:jc w:val="center"/>
              <w:rPr>
                <w:rFonts w:hint="eastAsia" w:ascii="仿宋_GB2312" w:eastAsia="仿宋_GB2312"/>
                <w:sz w:val="30"/>
                <w:szCs w:val="30"/>
              </w:rPr>
            </w:pPr>
            <w:r>
              <w:rPr>
                <w:rFonts w:hint="eastAsia" w:ascii="仿宋_GB2312" w:eastAsia="仿宋_GB2312"/>
                <w:sz w:val="30"/>
                <w:szCs w:val="30"/>
                <w:lang w:val="en-US" w:eastAsia="zh-CN"/>
              </w:rPr>
              <w:t>采购</w:t>
            </w:r>
            <w:r>
              <w:rPr>
                <w:rFonts w:hint="eastAsia" w:ascii="仿宋_GB2312" w:eastAsia="仿宋_GB2312"/>
                <w:sz w:val="30"/>
                <w:szCs w:val="30"/>
              </w:rPr>
              <w:t>项目编号</w:t>
            </w:r>
          </w:p>
        </w:tc>
        <w:tc>
          <w:tcPr>
            <w:tcW w:w="6160" w:type="dxa"/>
            <w:noWrap w:val="0"/>
            <w:vAlign w:val="center"/>
          </w:tcPr>
          <w:p w14:paraId="6596BFD8">
            <w:pPr>
              <w:jc w:val="center"/>
              <w:rPr>
                <w:rFonts w:hint="default" w:ascii="仿宋_GB2312" w:eastAsia="仿宋_GB2312"/>
                <w:sz w:val="30"/>
                <w:szCs w:val="30"/>
                <w:lang w:val="en-US" w:eastAsia="zh-CN"/>
              </w:rPr>
            </w:pPr>
            <w:r>
              <w:rPr>
                <w:rFonts w:hint="default" w:ascii="仿宋_GB2312" w:eastAsia="仿宋_GB2312"/>
                <w:sz w:val="30"/>
                <w:szCs w:val="30"/>
                <w:lang w:val="en-US" w:eastAsia="zh-CN"/>
              </w:rPr>
              <w:t>KWX-2026-CS0813</w:t>
            </w:r>
          </w:p>
        </w:tc>
      </w:tr>
      <w:tr w14:paraId="59ACA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3199" w:type="dxa"/>
            <w:noWrap w:val="0"/>
            <w:vAlign w:val="center"/>
          </w:tcPr>
          <w:p w14:paraId="0ACBE63E">
            <w:pPr>
              <w:jc w:val="center"/>
              <w:rPr>
                <w:rFonts w:hint="default" w:ascii="仿宋_GB2312" w:eastAsia="仿宋_GB2312"/>
                <w:sz w:val="30"/>
                <w:szCs w:val="30"/>
                <w:lang w:val="en-US" w:eastAsia="zh-CN"/>
              </w:rPr>
            </w:pPr>
            <w:r>
              <w:rPr>
                <w:rFonts w:hint="eastAsia" w:ascii="仿宋_GB2312" w:eastAsia="仿宋_GB2312"/>
                <w:sz w:val="30"/>
                <w:szCs w:val="30"/>
                <w:lang w:val="en-US" w:eastAsia="zh-CN"/>
              </w:rPr>
              <w:t>采购包号</w:t>
            </w:r>
          </w:p>
        </w:tc>
        <w:tc>
          <w:tcPr>
            <w:tcW w:w="6160" w:type="dxa"/>
            <w:noWrap w:val="0"/>
            <w:vAlign w:val="center"/>
          </w:tcPr>
          <w:p w14:paraId="056E8AF2">
            <w:pPr>
              <w:jc w:val="center"/>
              <w:rPr>
                <w:rFonts w:hint="default" w:ascii="仿宋_GB2312" w:eastAsia="仿宋_GB2312"/>
                <w:sz w:val="30"/>
                <w:szCs w:val="30"/>
                <w:lang w:val="en-US" w:eastAsia="zh-CN"/>
              </w:rPr>
            </w:pPr>
          </w:p>
        </w:tc>
      </w:tr>
      <w:tr w14:paraId="5CE0F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3199" w:type="dxa"/>
            <w:noWrap w:val="0"/>
            <w:vAlign w:val="center"/>
          </w:tcPr>
          <w:p w14:paraId="0E6FF0A0">
            <w:pPr>
              <w:jc w:val="center"/>
              <w:rPr>
                <w:rFonts w:hint="default" w:ascii="仿宋_GB2312" w:eastAsia="仿宋_GB2312"/>
                <w:sz w:val="30"/>
                <w:szCs w:val="30"/>
                <w:lang w:val="en-US" w:eastAsia="zh-CN"/>
              </w:rPr>
            </w:pPr>
            <w:r>
              <w:rPr>
                <w:rFonts w:hint="eastAsia" w:ascii="仿宋_GB2312" w:eastAsia="仿宋_GB2312"/>
                <w:sz w:val="30"/>
                <w:szCs w:val="30"/>
                <w:lang w:val="en-US" w:eastAsia="zh-CN"/>
              </w:rPr>
              <w:t>批  次</w:t>
            </w:r>
          </w:p>
        </w:tc>
        <w:tc>
          <w:tcPr>
            <w:tcW w:w="6160" w:type="dxa"/>
            <w:noWrap w:val="0"/>
            <w:vAlign w:val="center"/>
          </w:tcPr>
          <w:p w14:paraId="75960833">
            <w:pPr>
              <w:jc w:val="center"/>
              <w:rPr>
                <w:rFonts w:hint="default" w:ascii="仿宋_GB2312" w:eastAsia="仿宋_GB2312"/>
                <w:sz w:val="30"/>
                <w:szCs w:val="30"/>
                <w:lang w:val="en-US" w:eastAsia="zh-CN"/>
              </w:rPr>
            </w:pPr>
          </w:p>
        </w:tc>
      </w:tr>
      <w:tr w14:paraId="59E1F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jc w:val="center"/>
        </w:trPr>
        <w:tc>
          <w:tcPr>
            <w:tcW w:w="3199" w:type="dxa"/>
            <w:noWrap w:val="0"/>
            <w:vAlign w:val="center"/>
          </w:tcPr>
          <w:p w14:paraId="353F1921">
            <w:pPr>
              <w:widowControl/>
              <w:jc w:val="center"/>
              <w:rPr>
                <w:rFonts w:hint="default" w:ascii="仿宋_GB2312" w:eastAsia="仿宋_GB2312"/>
                <w:kern w:val="0"/>
                <w:sz w:val="30"/>
                <w:szCs w:val="30"/>
                <w:lang w:val="en-US" w:eastAsia="zh-CN"/>
              </w:rPr>
            </w:pPr>
            <w:r>
              <w:rPr>
                <w:rFonts w:hint="eastAsia" w:ascii="仿宋_GB2312" w:hAnsi="仿宋_GB2312" w:eastAsia="仿宋_GB2312" w:cs="仿宋_GB2312"/>
                <w:sz w:val="30"/>
                <w:szCs w:val="30"/>
                <w:shd w:val="clear" w:color="auto" w:fill="FFFFFF"/>
                <w:lang w:val="en-US" w:eastAsia="zh-CN"/>
              </w:rPr>
              <w:t>综合单价</w:t>
            </w:r>
          </w:p>
        </w:tc>
        <w:tc>
          <w:tcPr>
            <w:tcW w:w="6160" w:type="dxa"/>
            <w:noWrap w:val="0"/>
            <w:vAlign w:val="center"/>
          </w:tcPr>
          <w:p w14:paraId="6A1B4AF6">
            <w:pPr>
              <w:keepNext w:val="0"/>
              <w:keepLines w:val="0"/>
              <w:pageBreakBefore w:val="0"/>
              <w:widowControl/>
              <w:kinsoku/>
              <w:wordWrap/>
              <w:overflowPunct/>
              <w:topLinePunct w:val="0"/>
              <w:autoSpaceDE/>
              <w:autoSpaceDN/>
              <w:bidi w:val="0"/>
              <w:snapToGrid w:val="0"/>
              <w:spacing w:line="240" w:lineRule="auto"/>
              <w:jc w:val="center"/>
              <w:textAlignment w:val="auto"/>
              <w:rPr>
                <w:rFonts w:hint="default" w:ascii="仿宋_GB2312" w:eastAsia="仿宋_GB2312"/>
                <w:kern w:val="0"/>
                <w:sz w:val="30"/>
                <w:szCs w:val="30"/>
                <w:u w:val="single"/>
                <w:lang w:val="en-US" w:eastAsia="zh-CN" w:bidi="ar-SA"/>
              </w:rPr>
            </w:pPr>
            <w:r>
              <w:rPr>
                <w:rFonts w:hint="eastAsia" w:ascii="仿宋_GB2312" w:hAnsi="仿宋_GB2312" w:eastAsia="仿宋_GB2312" w:cs="仿宋_GB2312"/>
                <w:kern w:val="2"/>
                <w:sz w:val="30"/>
                <w:szCs w:val="30"/>
                <w:u w:val="single"/>
                <w:shd w:val="clear" w:color="auto" w:fill="FFFFFF"/>
                <w:lang w:val="en-US" w:eastAsia="zh-CN" w:bidi="ar-SA"/>
              </w:rPr>
              <w:t xml:space="preserve">           </w:t>
            </w:r>
            <w:r>
              <w:rPr>
                <w:rFonts w:hint="eastAsia" w:ascii="仿宋_GB2312" w:hAnsi="仿宋_GB2312" w:eastAsia="仿宋_GB2312" w:cs="仿宋_GB2312"/>
                <w:kern w:val="2"/>
                <w:sz w:val="30"/>
                <w:szCs w:val="30"/>
                <w:shd w:val="clear" w:color="auto" w:fill="FFFFFF"/>
                <w:lang w:val="en-US" w:eastAsia="zh-CN" w:bidi="ar-SA"/>
              </w:rPr>
              <w:t>元/批次</w:t>
            </w:r>
          </w:p>
        </w:tc>
      </w:tr>
      <w:tr w14:paraId="3E8EF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jc w:val="center"/>
        </w:trPr>
        <w:tc>
          <w:tcPr>
            <w:tcW w:w="3199" w:type="dxa"/>
            <w:noWrap w:val="0"/>
            <w:vAlign w:val="center"/>
          </w:tcPr>
          <w:p w14:paraId="0AA40E63">
            <w:pPr>
              <w:widowControl/>
              <w:jc w:val="center"/>
              <w:rPr>
                <w:rFonts w:hint="eastAsia" w:ascii="仿宋_GB2312" w:hAnsi="仿宋_GB2312" w:eastAsia="仿宋_GB2312" w:cs="仿宋_GB2312"/>
                <w:sz w:val="30"/>
                <w:szCs w:val="30"/>
                <w:shd w:val="clear" w:color="auto" w:fill="FFFFFF"/>
                <w:lang w:val="en-US" w:eastAsia="zh-CN"/>
              </w:rPr>
            </w:pPr>
            <w:r>
              <w:rPr>
                <w:rFonts w:hint="eastAsia" w:ascii="仿宋_GB2312" w:hAnsi="仿宋_GB2312" w:eastAsia="仿宋_GB2312" w:cs="仿宋_GB2312"/>
                <w:sz w:val="30"/>
                <w:szCs w:val="30"/>
                <w:shd w:val="clear" w:color="auto" w:fill="FFFFFF"/>
                <w:lang w:val="en-US" w:eastAsia="zh-CN"/>
              </w:rPr>
              <w:t>磋商总报价</w:t>
            </w:r>
          </w:p>
          <w:p w14:paraId="408AE91A">
            <w:pPr>
              <w:widowControl/>
              <w:jc w:val="center"/>
              <w:rPr>
                <w:rFonts w:hint="eastAsia" w:ascii="仿宋_GB2312" w:hAnsi="Times New Roman" w:eastAsia="仿宋_GB2312" w:cs="Times New Roman"/>
                <w:kern w:val="0"/>
                <w:sz w:val="30"/>
                <w:szCs w:val="30"/>
                <w:lang w:val="en-US" w:eastAsia="zh-CN"/>
              </w:rPr>
            </w:pPr>
            <w:r>
              <w:rPr>
                <w:rFonts w:hint="eastAsia" w:ascii="仿宋_GB2312" w:hAnsi="仿宋_GB2312" w:eastAsia="仿宋_GB2312" w:cs="仿宋_GB2312"/>
                <w:sz w:val="30"/>
                <w:szCs w:val="30"/>
                <w:shd w:val="clear" w:color="auto" w:fill="FFFFFF"/>
                <w:lang w:val="en-US" w:eastAsia="zh-CN"/>
              </w:rPr>
              <w:t>（元）</w:t>
            </w:r>
          </w:p>
        </w:tc>
        <w:tc>
          <w:tcPr>
            <w:tcW w:w="6160" w:type="dxa"/>
            <w:noWrap w:val="0"/>
            <w:vAlign w:val="center"/>
          </w:tcPr>
          <w:p w14:paraId="7670CCBD">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eastAsia"/>
                <w:sz w:val="30"/>
                <w:szCs w:val="30"/>
              </w:rPr>
            </w:pPr>
            <w:r>
              <w:rPr>
                <w:rFonts w:hint="eastAsia" w:ascii="仿宋_GB2312" w:hAnsi="仿宋_GB2312" w:eastAsia="仿宋_GB2312" w:cs="仿宋_GB2312"/>
                <w:sz w:val="30"/>
                <w:szCs w:val="30"/>
                <w:shd w:val="clear" w:color="auto" w:fill="FFFFFF"/>
              </w:rPr>
              <w:t>人民币（小写）：</w:t>
            </w:r>
            <w:r>
              <w:rPr>
                <w:rFonts w:hint="eastAsia" w:ascii="仿宋_GB2312" w:hAnsi="仿宋_GB2312" w:eastAsia="仿宋_GB2312" w:cs="仿宋_GB2312"/>
                <w:sz w:val="30"/>
                <w:szCs w:val="30"/>
                <w:u w:val="single"/>
                <w:shd w:val="clear" w:color="auto" w:fill="FFFFFF"/>
              </w:rPr>
              <w:t xml:space="preserve">     </w:t>
            </w:r>
            <w:r>
              <w:rPr>
                <w:rFonts w:hint="eastAsia" w:ascii="仿宋_GB2312" w:hAnsi="仿宋_GB2312" w:eastAsia="仿宋_GB2312" w:cs="仿宋_GB2312"/>
                <w:sz w:val="30"/>
                <w:szCs w:val="30"/>
                <w:u w:val="single"/>
                <w:shd w:val="clear" w:color="auto" w:fill="FFFFFF"/>
                <w:lang w:val="en-US" w:eastAsia="zh-CN"/>
              </w:rPr>
              <w:t xml:space="preserve">              </w:t>
            </w:r>
            <w:r>
              <w:rPr>
                <w:rFonts w:hint="eastAsia" w:ascii="仿宋_GB2312" w:hAnsi="仿宋_GB2312" w:eastAsia="仿宋_GB2312" w:cs="仿宋_GB2312"/>
                <w:sz w:val="30"/>
                <w:szCs w:val="30"/>
                <w:u w:val="single"/>
                <w:shd w:val="clear" w:color="auto" w:fill="FFFFFF"/>
              </w:rPr>
              <w:t xml:space="preserve">  </w:t>
            </w:r>
          </w:p>
          <w:p w14:paraId="1672C6C6">
            <w:pPr>
              <w:keepNext w:val="0"/>
              <w:keepLines w:val="0"/>
              <w:pageBreakBefore w:val="0"/>
              <w:widowControl/>
              <w:kinsoku/>
              <w:wordWrap/>
              <w:overflowPunct/>
              <w:topLinePunct w:val="0"/>
              <w:autoSpaceDE/>
              <w:autoSpaceDN/>
              <w:bidi w:val="0"/>
              <w:snapToGrid w:val="0"/>
              <w:spacing w:line="240" w:lineRule="auto"/>
              <w:jc w:val="left"/>
              <w:textAlignment w:val="auto"/>
              <w:rPr>
                <w:rFonts w:hint="eastAsia" w:ascii="仿宋_GB2312" w:eastAsia="仿宋_GB2312"/>
                <w:kern w:val="0"/>
                <w:sz w:val="30"/>
                <w:szCs w:val="30"/>
                <w:lang w:val="en-US" w:eastAsia="zh-CN" w:bidi="ar-SA"/>
              </w:rPr>
            </w:pPr>
            <w:r>
              <w:rPr>
                <w:rFonts w:hint="eastAsia" w:ascii="仿宋_GB2312" w:hAnsi="仿宋_GB2312" w:eastAsia="仿宋_GB2312" w:cs="仿宋_GB2312"/>
                <w:sz w:val="30"/>
                <w:szCs w:val="30"/>
                <w:shd w:val="clear" w:color="auto" w:fill="FFFFFF"/>
              </w:rPr>
              <w:t>人民币（大写）：</w:t>
            </w:r>
            <w:r>
              <w:rPr>
                <w:rFonts w:hint="eastAsia" w:ascii="仿宋_GB2312" w:hAnsi="仿宋_GB2312" w:eastAsia="仿宋_GB2312" w:cs="仿宋_GB2312"/>
                <w:sz w:val="30"/>
                <w:szCs w:val="30"/>
                <w:u w:val="single"/>
                <w:shd w:val="clear" w:color="auto" w:fill="FFFFFF"/>
              </w:rPr>
              <w:t xml:space="preserve">     </w:t>
            </w:r>
            <w:r>
              <w:rPr>
                <w:rFonts w:hint="eastAsia" w:ascii="仿宋_GB2312" w:hAnsi="仿宋_GB2312" w:eastAsia="仿宋_GB2312" w:cs="仿宋_GB2312"/>
                <w:sz w:val="30"/>
                <w:szCs w:val="30"/>
                <w:u w:val="single"/>
                <w:shd w:val="clear" w:color="auto" w:fill="FFFFFF"/>
                <w:lang w:val="en-US" w:eastAsia="zh-CN"/>
              </w:rPr>
              <w:t xml:space="preserve">            </w:t>
            </w:r>
            <w:r>
              <w:rPr>
                <w:rFonts w:hint="eastAsia" w:ascii="仿宋_GB2312" w:hAnsi="仿宋_GB2312" w:eastAsia="仿宋_GB2312" w:cs="仿宋_GB2312"/>
                <w:sz w:val="30"/>
                <w:szCs w:val="30"/>
                <w:u w:val="single"/>
                <w:shd w:val="clear" w:color="auto" w:fill="FFFFFF"/>
              </w:rPr>
              <w:t xml:space="preserve">    </w:t>
            </w:r>
          </w:p>
        </w:tc>
      </w:tr>
      <w:tr w14:paraId="46E07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jc w:val="center"/>
        </w:trPr>
        <w:tc>
          <w:tcPr>
            <w:tcW w:w="3199" w:type="dxa"/>
            <w:noWrap w:val="0"/>
            <w:vAlign w:val="center"/>
          </w:tcPr>
          <w:p w14:paraId="78EE6A1B">
            <w:pPr>
              <w:widowControl/>
              <w:jc w:val="center"/>
              <w:rPr>
                <w:rFonts w:hint="default" w:ascii="仿宋_GB2312" w:hAnsi="仿宋_GB2312" w:eastAsia="仿宋_GB2312" w:cs="仿宋_GB2312"/>
                <w:sz w:val="30"/>
                <w:szCs w:val="30"/>
                <w:shd w:val="clear" w:color="auto" w:fill="FFFFFF"/>
                <w:lang w:val="en-US" w:eastAsia="zh-CN"/>
              </w:rPr>
            </w:pPr>
            <w:r>
              <w:rPr>
                <w:rFonts w:hint="eastAsia" w:ascii="仿宋_GB2312" w:hAnsi="仿宋_GB2312" w:eastAsia="仿宋_GB2312" w:cs="仿宋_GB2312"/>
                <w:sz w:val="30"/>
                <w:szCs w:val="30"/>
                <w:shd w:val="clear" w:color="auto" w:fill="FFFFFF"/>
                <w:lang w:val="en-US" w:eastAsia="zh-CN"/>
              </w:rPr>
              <w:t>服务期限</w:t>
            </w:r>
          </w:p>
        </w:tc>
        <w:tc>
          <w:tcPr>
            <w:tcW w:w="6160" w:type="dxa"/>
            <w:noWrap w:val="0"/>
            <w:vAlign w:val="center"/>
          </w:tcPr>
          <w:p w14:paraId="781F1088">
            <w:pPr>
              <w:keepNext w:val="0"/>
              <w:keepLines w:val="0"/>
              <w:pageBreakBefore w:val="0"/>
              <w:widowControl/>
              <w:kinsoku/>
              <w:wordWrap/>
              <w:overflowPunct/>
              <w:topLinePunct w:val="0"/>
              <w:autoSpaceDE/>
              <w:autoSpaceDN/>
              <w:bidi w:val="0"/>
              <w:snapToGrid w:val="0"/>
              <w:spacing w:line="240" w:lineRule="auto"/>
              <w:jc w:val="center"/>
              <w:textAlignment w:val="auto"/>
              <w:rPr>
                <w:rFonts w:hint="default" w:ascii="仿宋_GB2312" w:hAnsi="仿宋_GB2312" w:eastAsia="仿宋_GB2312" w:cs="仿宋_GB2312"/>
                <w:sz w:val="30"/>
                <w:szCs w:val="30"/>
                <w:shd w:val="clear" w:color="auto" w:fill="FFFFFF"/>
                <w:lang w:val="en-US" w:eastAsia="zh-CN"/>
              </w:rPr>
            </w:pPr>
            <w:r>
              <w:rPr>
                <w:rFonts w:hint="eastAsia" w:ascii="仿宋_GB2312" w:hAnsi="仿宋_GB2312" w:eastAsia="仿宋_GB2312" w:cs="仿宋_GB2312"/>
                <w:sz w:val="30"/>
                <w:szCs w:val="30"/>
                <w:shd w:val="clear" w:color="auto" w:fill="FFFFFF"/>
                <w:lang w:val="en-US" w:eastAsia="zh-CN"/>
              </w:rPr>
              <w:t>自合同签订之日起12个月</w:t>
            </w:r>
          </w:p>
        </w:tc>
      </w:tr>
      <w:tr w14:paraId="31952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9" w:hRule="atLeast"/>
          <w:jc w:val="center"/>
        </w:trPr>
        <w:tc>
          <w:tcPr>
            <w:tcW w:w="9359" w:type="dxa"/>
            <w:gridSpan w:val="2"/>
            <w:noWrap w:val="0"/>
            <w:vAlign w:val="center"/>
          </w:tcPr>
          <w:p w14:paraId="2E8FCBD9">
            <w:pPr>
              <w:widowControl/>
              <w:rPr>
                <w:rFonts w:hint="eastAsia" w:ascii="仿宋_GB2312" w:eastAsia="仿宋_GB2312"/>
                <w:bCs/>
                <w:kern w:val="0"/>
                <w:sz w:val="30"/>
                <w:szCs w:val="30"/>
                <w:highlight w:val="none"/>
              </w:rPr>
            </w:pPr>
            <w:r>
              <w:rPr>
                <w:rFonts w:hint="eastAsia" w:ascii="仿宋_GB2312" w:hAnsi="宋体" w:eastAsia="仿宋_GB2312"/>
                <w:sz w:val="30"/>
                <w:szCs w:val="30"/>
                <w:highlight w:val="none"/>
              </w:rPr>
              <w:t>说明</w:t>
            </w:r>
            <w:r>
              <w:rPr>
                <w:rFonts w:hint="eastAsia" w:ascii="仿宋_GB2312" w:eastAsia="仿宋_GB2312"/>
                <w:bCs/>
                <w:kern w:val="0"/>
                <w:sz w:val="30"/>
                <w:szCs w:val="30"/>
                <w:highlight w:val="none"/>
              </w:rPr>
              <w:t>：</w:t>
            </w:r>
          </w:p>
          <w:p w14:paraId="4C430695">
            <w:pPr>
              <w:keepNext w:val="0"/>
              <w:keepLines w:val="0"/>
              <w:pageBreakBefore w:val="0"/>
              <w:widowControl/>
              <w:kinsoku/>
              <w:wordWrap/>
              <w:overflowPunct/>
              <w:topLinePunct w:val="0"/>
              <w:bidi w:val="0"/>
              <w:adjustRightInd w:val="0"/>
              <w:snapToGrid w:val="0"/>
              <w:spacing w:line="240" w:lineRule="auto"/>
              <w:ind w:firstLine="600" w:firstLineChars="200"/>
              <w:textAlignment w:val="auto"/>
              <w:rPr>
                <w:rFonts w:hint="default" w:ascii="仿宋_GB2312" w:eastAsia="仿宋_GB2312"/>
                <w:bCs/>
                <w:kern w:val="0"/>
                <w:sz w:val="30"/>
                <w:szCs w:val="30"/>
                <w:highlight w:val="none"/>
                <w:lang w:val="en-US" w:eastAsia="zh-CN" w:bidi="ar-SA"/>
              </w:rPr>
            </w:pPr>
            <w:r>
              <w:rPr>
                <w:rFonts w:hint="eastAsia" w:ascii="仿宋_GB2312" w:eastAsia="仿宋_GB2312"/>
                <w:bCs/>
                <w:kern w:val="0"/>
                <w:sz w:val="30"/>
                <w:szCs w:val="30"/>
                <w:highlight w:val="none"/>
              </w:rPr>
              <w:t>1、磋商报价以元为单位，大小写不一致时，以大写为准。</w:t>
            </w:r>
            <w:r>
              <w:rPr>
                <w:rFonts w:hint="eastAsia" w:ascii="仿宋_GB2312" w:hAnsi="宋体" w:eastAsia="仿宋_GB2312"/>
                <w:sz w:val="30"/>
                <w:szCs w:val="30"/>
                <w:highlight w:val="none"/>
              </w:rPr>
              <w:br w:type="textWrapping"/>
            </w:r>
            <w:r>
              <w:rPr>
                <w:rFonts w:hint="eastAsia" w:ascii="仿宋_GB2312" w:hAnsi="宋体" w:eastAsia="仿宋_GB2312"/>
                <w:sz w:val="30"/>
                <w:szCs w:val="30"/>
                <w:highlight w:val="none"/>
                <w:lang w:val="en-US" w:eastAsia="zh-CN"/>
              </w:rPr>
              <w:t xml:space="preserve">    2、</w:t>
            </w:r>
            <w:r>
              <w:rPr>
                <w:rFonts w:hint="eastAsia" w:ascii="仿宋_GB2312" w:hAnsi="宋体" w:eastAsia="仿宋_GB2312"/>
                <w:sz w:val="30"/>
                <w:szCs w:val="30"/>
                <w:highlight w:val="none"/>
              </w:rPr>
              <w:t>除可填报项目外对本磋商报价表的任何修改将被视为非实质性响应投标从而导致该投标被拒绝。</w:t>
            </w:r>
            <w:r>
              <w:rPr>
                <w:rFonts w:hint="eastAsia" w:ascii="仿宋_GB2312" w:hAnsi="宋体" w:eastAsia="仿宋_GB2312"/>
                <w:sz w:val="30"/>
                <w:szCs w:val="30"/>
                <w:highlight w:val="none"/>
              </w:rPr>
              <w:br w:type="textWrapping"/>
            </w:r>
            <w:r>
              <w:rPr>
                <w:rFonts w:hint="eastAsia" w:ascii="仿宋_GB2312" w:hAnsi="宋体" w:eastAsia="仿宋_GB2312"/>
                <w:sz w:val="30"/>
                <w:szCs w:val="30"/>
                <w:highlight w:val="none"/>
                <w:lang w:val="en-US" w:eastAsia="zh-CN"/>
              </w:rPr>
              <w:t xml:space="preserve">    3、本采购包单批次报价不得超过500.00元/批次，</w:t>
            </w:r>
            <w:r>
              <w:rPr>
                <w:rFonts w:hint="eastAsia" w:ascii="仿宋_GB2312" w:hAnsi="仿宋_GB2312" w:eastAsia="仿宋_GB2312" w:cs="仿宋_GB2312"/>
                <w:sz w:val="30"/>
                <w:szCs w:val="30"/>
                <w:shd w:val="clear" w:color="auto" w:fill="FFFFFF"/>
                <w:lang w:val="en-US" w:eastAsia="zh-CN"/>
              </w:rPr>
              <w:t>磋商总报价=综合单价*批次，</w:t>
            </w:r>
            <w:r>
              <w:rPr>
                <w:rFonts w:hint="eastAsia" w:ascii="仿宋_GB2312" w:hAnsi="宋体" w:eastAsia="仿宋_GB2312"/>
                <w:sz w:val="30"/>
                <w:szCs w:val="30"/>
                <w:highlight w:val="none"/>
                <w:lang w:val="en-US" w:eastAsia="zh-CN"/>
              </w:rPr>
              <w:t>磋商报价不得超过合同包采购预算或最高限额。</w:t>
            </w:r>
          </w:p>
        </w:tc>
      </w:tr>
    </w:tbl>
    <w:p w14:paraId="1164D47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786" w:firstLineChars="262"/>
        <w:textAlignment w:val="baseline"/>
        <w:rPr>
          <w:rFonts w:hint="eastAsia" w:ascii="仿宋" w:hAnsi="仿宋" w:eastAsia="仿宋" w:cs="仿宋"/>
          <w:b w:val="0"/>
          <w:bCs w:val="0"/>
          <w:color w:val="auto"/>
          <w:sz w:val="30"/>
          <w:szCs w:val="30"/>
          <w:highlight w:val="none"/>
          <w:u w:val="none"/>
        </w:rPr>
      </w:pPr>
    </w:p>
    <w:p w14:paraId="4AD6A38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786" w:firstLineChars="262"/>
        <w:textAlignment w:val="baseline"/>
        <w:rPr>
          <w:rFonts w:hint="eastAsia" w:ascii="仿宋" w:hAnsi="仿宋" w:eastAsia="仿宋" w:cs="仿宋"/>
          <w:b w:val="0"/>
          <w:bCs w:val="0"/>
          <w:color w:val="auto"/>
          <w:sz w:val="30"/>
          <w:szCs w:val="30"/>
          <w:highlight w:val="none"/>
        </w:rPr>
      </w:pPr>
      <w:r>
        <w:rPr>
          <w:rFonts w:hint="eastAsia" w:ascii="仿宋" w:hAnsi="仿宋" w:eastAsia="仿宋" w:cs="仿宋"/>
          <w:b w:val="0"/>
          <w:bCs w:val="0"/>
          <w:color w:val="auto"/>
          <w:sz w:val="30"/>
          <w:szCs w:val="30"/>
          <w:highlight w:val="none"/>
          <w:u w:val="none"/>
        </w:rPr>
        <w:t>供应商名称（盖章）</w:t>
      </w:r>
      <w:r>
        <w:rPr>
          <w:rFonts w:hint="eastAsia" w:ascii="仿宋" w:hAnsi="仿宋" w:eastAsia="仿宋" w:cs="仿宋"/>
          <w:b w:val="0"/>
          <w:bCs w:val="0"/>
          <w:color w:val="auto"/>
          <w:sz w:val="30"/>
          <w:szCs w:val="30"/>
          <w:highlight w:val="none"/>
          <w:u w:val="none"/>
          <w:lang w:eastAsia="zh-CN"/>
        </w:rPr>
        <w:t>：</w:t>
      </w:r>
      <w:r>
        <w:rPr>
          <w:rFonts w:hint="eastAsia" w:ascii="仿宋" w:hAnsi="仿宋" w:eastAsia="仿宋" w:cs="仿宋"/>
          <w:b w:val="0"/>
          <w:bCs w:val="0"/>
          <w:color w:val="auto"/>
          <w:sz w:val="30"/>
          <w:szCs w:val="30"/>
          <w:highlight w:val="none"/>
          <w:u w:val="single"/>
        </w:rPr>
        <w:t xml:space="preserve">          </w:t>
      </w:r>
      <w:r>
        <w:rPr>
          <w:rFonts w:hint="eastAsia" w:ascii="仿宋" w:hAnsi="仿宋" w:eastAsia="仿宋" w:cs="仿宋"/>
          <w:b w:val="0"/>
          <w:bCs w:val="0"/>
          <w:color w:val="auto"/>
          <w:sz w:val="30"/>
          <w:szCs w:val="30"/>
          <w:highlight w:val="none"/>
          <w:u w:val="single"/>
          <w:lang w:val="en-US" w:eastAsia="zh-CN"/>
        </w:rPr>
        <w:t xml:space="preserve">            </w:t>
      </w:r>
      <w:r>
        <w:rPr>
          <w:rFonts w:hint="eastAsia" w:ascii="仿宋" w:hAnsi="仿宋" w:eastAsia="仿宋" w:cs="仿宋"/>
          <w:b w:val="0"/>
          <w:bCs w:val="0"/>
          <w:color w:val="auto"/>
          <w:sz w:val="30"/>
          <w:szCs w:val="30"/>
          <w:highlight w:val="none"/>
          <w:u w:val="single"/>
        </w:rPr>
        <w:t xml:space="preserve"> </w:t>
      </w:r>
    </w:p>
    <w:p w14:paraId="60538D2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786" w:firstLineChars="262"/>
        <w:textAlignment w:val="baseline"/>
        <w:rPr>
          <w:rFonts w:hint="eastAsia" w:ascii="仿宋" w:hAnsi="仿宋" w:eastAsia="仿宋" w:cs="仿宋"/>
          <w:b w:val="0"/>
          <w:bCs w:val="0"/>
          <w:color w:val="auto"/>
          <w:sz w:val="30"/>
          <w:szCs w:val="30"/>
          <w:highlight w:val="none"/>
        </w:rPr>
      </w:pPr>
      <w:r>
        <w:rPr>
          <w:rFonts w:hint="eastAsia" w:ascii="仿宋" w:hAnsi="仿宋" w:eastAsia="仿宋" w:cs="仿宋"/>
          <w:b w:val="0"/>
          <w:bCs w:val="0"/>
          <w:color w:val="auto"/>
          <w:sz w:val="30"/>
          <w:szCs w:val="30"/>
          <w:highlight w:val="none"/>
        </w:rPr>
        <w:t>法定代表人或授权代表（签字或盖章）：</w:t>
      </w:r>
      <w:r>
        <w:rPr>
          <w:rFonts w:hint="eastAsia" w:ascii="仿宋" w:hAnsi="仿宋" w:eastAsia="仿宋" w:cs="仿宋"/>
          <w:b w:val="0"/>
          <w:bCs w:val="0"/>
          <w:color w:val="auto"/>
          <w:sz w:val="30"/>
          <w:szCs w:val="30"/>
          <w:highlight w:val="none"/>
          <w:u w:val="single"/>
        </w:rPr>
        <w:t xml:space="preserve">         </w:t>
      </w:r>
    </w:p>
    <w:p w14:paraId="00A3596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786" w:firstLineChars="262"/>
        <w:textAlignment w:val="baseline"/>
      </w:pPr>
      <w:r>
        <w:rPr>
          <w:rFonts w:hint="eastAsia" w:ascii="仿宋" w:hAnsi="仿宋" w:eastAsia="仿宋" w:cs="仿宋"/>
          <w:b w:val="0"/>
          <w:bCs w:val="0"/>
          <w:color w:val="auto"/>
          <w:sz w:val="30"/>
          <w:szCs w:val="30"/>
          <w:highlight w:val="none"/>
        </w:rPr>
        <w:t>日    期：</w:t>
      </w:r>
      <w:r>
        <w:rPr>
          <w:rFonts w:hint="eastAsia" w:ascii="仿宋" w:hAnsi="仿宋" w:eastAsia="仿宋" w:cs="仿宋"/>
          <w:b w:val="0"/>
          <w:bCs w:val="0"/>
          <w:color w:val="auto"/>
          <w:sz w:val="30"/>
          <w:szCs w:val="30"/>
          <w:highlight w:val="none"/>
          <w:u w:val="single"/>
        </w:rPr>
        <w:t xml:space="preserve">        </w:t>
      </w:r>
      <w:r>
        <w:rPr>
          <w:rFonts w:hint="eastAsia" w:ascii="仿宋" w:hAnsi="仿宋" w:eastAsia="仿宋" w:cs="仿宋"/>
          <w:b w:val="0"/>
          <w:bCs w:val="0"/>
          <w:color w:val="auto"/>
          <w:sz w:val="30"/>
          <w:szCs w:val="30"/>
          <w:highlight w:val="none"/>
        </w:rPr>
        <w:t>年</w:t>
      </w:r>
      <w:r>
        <w:rPr>
          <w:rFonts w:hint="eastAsia" w:ascii="仿宋" w:hAnsi="仿宋" w:eastAsia="仿宋" w:cs="仿宋"/>
          <w:b w:val="0"/>
          <w:bCs w:val="0"/>
          <w:color w:val="auto"/>
          <w:sz w:val="30"/>
          <w:szCs w:val="30"/>
          <w:highlight w:val="none"/>
          <w:u w:val="single"/>
        </w:rPr>
        <w:t xml:space="preserve">       </w:t>
      </w:r>
      <w:r>
        <w:rPr>
          <w:rFonts w:hint="eastAsia" w:ascii="仿宋" w:hAnsi="仿宋" w:eastAsia="仿宋" w:cs="仿宋"/>
          <w:b w:val="0"/>
          <w:bCs w:val="0"/>
          <w:color w:val="auto"/>
          <w:sz w:val="30"/>
          <w:szCs w:val="30"/>
          <w:highlight w:val="none"/>
        </w:rPr>
        <w:t>月</w:t>
      </w:r>
      <w:r>
        <w:rPr>
          <w:rFonts w:hint="eastAsia" w:ascii="仿宋" w:hAnsi="仿宋" w:eastAsia="仿宋" w:cs="仿宋"/>
          <w:b w:val="0"/>
          <w:bCs w:val="0"/>
          <w:color w:val="auto"/>
          <w:sz w:val="30"/>
          <w:szCs w:val="30"/>
          <w:highlight w:val="none"/>
          <w:u w:val="single"/>
        </w:rPr>
        <w:t xml:space="preserve">       </w:t>
      </w:r>
      <w:r>
        <w:rPr>
          <w:rFonts w:hint="eastAsia" w:ascii="仿宋" w:hAnsi="仿宋" w:eastAsia="仿宋" w:cs="仿宋"/>
          <w:b w:val="0"/>
          <w:bCs w:val="0"/>
          <w:color w:val="auto"/>
          <w:sz w:val="30"/>
          <w:szCs w:val="30"/>
          <w:highlight w:val="none"/>
        </w:rPr>
        <w:t>日</w:t>
      </w:r>
      <w:r>
        <w:rPr>
          <w:rFonts w:hint="eastAsia" w:ascii="仿宋" w:hAnsi="仿宋" w:eastAsia="仿宋" w:cs="仿宋"/>
          <w:sz w:val="30"/>
          <w:szCs w:val="30"/>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C247F5"/>
    <w:rsid w:val="32C24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spacing w:before="0" w:beforeAutospacing="1" w:after="0" w:afterAutospacing="1"/>
      <w:jc w:val="left"/>
      <w:outlineLvl w:val="0"/>
    </w:pPr>
    <w:rPr>
      <w:rFonts w:hint="eastAsia" w:ascii="宋体" w:hAnsi="宋体" w:eastAsia="仿宋_GB2312" w:cs="宋体"/>
      <w:b/>
      <w:bCs/>
      <w:sz w:val="32"/>
      <w:szCs w:val="48"/>
      <w:lang w:bidi="ar"/>
    </w:rPr>
  </w:style>
  <w:style w:type="paragraph" w:styleId="3">
    <w:name w:val="heading 2"/>
    <w:basedOn w:val="1"/>
    <w:next w:val="4"/>
    <w:qFormat/>
    <w:uiPriority w:val="9"/>
    <w:pPr>
      <w:keepNext/>
      <w:keepLines/>
      <w:widowControl/>
      <w:spacing w:before="260" w:beforeLines="0" w:after="260" w:afterLines="0" w:line="360" w:lineRule="auto"/>
      <w:ind w:left="284"/>
      <w:jc w:val="center"/>
      <w:outlineLvl w:val="1"/>
    </w:pPr>
    <w:rPr>
      <w:rFonts w:ascii="Arial" w:hAnsi="Arial" w:eastAsia="仿宋"/>
      <w:b/>
      <w:bCs/>
      <w:sz w:val="28"/>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widowControl/>
      <w:adjustRightInd w:val="0"/>
      <w:snapToGrid w:val="0"/>
      <w:spacing w:after="60"/>
      <w:ind w:firstLine="420"/>
      <w:jc w:val="left"/>
    </w:pPr>
    <w:rPr>
      <w:rFonts w:ascii="Tahoma" w:hAnsi="Tahoma" w:cs="Tahoma"/>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2026-08-31T06:27:00Z</dcterms:created>
  <dc:creator>仅此而已</dc:creator>
  <cp:lastModifiedBy>仅此而已</cp:lastModifiedBy>
  <dcterms:modified xsi:type="dcterms:W3CDTF">2026-08-31T06:28:04Z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345C394737AC4322BAE88FC6532EF457_11</vt:lpwstr>
  </property>
  <property fmtid="{D5CDD505-2E9C-101B-9397-08002B2CF9AE}" pid="4" name="KSOTemplateDocerSaveRecord">
    <vt:lpwstr>eyJoZGlkIjoiMmY4YWUwODVlNGMyZDkzMzhmZWViN2FkNzEyODcwODAiLCJ1c2VySWQiOiI1MzUwNzc2NjUifQ==</vt:lpwstr>
  </property>
</Properties>
</file>