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版本号：SCZB2026-ZB-0936-00120260507001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市体育训练中心建设项目结算评审服务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SCZB2026-ZB-0936-001</w:t>
      </w:r>
      <w:r>
        <w:br/>
      </w:r>
      <w:r>
        <w:br/>
      </w:r>
      <w:r>
        <w:br/>
      </w:r>
    </w:p>
    <w:p>
      <w:pPr>
        <w:pStyle w:val="null3"/>
        <w:jc w:val="center"/>
        <w:outlineLvl w:val="2"/>
      </w:pPr>
      <w:r>
        <w:rPr>
          <w:rFonts w:ascii="仿宋_GB2312" w:hAnsi="仿宋_GB2312" w:cs="仿宋_GB2312" w:eastAsia="仿宋_GB2312"/>
          <w:sz w:val="28"/>
          <w:b/>
        </w:rPr>
        <w:t>西安市体育训练中心（西安市人民体育场）</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西安市体育训练中心（西安市人民体育场）</w:t>
      </w:r>
      <w:r>
        <w:rPr>
          <w:rFonts w:ascii="仿宋_GB2312" w:hAnsi="仿宋_GB2312" w:cs="仿宋_GB2312" w:eastAsia="仿宋_GB2312"/>
        </w:rPr>
        <w:t>委托，拟对</w:t>
      </w:r>
      <w:r>
        <w:rPr>
          <w:rFonts w:ascii="仿宋_GB2312" w:hAnsi="仿宋_GB2312" w:cs="仿宋_GB2312" w:eastAsia="仿宋_GB2312"/>
        </w:rPr>
        <w:t>市体育训练中心建设项目结算评审服务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SCZB2026-ZB-0936-001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市体育训练中心建设项目结算评审服务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西安市体育训练中心项目，位于西安国际港务区港务西路，占地面积约290亩，总建筑面积为20.01万平方米。该项目由国际港务区管委会负责代建，项目投资总概算为16.99亿元。具体采购内容详见采购文件。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采购包1（市体育训练中心建设项目结算评审服务）：属于专门面向中小企业采购。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1、项目负责人：项目负责人须具备一级注册造价工程师执业资格（并在本单位注册）；</w:t>
      </w:r>
    </w:p>
    <w:p>
      <w:pPr>
        <w:pStyle w:val="null3"/>
      </w:pPr>
      <w:r>
        <w:rPr>
          <w:rFonts w:ascii="仿宋_GB2312" w:hAnsi="仿宋_GB2312" w:cs="仿宋_GB2312" w:eastAsia="仿宋_GB2312"/>
        </w:rPr>
        <w:t>2、授权委托书：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p>
      <w:pPr>
        <w:pStyle w:val="null3"/>
      </w:pPr>
      <w:r>
        <w:rPr>
          <w:rFonts w:ascii="仿宋_GB2312" w:hAnsi="仿宋_GB2312" w:cs="仿宋_GB2312" w:eastAsia="仿宋_GB2312"/>
        </w:rPr>
        <w:t>3、供应商基本资格条件承诺函：提供《西安市政府采购供应商基本资格条件承诺函》</w:t>
      </w:r>
    </w:p>
    <w:p>
      <w:pPr>
        <w:pStyle w:val="null3"/>
      </w:pPr>
      <w:r>
        <w:rPr>
          <w:rFonts w:ascii="仿宋_GB2312" w:hAnsi="仿宋_GB2312" w:cs="仿宋_GB2312" w:eastAsia="仿宋_GB2312"/>
        </w:rPr>
        <w:t>4、信用查询：供应商在递交投标文件截止时间前被“信用中国”网站（www.creditchina.gov.cn）和中国政府采购网（www.ccgp.gov.cn）上被列入失信被执行人、重大税收违法失信主体、政府采购严重违法失信行为信息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西安市体育训练中心（西安市人民体育场）</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西安市国际港务区港务西路西安市体育训练中心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西安市体育训练中心（西安市人民体育场）白老师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029-88065223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收取。中标单位在领取中标通知书前，须向招标代理机构一次性支付招标代理服务费。 招标代理服务费账户： 户名：陕西省采购招标有限责任公司 开户行：中国光大银行西安友谊路支行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西安市体育训练中心（西安市人民体育场）</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西安市体育训练中心（西安市人民体育场）</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西安市体育训练中心（西安市人民体育场）</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西安市体育训练中心项目，位于西安国际港务区港务西路，占地面积约290亩，总建筑面积为20.01万平方米。该项目由国际港务区管委会负责代建，项目投资总概算为16.99亿元。具体采购内容详见采购文件。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4,000,000.00</w:t>
      </w:r>
    </w:p>
    <w:p>
      <w:pPr>
        <w:pStyle w:val="null3"/>
      </w:pPr>
      <w:r>
        <w:rPr>
          <w:rFonts w:ascii="仿宋_GB2312" w:hAnsi="仿宋_GB2312" w:cs="仿宋_GB2312" w:eastAsia="仿宋_GB2312"/>
        </w:rPr>
        <w:t>采购包最高限价（元）: 4,000,000.00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评审服务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标的名称：评审服务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rPr>
              <w:t>一、项目概况</w:t>
            </w:r>
            <w:r>
              <w:br/>
            </w:r>
            <w:r>
              <w:rPr>
                <w:rFonts w:ascii="仿宋_GB2312" w:hAnsi="仿宋_GB2312" w:cs="仿宋_GB2312" w:eastAsia="仿宋_GB2312"/>
              </w:rPr>
              <w:t xml:space="preserve"> 西安市体育训练中心项目，位于西安国际港务区港务西路，占地面积约290亩，总建筑面积为20.01万平方米。该项目由国际港务区管委会负责代建，项目投资总概算为16.99亿元。</w:t>
            </w:r>
          </w:p>
          <w:p>
            <w:pPr>
              <w:pStyle w:val="null3"/>
              <w:ind w:firstLine="402"/>
            </w:pPr>
            <w:r>
              <w:rPr>
                <w:rFonts w:ascii="仿宋_GB2312" w:hAnsi="仿宋_GB2312" w:cs="仿宋_GB2312" w:eastAsia="仿宋_GB2312"/>
              </w:rPr>
              <w:t>二、服务内容</w:t>
            </w:r>
            <w:r>
              <w:br/>
            </w:r>
            <w:r>
              <w:rPr>
                <w:rFonts w:ascii="仿宋_GB2312" w:hAnsi="仿宋_GB2312" w:cs="仿宋_GB2312" w:eastAsia="仿宋_GB2312"/>
              </w:rPr>
              <w:t xml:space="preserve"> 西安市体育训练中心园区内的主要场馆设施包括1座综合训练馆、1座游泳跳水训练馆、1座田径馆、1座射击击箭馆和1栋科研教学楼、1栋市属运动员公寓和1栋国家队运动员公寓以及室外田径、足球等训练场地。按照现行设计功能，项目交付后，可同时满足市属8个训练单位约1500名运动员集中教学、训练和食宿生活需要。</w:t>
            </w:r>
            <w:r>
              <w:br/>
            </w:r>
            <w:r>
              <w:rPr>
                <w:rFonts w:ascii="仿宋_GB2312" w:hAnsi="仿宋_GB2312" w:cs="仿宋_GB2312" w:eastAsia="仿宋_GB2312"/>
              </w:rPr>
              <w:t xml:space="preserve"> 综合训练馆建筑面积约4.4万㎡，建筑高度37.8m，共5层，共计11个训练场馆、约15个体育项目。游泳跳水训练馆建筑面积约1.4万㎡，建筑高度22m，地下1层，地上3层。室内田径馆建筑面积约2.7万㎡，建筑高度24m，局部3层，二层为200m室内田径场。射击击剑馆建筑面积约2.2万㎡，建筑高度24m，局部2层，包含10m靶场、25m靶场、50m靶场及击剑场地。运动员公寓建筑面积约3.2万㎡，建筑高度63m，地上15层，地下2层，共444间宿舍。食堂建筑面积约6500㎡，共4层，可同时容纳900人就餐。外训交流中心及科研办公建筑面积3.5万㎡，建筑高度63m。外训交流中心地上14层，标间150间，套间20间。科研办公楼共13层，培训教室27间，办公室44间。室外场地包含400m室外田径场、室外篮球场、足球训练场、射箭场等。</w:t>
            </w:r>
          </w:p>
          <w:p>
            <w:pPr>
              <w:pStyle w:val="null3"/>
              <w:ind w:firstLine="402"/>
            </w:pPr>
            <w:r>
              <w:rPr>
                <w:rFonts w:ascii="仿宋_GB2312" w:hAnsi="仿宋_GB2312" w:cs="仿宋_GB2312" w:eastAsia="仿宋_GB2312"/>
              </w:rPr>
              <w:t>三 、技术要求</w:t>
            </w:r>
            <w:r>
              <w:br/>
            </w:r>
            <w:r>
              <w:rPr>
                <w:rFonts w:ascii="仿宋_GB2312" w:hAnsi="仿宋_GB2312" w:cs="仿宋_GB2312" w:eastAsia="仿宋_GB2312"/>
              </w:rPr>
              <w:t xml:space="preserve"> (1)为保证本工程咨询成果的质量及各项工作在要求的期限内完成，中标人须根据项目特点有针对性的安排专业技术能力强、综合素质高、恪守职业道德的人员组织作业，确保造价咨询工作的连续性、可追溯性和主要作业人员的稳定性；同时，中标人须提前列出工作计划，保证项目作业人员满足采购人的进度要求。</w:t>
            </w:r>
            <w:r>
              <w:br/>
            </w:r>
            <w:r>
              <w:rPr>
                <w:rFonts w:ascii="仿宋_GB2312" w:hAnsi="仿宋_GB2312" w:cs="仿宋_GB2312" w:eastAsia="仿宋_GB2312"/>
              </w:rPr>
              <w:t xml:space="preserve"> (2)中标人向采购人提供完整的成果文件(或初步成果文件)时，应一并提交计算底稿(须经咨询单位内部审查复核)，咨询文件完成定稿后，再一次提交成果文件及计算底稿，前后结果差异超过10%时，中标人应当书面说明情况并加盖单位公章。中标人出具报告时，工程量计算底稿作为报告附件单独装订成册(只提供一份)。咨询过程中造价人员应充分发挥积极性，坚持原则，合理有效控制造价，若需要采购人提供资料或解决争议，提前以书面形式报采购人。</w:t>
            </w:r>
            <w:r>
              <w:br/>
            </w:r>
            <w:r>
              <w:rPr>
                <w:rFonts w:ascii="仿宋_GB2312" w:hAnsi="仿宋_GB2312" w:cs="仿宋_GB2312" w:eastAsia="仿宋_GB2312"/>
              </w:rPr>
              <w:t xml:space="preserve"> (3)须进行核对的项目，中标人项目负责人除了协调项目有关事宜外，还应承担管理责任，须管控并推进项目的总体进度，积极主动沟通、保质、按时将项目完成。</w:t>
            </w:r>
          </w:p>
          <w:p>
            <w:pPr>
              <w:pStyle w:val="null3"/>
              <w:ind w:firstLine="402"/>
            </w:pPr>
            <w:r>
              <w:rPr>
                <w:rFonts w:ascii="仿宋_GB2312" w:hAnsi="仿宋_GB2312" w:cs="仿宋_GB2312" w:eastAsia="仿宋_GB2312"/>
              </w:rPr>
              <w:t xml:space="preserve"> 四、服务要求</w:t>
            </w:r>
            <w:r>
              <w:br/>
            </w:r>
            <w:r>
              <w:rPr>
                <w:rFonts w:ascii="仿宋_GB2312" w:hAnsi="仿宋_GB2312" w:cs="仿宋_GB2312" w:eastAsia="仿宋_GB2312"/>
              </w:rPr>
              <w:t xml:space="preserve"> 在合同执行过程中需要服务商应执行的相关服务标准和应当履行的相关义务。</w:t>
            </w:r>
            <w:r>
              <w:br/>
            </w:r>
            <w:r>
              <w:rPr>
                <w:rFonts w:ascii="仿宋_GB2312" w:hAnsi="仿宋_GB2312" w:cs="仿宋_GB2312" w:eastAsia="仿宋_GB2312"/>
              </w:rPr>
              <w:t xml:space="preserve"> (1)项目组成人员不少于6人，其中：拟派造价项目负责人1名：具有工程类中级以上（含中级）技术职称，并具备一级注册造价工程师执业资格且在本单位注册。拟派土建专业造价项目负责人2名：具备二级及以上注册造价工程师执业资格且在本单位注册。拟派机电安装工程专业造价项目负责人1名：具备二级及以上注册造价工程师执业资格且在本单位注册。项目负责人可与土建专业或机电安装专业负责人同时兼任，但仅只能同时兼任一个。</w:t>
            </w:r>
            <w:r>
              <w:br/>
            </w:r>
            <w:r>
              <w:rPr>
                <w:rFonts w:ascii="仿宋_GB2312" w:hAnsi="仿宋_GB2312" w:cs="仿宋_GB2312" w:eastAsia="仿宋_GB2312"/>
              </w:rPr>
              <w:t xml:space="preserve"> (2)中标人授权项目负责人、项目投诉管理负责人，未经采购人书面同意，中标人不得更换项目负责人。</w:t>
            </w:r>
            <w:r>
              <w:br/>
            </w:r>
            <w:r>
              <w:rPr>
                <w:rFonts w:ascii="仿宋_GB2312" w:hAnsi="仿宋_GB2312" w:cs="仿宋_GB2312" w:eastAsia="仿宋_GB2312"/>
              </w:rPr>
              <w:t xml:space="preserve"> (3)为确保委托项目顺利完成，中标人须固定负责人及各专业作业人员,合同中承诺配备的人员必须到位，采购人有权要求更换能力不佳的人员,除此之外,所报人员不得变动。服务过程中，接受委托时均须提供该项目各专业作业人员名单。</w:t>
            </w:r>
            <w:r>
              <w:br/>
            </w:r>
            <w:r>
              <w:rPr>
                <w:rFonts w:ascii="仿宋_GB2312" w:hAnsi="仿宋_GB2312" w:cs="仿宋_GB2312" w:eastAsia="仿宋_GB2312"/>
              </w:rPr>
              <w:t xml:space="preserve"> (4)项目咨询服务人员实行“黑名单”制度，项目负责人及作业人员出现1次质量事故的，在咨询合同期间内，该项目负责人及作业人员不得再以任何方式参与委托项目的咨询服务并向采购人承担违约责任。</w:t>
            </w:r>
            <w:r>
              <w:br/>
            </w:r>
            <w:r>
              <w:rPr>
                <w:rFonts w:ascii="仿宋_GB2312" w:hAnsi="仿宋_GB2312" w:cs="仿宋_GB2312" w:eastAsia="仿宋_GB2312"/>
              </w:rPr>
              <w:t xml:space="preserve"> (5)中标人咨询人员必须严格按照工程图纸、建设合同等有关资料及国家有关规定进行编制与审核，坚持计量计价原则，与采购人积极沟通，力求咨询结果完整、准确。</w:t>
            </w:r>
            <w:r>
              <w:br/>
            </w:r>
            <w:r>
              <w:rPr>
                <w:rFonts w:ascii="仿宋_GB2312" w:hAnsi="仿宋_GB2312" w:cs="仿宋_GB2312" w:eastAsia="仿宋_GB2312"/>
              </w:rPr>
              <w:t xml:space="preserve"> (6)中标人提供的造价咨询服务以及出具的工程造价咨询成果文件应符合法律、法规、政策规定，符合国家、省、市相关标准以及行业标准。</w:t>
            </w:r>
            <w:r>
              <w:br/>
            </w:r>
            <w:r>
              <w:rPr>
                <w:rFonts w:ascii="仿宋_GB2312" w:hAnsi="仿宋_GB2312" w:cs="仿宋_GB2312" w:eastAsia="仿宋_GB2312"/>
              </w:rPr>
              <w:t xml:space="preserve"> (7)采购人提供给中标人的图纸、采购人为实施工程自行编制或委托编制的技术规范以及反映采购人要求的或其他类似性质文件的著作权属于采购人。中标人为履行本合同约定而编制的成果文件，其著作权属于采购人。</w:t>
            </w:r>
            <w:r>
              <w:br/>
            </w:r>
            <w:r>
              <w:rPr>
                <w:rFonts w:ascii="仿宋_GB2312" w:hAnsi="仿宋_GB2312" w:cs="仿宋_GB2312" w:eastAsia="仿宋_GB2312"/>
              </w:rPr>
              <w:t xml:space="preserve"> (8)造价咨询服务所产生的成果文件，咨询人应先提交初步成果文件接受委托人审查（初步成果文件须按委托人要求的格式填写，由负责人签字确认），当委托人对咨询人成果有疑问时，咨询人有责任及时回复委托人提出的疑问，在委托人审核无意见后，咨询人提供正式成果报告。咨询人提交的正式成果文件亦须按委托人要求的格式，封面须有各专业工程师及审核人员的签名并加盖公司印章。如委托人要求，需提供如有纸质计算底稿的，必须条理清楚、步骤清晰，有较强的可复查性。若咨询人成果不可复查，咨询人有义务随时配合委托人的核对工作。咨询人未按合同条款、委托人的要求执行，或工作成果质量等达不到委托人的要求，咨询人须及时进行整改、修正，直至符合委托人要求验收为止。咨询人因此导致成果提交延期，造成委托人时间、费用的实际损失的，需承担违约责任。</w:t>
            </w:r>
          </w:p>
          <w:p>
            <w:pPr>
              <w:pStyle w:val="null3"/>
              <w:ind w:firstLine="402"/>
            </w:pPr>
            <w:r>
              <w:rPr>
                <w:rFonts w:ascii="仿宋_GB2312" w:hAnsi="仿宋_GB2312" w:cs="仿宋_GB2312" w:eastAsia="仿宋_GB2312"/>
              </w:rPr>
              <w:t>五、商务要求</w:t>
            </w:r>
            <w:r>
              <w:br/>
            </w:r>
            <w:r>
              <w:rPr>
                <w:rFonts w:ascii="仿宋_GB2312" w:hAnsi="仿宋_GB2312" w:cs="仿宋_GB2312" w:eastAsia="仿宋_GB2312"/>
              </w:rPr>
              <w:t xml:space="preserve"> ( 一 )服务期限：自合同签订之日起90日内完成</w:t>
            </w:r>
            <w:r>
              <w:br/>
            </w:r>
            <w:r>
              <w:rPr>
                <w:rFonts w:ascii="仿宋_GB2312" w:hAnsi="仿宋_GB2312" w:cs="仿宋_GB2312" w:eastAsia="仿宋_GB2312"/>
              </w:rPr>
              <w:t xml:space="preserve"> 款项结算：付款条件说明： 采购人、供应商双方签订合同后，采购人支付总价款的60%作为预付款 ，达到付款条件起 10 日内，支付合同总金额的 60.00%。成交供应商出具最终审核报告纸质版并经采购人验收合格后，采购人支付剩下40%剩余款项，达到付款条件起 10 日内，支付合同总金额的 40.00%。付款前成交供应商应按要求开具等额增值税普通发票，否则采购人有权顺延支付时间。</w:t>
            </w:r>
          </w:p>
          <w:p>
            <w:pPr>
              <w:pStyle w:val="null3"/>
              <w:ind w:firstLine="402"/>
            </w:pPr>
            <w:r>
              <w:rPr>
                <w:rFonts w:ascii="仿宋_GB2312" w:hAnsi="仿宋_GB2312" w:cs="仿宋_GB2312" w:eastAsia="仿宋_GB2312"/>
              </w:rPr>
              <w:t xml:space="preserve"> 六 、其他</w:t>
            </w:r>
            <w:r>
              <w:br/>
            </w:r>
            <w:r>
              <w:rPr>
                <w:rFonts w:ascii="仿宋_GB2312" w:hAnsi="仿宋_GB2312" w:cs="仿宋_GB2312" w:eastAsia="仿宋_GB2312"/>
              </w:rPr>
              <w:t xml:space="preserve"> (一)进度要求：自合同签订之日起90日内完成</w:t>
            </w:r>
            <w:r>
              <w:br/>
            </w:r>
            <w:r>
              <w:rPr>
                <w:rFonts w:ascii="仿宋_GB2312" w:hAnsi="仿宋_GB2312" w:cs="仿宋_GB2312" w:eastAsia="仿宋_GB2312"/>
              </w:rPr>
              <w:t xml:space="preserve"> (二)成果交付要求：项目结算审核报告（四）质量验收标准或规范：符合国家相关行业规范“合格”标准及采购人要求。</w:t>
            </w:r>
            <w:r>
              <w:br/>
            </w:r>
            <w:r>
              <w:rPr>
                <w:rFonts w:ascii="仿宋_GB2312" w:hAnsi="仿宋_GB2312" w:cs="仿宋_GB2312" w:eastAsia="仿宋_GB2312"/>
              </w:rPr>
              <w:t xml:space="preserve"> （五）违约责任：一般与合同款项的支付相关，注意不要超出《民法典》中对于违约的责任上限。</w:t>
            </w:r>
            <w:r>
              <w:br/>
            </w:r>
            <w:r>
              <w:rPr>
                <w:rFonts w:ascii="仿宋_GB2312" w:hAnsi="仿宋_GB2312" w:cs="仿宋_GB2312" w:eastAsia="仿宋_GB2312"/>
              </w:rPr>
              <w:t xml:space="preserve"> （1）委托人的违约责任：委托人不履行本合同义务或者履行义务不符合本合同约定的，应承担违约责任。委托人违反本合同约定造成咨询人损失的，委托人应予以赔偿。委托人未能按期支付酬金超过14天，应按下列方法计算并支付逾期付款利息。</w:t>
            </w:r>
            <w:r>
              <w:br/>
            </w:r>
            <w:r>
              <w:rPr>
                <w:rFonts w:ascii="仿宋_GB2312" w:hAnsi="仿宋_GB2312" w:cs="仿宋_GB2312" w:eastAsia="仿宋_GB2312"/>
              </w:rPr>
              <w:t xml:space="preserve"> 逾期付款利息=当期应付款总额×中国人民银行发布的同期贷款基准利率×逾期支付天数（自逾期之日起计算）。</w:t>
            </w:r>
            <w:r>
              <w:br/>
            </w:r>
            <w:r>
              <w:rPr>
                <w:rFonts w:ascii="仿宋_GB2312" w:hAnsi="仿宋_GB2312" w:cs="仿宋_GB2312" w:eastAsia="仿宋_GB2312"/>
              </w:rPr>
              <w:t xml:space="preserve"> （2）咨询人的违约责任：咨询人不履行本合同义务或者履行义务不符合本合同约定的，应承担违约责任。因咨询人违反本合同约定给委托人造成损失的，咨询人应当赔偿委托人损失。</w:t>
            </w:r>
            <w:r>
              <w:br/>
            </w:r>
            <w:r>
              <w:rPr>
                <w:rFonts w:ascii="仿宋_GB2312" w:hAnsi="仿宋_GB2312" w:cs="仿宋_GB2312" w:eastAsia="仿宋_GB2312"/>
              </w:rPr>
              <w:t xml:space="preserve"> （六）其他要求：(1)中标供应商自接到采购人齐全资料后的作业时间：自资料接收齐全至项目完成。(2)项目咨询工期：如因非咨询人的责任造成进度推迟或延误而超过约定日期，双方应进一步约定。</w:t>
            </w:r>
            <w:r>
              <w:br/>
            </w:r>
            <w:r>
              <w:rPr>
                <w:rFonts w:ascii="仿宋_GB2312" w:hAnsi="仿宋_GB2312" w:cs="仿宋_GB2312" w:eastAsia="仿宋_GB2312"/>
              </w:rPr>
              <w:t xml:space="preserve"> （七）特别说明：无</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招标人指定地点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采购人、供应商双方签订合同后，采购人支付总价款的60%作为预付款</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成交供应商出具最终审核报告纸质版并经采购人验收合格后，采购人支付剩下40%剩余款项，付款前成交供应商应按要求开具等额增值税普通发票，否则采购人有权顺延支付时间</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2.投标文件格式中所附“投标报价明细表”，投标人应根据自己所投标包选择对应的报价明细表进行填写，且仅保留所投标包的报价明细表。 2.投标总价包括：服务过程中包括供应地点到服务地点所包含的一切费用。合同总价不可变更，不受市场价变化的影响，不受实际数量变化的影响。 3.其他补充事宜 3.1、落实政府采购政策： 3.1.1《关于进一步加大政府采购支持中小企业力度的通知》（财库〔2022〕19号）、《政府采购促进中小企业发展管理办法》（财库〔2020〕46号）、《财政部 司法部关于政府采购支持监狱企业发展有关问题的通知》（财库〔2014〕68号）、《关于促进残疾人就业政府采购政策的通知》（财库〔2017〕141号）。 3.1.2《国务院办公厅关于建立政府强制采购节能产品制度的通知》（国办发〔2007〕51号）、《财政部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 3.1.3《关于运用政府采购政策支持乡村产业振兴的通知》（财库〔2021〕19 号）、《关于印发&lt;关于深入开展政府采购脱贫地区农副产品工作推进乡村产业振兴的实施意见&gt;的通知》（财库〔2021〕20 号）。 3.1.4《国家互联网信息办公室 工业和信息化部 公安部 财政部 国家认证认可监督管理委员会关于调整网络安全专用产品安全管理有关事项的公告》（2023年第1号）。 3.1.5《陕西省财政厅关于加快推进我省中小企业政府采购信用融资工作的通知》（陕财办采〔2020〕15 号）、《陕西省财政厅关于印发&lt;陕西省中小企业政府采购信用融资办法&gt;的通知》（陕财办采〔2018〕23 号）。 3.1.6《关于扩大政府采购支持绿色建材促进建筑品质提升政策实施范围的通知》（财库〔2022〕35号）、《财政部办公厅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工业和信息化部办公厅关于印发&lt;政府采购支持绿色建材促进建筑品质提升政策项目实施指南&gt;的通知》（财办库〔2023〕52号）。 3.1.7《国务院办公厅关于在政府采购中实施本国产品标准及相关政策的通知》（国办发〔2025〕34号）。 若享受以上政策优惠的企业，提供相应声明函或品目清单范围内产品的有效认证证书或相关证明。 4.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 备注：开标评标结束后，中标人须无偿向采购人提供盖章齐全的纸质版投标文件两套（正本1套、副本1套），纸质版投标文件内容须与电子投标文件保持一致。纸质版投标文件递交地址：都市之门C座9层招标二部，收件人：薛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2、提供《西安市政府采购供应商基本资格条件承诺函》。</w:t>
            </w:r>
          </w:p>
        </w:tc>
        <w:tc>
          <w:tcPr>
            <w:tcW w:type="dxa" w:w="1661"/>
          </w:tcPr>
          <w:p>
            <w:pPr>
              <w:pStyle w:val="null3"/>
            </w:pPr>
            <w:r>
              <w:rPr>
                <w:rFonts w:ascii="仿宋_GB2312" w:hAnsi="仿宋_GB2312" w:cs="仿宋_GB2312" w:eastAsia="仿宋_GB2312"/>
              </w:rPr>
              <w:t>投标函 投标格式.docx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投标格式.docx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项目负责人须具备一级注册造价工程师执业资格（并在本单位注册）；</w:t>
            </w:r>
          </w:p>
        </w:tc>
        <w:tc>
          <w:tcPr>
            <w:tcW w:type="dxa" w:w="1661"/>
          </w:tcPr>
          <w:p>
            <w:pPr>
              <w:pStyle w:val="null3"/>
            </w:pPr>
            <w:r>
              <w:rPr>
                <w:rFonts w:ascii="仿宋_GB2312" w:hAnsi="仿宋_GB2312" w:cs="仿宋_GB2312" w:eastAsia="仿宋_GB2312"/>
              </w:rPr>
              <w:t>投标格式.docx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其中法定代表人直接参加投标的，须出具法人身份证，并与营业执照上信息一致。法定代表人授权代表参加投标的，须出具法定代表人授权书及授权代表身份证、授权代表本单位证明（提供授权代表在本单位养老保险缴纳证明），被授权人须与开标时签到表的授权人保持一致。</w:t>
            </w:r>
          </w:p>
        </w:tc>
        <w:tc>
          <w:tcPr>
            <w:tcW w:type="dxa" w:w="1661"/>
          </w:tcPr>
          <w:p>
            <w:pPr>
              <w:pStyle w:val="null3"/>
            </w:pPr>
            <w:r>
              <w:rPr>
                <w:rFonts w:ascii="仿宋_GB2312" w:hAnsi="仿宋_GB2312" w:cs="仿宋_GB2312" w:eastAsia="仿宋_GB2312"/>
              </w:rPr>
              <w:t>投标格式.docx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提供《西安市政府采购供应商基本资格条件承诺函》</w:t>
            </w:r>
          </w:p>
        </w:tc>
        <w:tc>
          <w:tcPr>
            <w:tcW w:type="dxa" w:w="1661"/>
          </w:tcPr>
          <w:p>
            <w:pPr>
              <w:pStyle w:val="null3"/>
            </w:pPr>
            <w:r>
              <w:rPr>
                <w:rFonts w:ascii="仿宋_GB2312" w:hAnsi="仿宋_GB2312" w:cs="仿宋_GB2312" w:eastAsia="仿宋_GB2312"/>
              </w:rPr>
              <w:t>投标格式.docx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投标</w:t>
            </w:r>
          </w:p>
        </w:tc>
        <w:tc>
          <w:tcPr>
            <w:tcW w:type="dxa" w:w="1661"/>
          </w:tcPr>
          <w:p>
            <w:pPr>
              <w:pStyle w:val="null3"/>
            </w:pPr>
            <w:r>
              <w:rPr>
                <w:rFonts w:ascii="仿宋_GB2312" w:hAnsi="仿宋_GB2312" w:cs="仿宋_GB2312" w:eastAsia="仿宋_GB2312"/>
              </w:rPr>
              <w:t>投标格式.docx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服务内容及服务邀请应答表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服务内容及服务邀请应答表 投标函 服务方案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要求实质性条款全部响应，不能有招标人不能接受的附加条件。</w:t>
            </w:r>
          </w:p>
        </w:tc>
        <w:tc>
          <w:tcPr>
            <w:tcW w:type="dxa" w:w="1661"/>
          </w:tcPr>
          <w:p>
            <w:pPr>
              <w:pStyle w:val="null3"/>
            </w:pPr>
            <w:r>
              <w:rPr>
                <w:rFonts w:ascii="仿宋_GB2312" w:hAnsi="仿宋_GB2312" w:cs="仿宋_GB2312" w:eastAsia="仿宋_GB2312"/>
              </w:rPr>
              <w:t>服务内容及服务邀请应答表 服务方案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投标函 服务方案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完全理解并响应招标文件合同条款的要求，且未含有招标人不能接受的附加条件的。</w:t>
            </w:r>
          </w:p>
        </w:tc>
        <w:tc>
          <w:tcPr>
            <w:tcW w:type="dxa" w:w="1661"/>
          </w:tcPr>
          <w:p>
            <w:pPr>
              <w:pStyle w:val="null3"/>
            </w:pPr>
            <w:r>
              <w:rPr>
                <w:rFonts w:ascii="仿宋_GB2312" w:hAnsi="仿宋_GB2312" w:cs="仿宋_GB2312" w:eastAsia="仿宋_GB2312"/>
              </w:rPr>
              <w:t>服务内容及服务邀请应答表 商务应答表 服务方案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不存在法律、法规和招标文件规定的其他无效投标情形。</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结合各结算审核工作实际情况，分别提供完整的工作大纲、有明确的工作目标、工作范围，合理可行的工作流程，详细的实施方案。(包括但不限于①审核工作目标；②工作范围；③审核内容：关于工程建设过程合规审查、资金使用与财务核算审查等；④工作进度安排；⑤应急响应；⑥保密措施；⑦合理化建议)进行综合评审。 前述要求的方案内容均有描述且符合本项目要求的得28分；每缺少一项要求的方案内容扣4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根据投标人提供详细的质量控制方案(包括但不限于①质量控制标准；②质量控制措施；③质量控制流程)进行综合评审。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成果提交</w:t>
            </w:r>
          </w:p>
        </w:tc>
        <w:tc>
          <w:tcPr>
            <w:tcW w:type="dxa" w:w="2492"/>
          </w:tcPr>
          <w:p>
            <w:pPr>
              <w:pStyle w:val="null3"/>
            </w:pPr>
            <w:r>
              <w:rPr>
                <w:rFonts w:ascii="仿宋_GB2312" w:hAnsi="仿宋_GB2312" w:cs="仿宋_GB2312" w:eastAsia="仿宋_GB2312"/>
              </w:rPr>
              <w:t>根据投标人提供详细的成果提交措施(包括但不限于①制定提交计划；②明确提交成果)进行综合评审。 前述要求的方案内容均有描述且符合本项目要求的得6分；每缺少一项要求的方案内容扣3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w:t>
            </w:r>
          </w:p>
        </w:tc>
        <w:tc>
          <w:tcPr>
            <w:tcW w:type="dxa" w:w="2492"/>
          </w:tcPr>
          <w:p>
            <w:pPr>
              <w:pStyle w:val="null3"/>
            </w:pPr>
            <w:r>
              <w:rPr>
                <w:rFonts w:ascii="仿宋_GB2312" w:hAnsi="仿宋_GB2312" w:cs="仿宋_GB2312" w:eastAsia="仿宋_GB2312"/>
              </w:rPr>
              <w:t>根据投标人提供的风险防控方案(包括但不限于①风险识别；②风险评估；③风险防范措施)进行综合评审。 前述要求的方案内容均有描述且符合本项目要求的得6分；每缺少一项要求的方案内容扣2分，扣完为止；每有一项要求的方案内容有一处错误的(错误是指：对同一问题前后表述矛盾的，或逻辑错误的)，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结算审核相关业务认识</w:t>
            </w:r>
          </w:p>
        </w:tc>
        <w:tc>
          <w:tcPr>
            <w:tcW w:type="dxa" w:w="2492"/>
          </w:tcPr>
          <w:p>
            <w:pPr>
              <w:pStyle w:val="null3"/>
            </w:pPr>
            <w:r>
              <w:rPr>
                <w:rFonts w:ascii="仿宋_GB2312" w:hAnsi="仿宋_GB2312" w:cs="仿宋_GB2312" w:eastAsia="仿宋_GB2312"/>
              </w:rPr>
              <w:t>根据投标人提供的针对结算审核业务政策解读、要求工作业务流程符合国家相关标准、规范，并提供详细说明。(包括但不限于①相关法律法规；②工作重点；③计价规则依据的解读)进行综合评审。 前述要求的方案内容均有描述且符合本项目要求的得6分；每缺少一项要求的方案内容扣2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根据投标人提供的增值服务(包括但不限于①售后服务响应时间；②增值服务承诺；③增值服务承诺落实措施)进行综合评审。 前述要求的内容均有描述且符合本项目要求的得3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考核、调研 管理情况</w:t>
            </w:r>
          </w:p>
        </w:tc>
        <w:tc>
          <w:tcPr>
            <w:tcW w:type="dxa" w:w="2492"/>
          </w:tcPr>
          <w:p>
            <w:pPr>
              <w:pStyle w:val="null3"/>
            </w:pPr>
            <w:r>
              <w:rPr>
                <w:rFonts w:ascii="仿宋_GB2312" w:hAnsi="仿宋_GB2312" w:cs="仿宋_GB2312" w:eastAsia="仿宋_GB2312"/>
              </w:rPr>
              <w:t>根据投标人提供的监督情况(包括但不限于①承诺接受招标人对服务的考核、监督及管理；②定期调研招标人对服务质量的满意度并加以改进，确保服务工作的优质高效)进行综合评审。 前述要求的内容均有描述且符合本项目要求的得2分；每缺少一项要求的方案内容扣1分，扣完为止；每有一项要求的方案内容有一处错误的(错误是指：对同一问题前后表述矛盾的，或逻辑错误的，或缺少关键节点，或涉及的规范及标准错误，或表述内容不完整，或不利于项目实施、不可能实现的情形等任意一种情形)，一处扣0.5分，扣完为止；每有一项要求的方案内容有一处描述不切合项目实际的，一处扣1分，扣完为止。不提供方案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1.拟派往本项目其他人员，每具有1名高级及以上职称得3分，每具有1名中级职称得1分，满分6分。 2.拟派往本项目其他人员:具有注册一级注册造价工程师执业资格的人数不少于6人，在此基础上每增加1名具有一级注册造价工程师执业资格的人员加1分，每增加1名具有二级注册造价工程师执业资格的人员加 0.5分，最多加5分，满分10分。同一人提供多个证书的可重复计分。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1.工作年限（2分）：满10年的得2分，满5年的得1分，不满5年的不得分。注：以项目负责人毕业证书时间为准。 2.职称（3分）：具有工程类相关专业高级及以上职称得3分，中级职称得1分。 3.业绩（6分）：项目负责人具有担任2023年1月1日至今（以合同签订时间为准）类似项目的业绩，每提供一份得3分，本项最高得6分。 注：①项目负责人身份证、毕业证、职称证及注册证扫描件。未提供或不全、或证书不在有效期的不计分。②项目负责人业绩证明材料以完整的项目合同扫描件为准，且合同中能显示项目负责人姓名或体现负责人姓名的成果文件。③未提供或未显示的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企业类似业绩</w:t>
            </w:r>
          </w:p>
        </w:tc>
        <w:tc>
          <w:tcPr>
            <w:tcW w:type="dxa" w:w="2492"/>
          </w:tcPr>
          <w:p>
            <w:pPr>
              <w:pStyle w:val="null3"/>
            </w:pPr>
            <w:r>
              <w:rPr>
                <w:rFonts w:ascii="仿宋_GB2312" w:hAnsi="仿宋_GB2312" w:cs="仿宋_GB2312" w:eastAsia="仿宋_GB2312"/>
              </w:rPr>
              <w:t>投标人近三年（2023年1月1日至投标文件递交截止时间）完成的类似项目造价业绩（至少包括估算、概算、预算、结算中的任一项），（时间以合同签订时间为准），有1项得2分，最高得6分。 备注：业绩以合同的复印件并加盖投标人公章为计分依据，企业业绩与项目负责人业绩可重复。</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详见附件：投标格式.docx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