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F6F0CE">
      <w:pPr>
        <w:spacing w:line="580" w:lineRule="exact"/>
        <w:jc w:val="center"/>
        <w:rPr>
          <w:rFonts w:asciiTheme="majorEastAsia" w:hAnsiTheme="majorEastAsia" w:eastAsiaTheme="majorEastAsia"/>
          <w:b/>
          <w:bCs/>
          <w:color w:val="auto"/>
          <w:sz w:val="44"/>
          <w:szCs w:val="44"/>
          <w:highlight w:val="none"/>
        </w:rPr>
      </w:pPr>
    </w:p>
    <w:p w14:paraId="7F65E17C">
      <w:pPr>
        <w:pStyle w:val="5"/>
        <w:spacing w:line="560" w:lineRule="exact"/>
        <w:jc w:val="center"/>
        <w:rPr>
          <w:rFonts w:hint="eastAsia"/>
          <w:b/>
          <w:bCs/>
          <w:color w:val="auto"/>
          <w:sz w:val="44"/>
          <w:szCs w:val="44"/>
          <w:highlight w:val="none"/>
        </w:rPr>
      </w:pPr>
      <w:r>
        <w:rPr>
          <w:rFonts w:hint="eastAsia"/>
          <w:b/>
          <w:bCs/>
          <w:color w:val="auto"/>
          <w:sz w:val="44"/>
          <w:szCs w:val="44"/>
          <w:highlight w:val="none"/>
        </w:rPr>
        <w:t>陕西省野生鸟类疫源疫病主动预警与早期预警体系构建与实践项目</w:t>
      </w:r>
    </w:p>
    <w:p w14:paraId="617AADAA">
      <w:pPr>
        <w:pStyle w:val="5"/>
        <w:spacing w:line="560" w:lineRule="exact"/>
        <w:jc w:val="center"/>
        <w:rPr>
          <w:b/>
          <w:bCs/>
          <w:color w:val="auto"/>
          <w:sz w:val="44"/>
          <w:szCs w:val="44"/>
          <w:highlight w:val="none"/>
        </w:rPr>
      </w:pPr>
      <w:r>
        <w:rPr>
          <w:rFonts w:hint="eastAsia"/>
          <w:b/>
          <w:bCs/>
          <w:color w:val="auto"/>
          <w:sz w:val="44"/>
          <w:szCs w:val="44"/>
          <w:highlight w:val="none"/>
          <w:lang w:eastAsia="zh-CN"/>
        </w:rPr>
        <w:t>业务委托</w:t>
      </w:r>
      <w:r>
        <w:rPr>
          <w:rFonts w:hint="eastAsia"/>
          <w:b/>
          <w:bCs/>
          <w:color w:val="auto"/>
          <w:sz w:val="44"/>
          <w:szCs w:val="44"/>
          <w:highlight w:val="none"/>
        </w:rPr>
        <w:t>合同</w:t>
      </w:r>
    </w:p>
    <w:p w14:paraId="084E3D92">
      <w:pPr>
        <w:keepNext w:val="0"/>
        <w:keepLines w:val="0"/>
        <w:pageBreakBefore w:val="0"/>
        <w:wordWrap/>
        <w:topLinePunct w:val="0"/>
        <w:bidi w:val="0"/>
        <w:snapToGrid/>
        <w:spacing w:line="572" w:lineRule="exact"/>
        <w:textAlignment w:val="auto"/>
        <w:rPr>
          <w:rFonts w:ascii="黑体" w:hAnsi="黑体" w:eastAsia="黑体"/>
          <w:color w:val="auto"/>
          <w:sz w:val="32"/>
          <w:szCs w:val="32"/>
          <w:highlight w:val="none"/>
        </w:rPr>
      </w:pPr>
    </w:p>
    <w:p w14:paraId="154DCB45">
      <w:pPr>
        <w:keepNext w:val="0"/>
        <w:keepLines w:val="0"/>
        <w:pageBreakBefore w:val="0"/>
        <w:kinsoku w:val="0"/>
        <w:wordWrap/>
        <w:overflowPunct w:val="0"/>
        <w:topLinePunct w:val="0"/>
        <w:autoSpaceDE w:val="0"/>
        <w:autoSpaceDN w:val="0"/>
        <w:bidi w:val="0"/>
        <w:adjustRightInd w:val="0"/>
        <w:snapToGrid/>
        <w:spacing w:line="572" w:lineRule="exact"/>
        <w:ind w:firstLine="640" w:firstLineChars="200"/>
        <w:textAlignment w:val="auto"/>
        <w:rPr>
          <w:rFonts w:ascii="仿宋" w:hAnsi="仿宋" w:eastAsia="仿宋"/>
          <w:color w:val="auto"/>
          <w:sz w:val="32"/>
          <w:szCs w:val="32"/>
          <w:highlight w:val="none"/>
        </w:rPr>
      </w:pPr>
      <w:r>
        <w:rPr>
          <w:rFonts w:hint="eastAsia" w:ascii="黑体" w:hAnsi="黑体" w:eastAsia="黑体"/>
          <w:color w:val="auto"/>
          <w:sz w:val="32"/>
          <w:szCs w:val="32"/>
          <w:highlight w:val="none"/>
        </w:rPr>
        <w:t>甲方</w:t>
      </w:r>
      <w:r>
        <w:rPr>
          <w:rFonts w:hint="eastAsia" w:ascii="仿宋" w:hAnsi="仿宋" w:eastAsia="仿宋"/>
          <w:color w:val="auto"/>
          <w:sz w:val="32"/>
          <w:szCs w:val="32"/>
          <w:highlight w:val="none"/>
        </w:rPr>
        <w:t>：陕西省自然保护区与野生动植物管理站</w:t>
      </w:r>
    </w:p>
    <w:p w14:paraId="495FAFE5">
      <w:pPr>
        <w:keepNext w:val="0"/>
        <w:keepLines w:val="0"/>
        <w:pageBreakBefore w:val="0"/>
        <w:kinsoku w:val="0"/>
        <w:wordWrap/>
        <w:overflowPunct w:val="0"/>
        <w:topLinePunct w:val="0"/>
        <w:autoSpaceDE w:val="0"/>
        <w:autoSpaceDN w:val="0"/>
        <w:bidi w:val="0"/>
        <w:adjustRightInd w:val="0"/>
        <w:snapToGrid/>
        <w:spacing w:line="572" w:lineRule="exact"/>
        <w:ind w:firstLine="640" w:firstLineChars="200"/>
        <w:textAlignment w:val="auto"/>
        <w:outlineLvl w:val="0"/>
        <w:rPr>
          <w:rFonts w:hint="eastAsia" w:ascii="仿宋" w:hAnsi="仿宋" w:eastAsia="仿宋"/>
          <w:color w:val="auto"/>
          <w:sz w:val="32"/>
          <w:szCs w:val="32"/>
          <w:highlight w:val="none"/>
        </w:rPr>
      </w:pPr>
      <w:r>
        <w:rPr>
          <w:rFonts w:hint="eastAsia" w:ascii="黑体" w:hAnsi="黑体" w:eastAsia="黑体"/>
          <w:color w:val="auto"/>
          <w:sz w:val="32"/>
          <w:szCs w:val="32"/>
          <w:highlight w:val="none"/>
        </w:rPr>
        <w:t>乙方</w:t>
      </w:r>
      <w:r>
        <w:rPr>
          <w:rFonts w:hint="eastAsia" w:ascii="仿宋" w:hAnsi="仿宋" w:eastAsia="仿宋"/>
          <w:color w:val="auto"/>
          <w:sz w:val="32"/>
          <w:szCs w:val="32"/>
          <w:highlight w:val="none"/>
        </w:rPr>
        <w:t>：</w:t>
      </w:r>
    </w:p>
    <w:p w14:paraId="446E4480">
      <w:pPr>
        <w:pStyle w:val="2"/>
        <w:rPr>
          <w:color w:val="auto"/>
          <w:highlight w:val="none"/>
        </w:rPr>
      </w:pPr>
    </w:p>
    <w:p w14:paraId="5888FEBD">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640" w:firstLineChars="200"/>
        <w:jc w:val="both"/>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根据《中华人民共和国政府采购法》《中华人民共和国</w:t>
      </w:r>
      <w:r>
        <w:rPr>
          <w:rFonts w:hint="eastAsia" w:ascii="仿宋" w:hAnsi="仿宋" w:eastAsia="仿宋" w:cs="仿宋"/>
          <w:color w:val="auto"/>
          <w:sz w:val="32"/>
          <w:szCs w:val="32"/>
          <w:highlight w:val="none"/>
          <w:lang w:val="en-US" w:eastAsia="zh-CN"/>
        </w:rPr>
        <w:t>民法典</w:t>
      </w:r>
      <w:r>
        <w:rPr>
          <w:rFonts w:hint="eastAsia" w:ascii="仿宋" w:hAnsi="仿宋" w:eastAsia="仿宋" w:cs="仿宋"/>
          <w:color w:val="auto"/>
          <w:sz w:val="32"/>
          <w:szCs w:val="32"/>
          <w:highlight w:val="none"/>
        </w:rPr>
        <w:t>》的相关规定，依据中标（成交）</w:t>
      </w:r>
      <w:r>
        <w:rPr>
          <w:rFonts w:hint="eastAsia" w:ascii="仿宋" w:hAnsi="仿宋" w:eastAsia="仿宋" w:cs="仿宋"/>
          <w:color w:val="auto"/>
          <w:spacing w:val="-16"/>
          <w:sz w:val="32"/>
          <w:szCs w:val="32"/>
          <w:highlight w:val="none"/>
        </w:rPr>
        <w:t>通知书</w:t>
      </w:r>
      <w:r>
        <w:rPr>
          <w:rFonts w:hint="eastAsia" w:ascii="仿宋" w:hAnsi="仿宋" w:eastAsia="仿宋" w:cs="仿宋"/>
          <w:color w:val="auto"/>
          <w:spacing w:val="-15"/>
          <w:sz w:val="32"/>
          <w:szCs w:val="32"/>
          <w:highlight w:val="none"/>
        </w:rPr>
        <w:t>(项目编号：XHZB-26-047</w:t>
      </w:r>
      <w:r>
        <w:rPr>
          <w:rFonts w:hint="eastAsia" w:ascii="仿宋" w:hAnsi="仿宋" w:eastAsia="仿宋" w:cs="仿宋"/>
          <w:color w:val="auto"/>
          <w:sz w:val="32"/>
          <w:szCs w:val="32"/>
          <w:highlight w:val="none"/>
        </w:rPr>
        <w:t>）</w:t>
      </w:r>
      <w:r>
        <w:rPr>
          <w:rFonts w:hint="eastAsia" w:ascii="仿宋" w:hAnsi="仿宋" w:eastAsia="仿宋" w:cs="仿宋"/>
          <w:color w:val="auto"/>
          <w:spacing w:val="-15"/>
          <w:sz w:val="32"/>
          <w:szCs w:val="32"/>
          <w:highlight w:val="none"/>
        </w:rPr>
        <w:t>)有关要求，甲方委托乙方承担“陕西省野生鸟类疫源疫病主动预警与早期预警体系构建与实践”项目，</w:t>
      </w:r>
      <w:r>
        <w:rPr>
          <w:rFonts w:hint="eastAsia" w:ascii="仿宋" w:hAnsi="仿宋" w:eastAsia="仿宋" w:cs="仿宋"/>
          <w:color w:val="auto"/>
          <w:sz w:val="32"/>
          <w:szCs w:val="32"/>
          <w:highlight w:val="none"/>
        </w:rPr>
        <w:t>双方就有关权利义务签订本合同。</w:t>
      </w:r>
    </w:p>
    <w:p w14:paraId="1033D2AD">
      <w:pPr>
        <w:pStyle w:val="16"/>
        <w:keepNext w:val="0"/>
        <w:keepLines w:val="0"/>
        <w:pageBreakBefore w:val="0"/>
        <w:kinsoku w:val="0"/>
        <w:wordWrap/>
        <w:overflowPunct w:val="0"/>
        <w:topLinePunct w:val="0"/>
        <w:autoSpaceDE w:val="0"/>
        <w:autoSpaceDN w:val="0"/>
        <w:bidi w:val="0"/>
        <w:adjustRightInd w:val="0"/>
        <w:snapToGrid/>
        <w:spacing w:after="0" w:line="572" w:lineRule="exact"/>
        <w:textAlignment w:val="auto"/>
        <w:rPr>
          <w:color w:val="auto"/>
          <w:highlight w:val="none"/>
        </w:rPr>
      </w:pPr>
      <w:r>
        <w:rPr>
          <w:rFonts w:hint="eastAsia"/>
          <w:color w:val="auto"/>
          <w:highlight w:val="none"/>
        </w:rPr>
        <w:t>一、服务内容及服务期限</w:t>
      </w:r>
    </w:p>
    <w:p w14:paraId="47AE24AF">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bookmarkStart w:id="0" w:name="heading_3"/>
      <w:r>
        <w:rPr>
          <w:rFonts w:hint="eastAsia" w:ascii="仿宋" w:hAnsi="仿宋" w:eastAsia="仿宋" w:cs="仿宋"/>
          <w:color w:val="auto"/>
          <w:kern w:val="0"/>
          <w:highlight w:val="none"/>
          <w:lang w:val="en-US" w:eastAsia="zh-CN"/>
        </w:rPr>
        <w:t>（一）主要服务内容</w:t>
      </w:r>
      <w:bookmarkEnd w:id="0"/>
    </w:p>
    <w:p w14:paraId="2DC08B38">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1.专项调查与野外采样</w:t>
      </w:r>
    </w:p>
    <w:p w14:paraId="2DE7AFB0">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对全省主要鸟类分布区域进行野外调查与无损伤样本采集；开展鸟类种群、健康状况、栖息地环境及风险因素调查，规范填写记录表格并上传数据。</w:t>
      </w:r>
    </w:p>
    <w:p w14:paraId="7A784C47">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2.疫源疫病检测与实验室分析</w:t>
      </w:r>
    </w:p>
    <w:p w14:paraId="05C14B6A">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开展禽流感（H5/H7）、新城疫、沙门氏菌、肺炎克雷伯菌等重点病原检测，建立检测数据库与疫病基线；阳性样本按规定送省级实验室复核，开展耐药性分析与风险评估，形成检测报告。</w:t>
      </w:r>
    </w:p>
    <w:p w14:paraId="1984CB53">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3.数据汇总与预警体系建设</w:t>
      </w:r>
    </w:p>
    <w:p w14:paraId="384AB281">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整合监测、检测、环境、人群活动等数据，建立云端哨所大数据分析平台，形成疫病空间分布图、风险热力图与早期预警模型，实现动态评估与预警发布。</w:t>
      </w:r>
    </w:p>
    <w:p w14:paraId="3E3AF525">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4.成果编制与验收</w:t>
      </w:r>
    </w:p>
    <w:p w14:paraId="1FA2818F">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按要求完成数据整理、统计分析、图件制作，提交项目实施方案、监测报告、检测报告、预警体系建设报告、工作总结等全套成果，配合验收与绩效评价。</w:t>
      </w:r>
    </w:p>
    <w:p w14:paraId="13EEED90">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bookmarkStart w:id="1" w:name="heading_4"/>
      <w:r>
        <w:rPr>
          <w:rFonts w:hint="eastAsia" w:ascii="仿宋" w:hAnsi="仿宋" w:eastAsia="仿宋" w:cs="仿宋"/>
          <w:color w:val="auto"/>
          <w:kern w:val="0"/>
          <w:highlight w:val="none"/>
          <w:lang w:val="en-US" w:eastAsia="zh-CN"/>
        </w:rPr>
        <w:t>（二）项目目标与成果要求</w:t>
      </w:r>
      <w:bookmarkEnd w:id="1"/>
    </w:p>
    <w:p w14:paraId="693442B4">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1.构建覆盖全省重点区域的野生鸟类疫源疫病监测预警体系，建立禽流感/新城疫阳性样本24小时内预警响应体系。</w:t>
      </w:r>
    </w:p>
    <w:p w14:paraId="01D54206">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2.完成年度样本检测不少于500份，野外快检设备使用率≥90%，单次检测成本控制在90元以内，早期预警率达90%以上。</w:t>
      </w:r>
    </w:p>
    <w:p w14:paraId="48812325">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3.消除80%偏远地区监测盲区，社区哨点年上报有效信息不少于100条。</w:t>
      </w:r>
    </w:p>
    <w:p w14:paraId="4D982D04">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4.将调查结果汇总，编制《陕西省野生动物疫源疫病主动监测防控与早期预警体系构建与实践》调查报告，并组织专家进行验收。</w:t>
      </w:r>
    </w:p>
    <w:p w14:paraId="60A3D401">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bookmarkStart w:id="2" w:name="heading_6"/>
      <w:r>
        <w:rPr>
          <w:rFonts w:hint="eastAsia" w:ascii="仿宋" w:hAnsi="仿宋" w:eastAsia="仿宋" w:cs="仿宋"/>
          <w:color w:val="auto"/>
          <w:kern w:val="0"/>
          <w:highlight w:val="none"/>
          <w:lang w:val="en-US" w:eastAsia="zh-CN"/>
        </w:rPr>
        <w:t>（三）服务要求</w:t>
      </w:r>
      <w:bookmarkEnd w:id="2"/>
    </w:p>
    <w:p w14:paraId="7332A64D">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1.严格按照国家及陕西省相关技术规范、标准开展工作，确保数据真实、准确、可追溯，实行电子+纸质双记录。</w:t>
      </w:r>
    </w:p>
    <w:p w14:paraId="15075D8D">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2.按时完成野外作业、检测分析、数据上报等全部任务，接受上级单位监督、检查与绩效评价。</w:t>
      </w:r>
    </w:p>
    <w:p w14:paraId="50B2648F">
      <w:pPr>
        <w:pStyle w:val="18"/>
        <w:keepNext w:val="0"/>
        <w:keepLines w:val="0"/>
        <w:pageBreakBefore w:val="0"/>
        <w:wordWrap/>
        <w:topLinePunct w:val="0"/>
        <w:autoSpaceDE/>
        <w:bidi w:val="0"/>
        <w:snapToGrid/>
        <w:spacing w:line="572" w:lineRule="exact"/>
        <w:textAlignment w:val="auto"/>
        <w:rPr>
          <w:rFonts w:hint="eastAsia" w:ascii="仿宋" w:hAnsi="仿宋" w:eastAsia="仿宋" w:cs="仿宋"/>
          <w:color w:val="auto"/>
          <w:kern w:val="0"/>
          <w:highlight w:val="none"/>
          <w:lang w:eastAsia="zh-CN"/>
        </w:rPr>
      </w:pPr>
      <w:r>
        <w:rPr>
          <w:rFonts w:hint="eastAsia" w:ascii="仿宋" w:hAnsi="仿宋" w:eastAsia="仿宋" w:cs="仿宋"/>
          <w:color w:val="auto"/>
          <w:kern w:val="0"/>
          <w:highlight w:val="none"/>
          <w:lang w:val="en-US" w:eastAsia="zh-CN"/>
        </w:rPr>
        <w:t>3.严格遵守资金管理规定，专账核算、专款专用，规范支出，确保财政资金使用安全合规。</w:t>
      </w:r>
    </w:p>
    <w:p w14:paraId="49510739">
      <w:pPr>
        <w:pStyle w:val="18"/>
        <w:keepNext w:val="0"/>
        <w:keepLines w:val="0"/>
        <w:pageBreakBefore w:val="0"/>
        <w:wordWrap/>
        <w:topLinePunct w:val="0"/>
        <w:autoSpaceDE/>
        <w:bidi w:val="0"/>
        <w:snapToGrid/>
        <w:spacing w:line="572" w:lineRule="exact"/>
        <w:textAlignment w:val="auto"/>
        <w:rPr>
          <w:rFonts w:ascii="仿宋" w:hAnsi="仿宋" w:eastAsia="仿宋" w:cs="仿宋"/>
          <w:bCs w:val="0"/>
          <w:color w:val="auto"/>
          <w:highlight w:val="none"/>
        </w:rPr>
      </w:pPr>
      <w:r>
        <w:rPr>
          <w:rFonts w:hint="eastAsia" w:ascii="仿宋" w:hAnsi="仿宋" w:eastAsia="仿宋" w:cs="仿宋"/>
          <w:bCs w:val="0"/>
          <w:color w:val="auto"/>
          <w:highlight w:val="none"/>
        </w:rPr>
        <w:t>（</w:t>
      </w:r>
      <w:r>
        <w:rPr>
          <w:rFonts w:hint="eastAsia" w:ascii="仿宋" w:hAnsi="仿宋" w:eastAsia="仿宋" w:cs="仿宋"/>
          <w:bCs w:val="0"/>
          <w:color w:val="auto"/>
          <w:highlight w:val="none"/>
          <w:lang w:val="en-US" w:eastAsia="zh-CN"/>
        </w:rPr>
        <w:t>四</w:t>
      </w:r>
      <w:r>
        <w:rPr>
          <w:rFonts w:hint="eastAsia" w:ascii="仿宋" w:hAnsi="仿宋" w:eastAsia="仿宋" w:cs="仿宋"/>
          <w:bCs w:val="0"/>
          <w:color w:val="auto"/>
          <w:highlight w:val="none"/>
        </w:rPr>
        <w:t>）服务期限：自合同签订之日起1年。</w:t>
      </w:r>
    </w:p>
    <w:p w14:paraId="37196027">
      <w:pPr>
        <w:pStyle w:val="18"/>
        <w:keepNext w:val="0"/>
        <w:keepLines w:val="0"/>
        <w:pageBreakBefore w:val="0"/>
        <w:kinsoku w:val="0"/>
        <w:wordWrap/>
        <w:overflowPunct w:val="0"/>
        <w:topLinePunct w:val="0"/>
        <w:autoSpaceDN w:val="0"/>
        <w:bidi w:val="0"/>
        <w:adjustRightInd w:val="0"/>
        <w:snapToGrid/>
        <w:spacing w:line="572" w:lineRule="exact"/>
        <w:textAlignment w:val="auto"/>
        <w:rPr>
          <w:b/>
          <w:color w:val="auto"/>
          <w:highlight w:val="none"/>
        </w:rPr>
      </w:pPr>
      <w:r>
        <w:rPr>
          <w:rFonts w:hint="eastAsia"/>
          <w:color w:val="auto"/>
          <w:highlight w:val="none"/>
        </w:rPr>
        <w:t>二、费用和支付方式</w:t>
      </w:r>
    </w:p>
    <w:p w14:paraId="43FEF572">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80" w:firstLineChars="200"/>
        <w:jc w:val="both"/>
        <w:textAlignment w:val="auto"/>
        <w:rPr>
          <w:rFonts w:ascii="仿宋" w:hAnsi="仿宋" w:eastAsia="仿宋" w:cs="仿宋"/>
          <w:color w:val="auto"/>
          <w:spacing w:val="-15"/>
          <w:sz w:val="32"/>
          <w:szCs w:val="32"/>
          <w:highlight w:val="none"/>
        </w:rPr>
      </w:pPr>
      <w:r>
        <w:rPr>
          <w:rFonts w:hint="eastAsia" w:ascii="仿宋" w:hAnsi="仿宋" w:eastAsia="仿宋" w:cs="仿宋"/>
          <w:color w:val="auto"/>
          <w:spacing w:val="-15"/>
          <w:sz w:val="32"/>
          <w:szCs w:val="32"/>
          <w:highlight w:val="none"/>
        </w:rPr>
        <w:t>1、费用：</w:t>
      </w:r>
      <w:r>
        <w:rPr>
          <w:rFonts w:hint="eastAsia" w:ascii="仿宋" w:hAnsi="仿宋" w:eastAsia="仿宋" w:cs="仿宋"/>
          <w:color w:val="auto"/>
          <w:kern w:val="0"/>
          <w:sz w:val="32"/>
          <w:szCs w:val="32"/>
          <w:highlight w:val="none"/>
        </w:rPr>
        <w:t>本服务合同总价为</w:t>
      </w:r>
      <w:r>
        <w:rPr>
          <w:rFonts w:hint="eastAsia" w:ascii="仿宋" w:hAnsi="仿宋" w:eastAsia="仿宋" w:cs="仿宋"/>
          <w:color w:val="auto"/>
          <w:kern w:val="0"/>
          <w:sz w:val="32"/>
          <w:szCs w:val="32"/>
          <w:highlight w:val="none"/>
          <w:u w:val="single"/>
          <w:lang w:val="en-US" w:eastAsia="zh-CN"/>
        </w:rPr>
        <w:t xml:space="preserve">        </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u w:val="single"/>
          <w:lang w:val="en-US" w:eastAsia="zh-CN"/>
        </w:rPr>
        <w:t xml:space="preserve">       </w:t>
      </w:r>
      <w:r>
        <w:rPr>
          <w:rFonts w:hint="eastAsia" w:ascii="仿宋" w:hAnsi="仿宋" w:eastAsia="仿宋" w:cs="仿宋"/>
          <w:color w:val="auto"/>
          <w:kern w:val="0"/>
          <w:sz w:val="32"/>
          <w:szCs w:val="32"/>
          <w:highlight w:val="none"/>
        </w:rPr>
        <w:t>元）</w:t>
      </w:r>
      <w:r>
        <w:rPr>
          <w:rFonts w:hint="eastAsia" w:ascii="仿宋" w:hAnsi="仿宋" w:eastAsia="仿宋" w:cs="仿宋"/>
          <w:color w:val="auto"/>
          <w:spacing w:val="-15"/>
          <w:sz w:val="32"/>
          <w:szCs w:val="32"/>
          <w:highlight w:val="none"/>
        </w:rPr>
        <w:t>。</w:t>
      </w:r>
    </w:p>
    <w:p w14:paraId="4CB569B4">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80" w:firstLineChars="200"/>
        <w:jc w:val="both"/>
        <w:textAlignment w:val="auto"/>
        <w:rPr>
          <w:rFonts w:ascii="仿宋" w:hAnsi="仿宋" w:eastAsia="仿宋" w:cs="仿宋"/>
          <w:color w:val="auto"/>
          <w:sz w:val="32"/>
          <w:szCs w:val="32"/>
          <w:highlight w:val="none"/>
        </w:rPr>
      </w:pPr>
      <w:r>
        <w:rPr>
          <w:rFonts w:hint="eastAsia" w:ascii="仿宋" w:hAnsi="仿宋" w:eastAsia="仿宋" w:cs="仿宋"/>
          <w:color w:val="auto"/>
          <w:spacing w:val="-15"/>
          <w:sz w:val="32"/>
          <w:szCs w:val="32"/>
          <w:highlight w:val="none"/>
        </w:rPr>
        <w:t>2、合同总价包含：</w:t>
      </w:r>
      <w:r>
        <w:rPr>
          <w:rFonts w:hint="eastAsia" w:ascii="仿宋" w:hAnsi="仿宋" w:eastAsia="仿宋" w:cs="仿宋"/>
          <w:color w:val="auto"/>
          <w:spacing w:val="-15"/>
          <w:sz w:val="32"/>
          <w:szCs w:val="32"/>
          <w:highlight w:val="none"/>
          <w:lang w:val="en-US" w:eastAsia="zh-CN"/>
        </w:rPr>
        <w:t>野外</w:t>
      </w:r>
      <w:r>
        <w:rPr>
          <w:rFonts w:hint="eastAsia" w:ascii="仿宋" w:hAnsi="仿宋" w:eastAsia="仿宋" w:cs="仿宋"/>
          <w:color w:val="auto"/>
          <w:spacing w:val="-15"/>
          <w:sz w:val="32"/>
          <w:szCs w:val="32"/>
          <w:highlight w:val="none"/>
        </w:rPr>
        <w:t>调查、</w:t>
      </w:r>
      <w:r>
        <w:rPr>
          <w:rFonts w:hint="eastAsia" w:ascii="仿宋" w:hAnsi="仿宋" w:eastAsia="仿宋" w:cs="仿宋"/>
          <w:color w:val="auto"/>
          <w:spacing w:val="-15"/>
          <w:sz w:val="32"/>
          <w:szCs w:val="32"/>
          <w:highlight w:val="none"/>
          <w:lang w:val="en-US" w:eastAsia="zh-CN"/>
        </w:rPr>
        <w:t>样本采集、预警体系建设</w:t>
      </w:r>
      <w:r>
        <w:rPr>
          <w:rFonts w:hint="eastAsia" w:ascii="仿宋" w:hAnsi="仿宋" w:eastAsia="仿宋" w:cs="仿宋"/>
          <w:color w:val="auto"/>
          <w:spacing w:val="-15"/>
          <w:sz w:val="32"/>
          <w:szCs w:val="32"/>
          <w:highlight w:val="none"/>
        </w:rPr>
        <w:t>、人员保险、专家咨询、技术培训、资料整理</w:t>
      </w:r>
      <w:r>
        <w:rPr>
          <w:rFonts w:hint="eastAsia" w:ascii="仿宋" w:hAnsi="仿宋" w:eastAsia="仿宋" w:cs="仿宋"/>
          <w:color w:val="auto"/>
          <w:spacing w:val="-15"/>
          <w:sz w:val="32"/>
          <w:szCs w:val="32"/>
          <w:highlight w:val="none"/>
          <w:lang w:eastAsia="zh-CN"/>
        </w:rPr>
        <w:t>、</w:t>
      </w:r>
      <w:r>
        <w:rPr>
          <w:rFonts w:hint="eastAsia" w:ascii="仿宋" w:hAnsi="仿宋" w:eastAsia="仿宋" w:cs="仿宋"/>
          <w:color w:val="auto"/>
          <w:spacing w:val="-15"/>
          <w:sz w:val="32"/>
          <w:szCs w:val="32"/>
          <w:highlight w:val="none"/>
        </w:rPr>
        <w:t>印刷</w:t>
      </w:r>
      <w:r>
        <w:rPr>
          <w:rFonts w:hint="eastAsia" w:ascii="仿宋" w:hAnsi="仿宋" w:eastAsia="仿宋" w:cs="仿宋"/>
          <w:color w:val="auto"/>
          <w:spacing w:val="-22"/>
          <w:sz w:val="32"/>
          <w:szCs w:val="32"/>
          <w:highlight w:val="none"/>
        </w:rPr>
        <w:t>费用</w:t>
      </w:r>
      <w:r>
        <w:rPr>
          <w:rFonts w:hint="eastAsia" w:ascii="仿宋" w:hAnsi="仿宋" w:eastAsia="仿宋" w:cs="仿宋"/>
          <w:color w:val="auto"/>
          <w:spacing w:val="-22"/>
          <w:sz w:val="32"/>
          <w:szCs w:val="32"/>
          <w:highlight w:val="none"/>
          <w:lang w:val="en-US" w:eastAsia="zh-CN"/>
        </w:rPr>
        <w:t>及税金</w:t>
      </w:r>
      <w:r>
        <w:rPr>
          <w:rFonts w:hint="eastAsia" w:ascii="仿宋" w:hAnsi="仿宋" w:eastAsia="仿宋" w:cs="仿宋"/>
          <w:color w:val="auto"/>
          <w:spacing w:val="-22"/>
          <w:sz w:val="32"/>
          <w:szCs w:val="32"/>
          <w:highlight w:val="none"/>
        </w:rPr>
        <w:t>等。合同总</w:t>
      </w:r>
      <w:r>
        <w:rPr>
          <w:rFonts w:hint="eastAsia" w:ascii="仿宋" w:hAnsi="仿宋" w:eastAsia="仿宋" w:cs="仿宋"/>
          <w:color w:val="auto"/>
          <w:spacing w:val="-21"/>
          <w:sz w:val="32"/>
          <w:szCs w:val="32"/>
          <w:highlight w:val="none"/>
        </w:rPr>
        <w:t>价</w:t>
      </w:r>
      <w:r>
        <w:rPr>
          <w:rFonts w:hint="eastAsia" w:ascii="仿宋" w:hAnsi="仿宋" w:eastAsia="仿宋" w:cs="仿宋"/>
          <w:color w:val="auto"/>
          <w:spacing w:val="-16"/>
          <w:sz w:val="32"/>
          <w:szCs w:val="32"/>
          <w:highlight w:val="none"/>
        </w:rPr>
        <w:t>一次性</w:t>
      </w:r>
      <w:r>
        <w:rPr>
          <w:rFonts w:hint="eastAsia" w:ascii="仿宋" w:hAnsi="仿宋" w:eastAsia="仿宋" w:cs="仿宋"/>
          <w:color w:val="auto"/>
          <w:spacing w:val="-21"/>
          <w:sz w:val="32"/>
          <w:szCs w:val="32"/>
          <w:highlight w:val="none"/>
        </w:rPr>
        <w:t>包干，不受市场价格变化因素的影响。</w:t>
      </w:r>
    </w:p>
    <w:p w14:paraId="74D34B3B">
      <w:pPr>
        <w:keepNext w:val="0"/>
        <w:keepLines w:val="0"/>
        <w:pageBreakBefore w:val="0"/>
        <w:wordWrap/>
        <w:topLinePunct w:val="0"/>
        <w:bidi w:val="0"/>
        <w:snapToGrid/>
        <w:spacing w:line="572" w:lineRule="exact"/>
        <w:ind w:firstLine="640" w:firstLineChars="200"/>
        <w:jc w:val="left"/>
        <w:textAlignment w:val="auto"/>
        <w:rPr>
          <w:rFonts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3、支付时间及支付方式：</w:t>
      </w:r>
    </w:p>
    <w:p w14:paraId="55A5D70A">
      <w:pPr>
        <w:keepNext w:val="0"/>
        <w:keepLines w:val="0"/>
        <w:pageBreakBefore w:val="0"/>
        <w:wordWrap/>
        <w:topLinePunct w:val="0"/>
        <w:bidi w:val="0"/>
        <w:snapToGrid/>
        <w:spacing w:line="572" w:lineRule="exact"/>
        <w:ind w:firstLine="640" w:firstLineChars="200"/>
        <w:jc w:val="left"/>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（1）合同签订后，达到付款条件起15个工作日内，支付合同总金额的70.0%</w:t>
      </w:r>
      <w:r>
        <w:rPr>
          <w:rFonts w:hint="eastAsia" w:ascii="仿宋" w:hAnsi="仿宋" w:eastAsia="仿宋" w:cs="仿宋"/>
          <w:color w:val="auto"/>
          <w:kern w:val="0"/>
          <w:sz w:val="32"/>
          <w:szCs w:val="32"/>
          <w:highlight w:val="none"/>
          <w:lang w:eastAsia="zh-CN"/>
        </w:rPr>
        <w:t>。</w:t>
      </w:r>
    </w:p>
    <w:p w14:paraId="3A56E506">
      <w:pPr>
        <w:keepNext w:val="0"/>
        <w:keepLines w:val="0"/>
        <w:pageBreakBefore w:val="0"/>
        <w:wordWrap/>
        <w:topLinePunct w:val="0"/>
        <w:bidi w:val="0"/>
        <w:snapToGrid/>
        <w:spacing w:line="572" w:lineRule="exact"/>
        <w:ind w:firstLine="640" w:firstLineChars="200"/>
        <w:jc w:val="left"/>
        <w:textAlignment w:val="auto"/>
        <w:rPr>
          <w:rFonts w:ascii="仿宋" w:hAnsi="仿宋" w:eastAsia="仿宋" w:cs="仿宋"/>
          <w:color w:val="auto"/>
          <w:spacing w:val="-15"/>
          <w:sz w:val="32"/>
          <w:szCs w:val="32"/>
          <w:highlight w:val="none"/>
        </w:rPr>
      </w:pPr>
      <w:r>
        <w:rPr>
          <w:rFonts w:hint="eastAsia" w:ascii="仿宋" w:hAnsi="仿宋" w:eastAsia="仿宋" w:cs="仿宋"/>
          <w:color w:val="auto"/>
          <w:kern w:val="0"/>
          <w:sz w:val="32"/>
          <w:szCs w:val="32"/>
          <w:highlight w:val="none"/>
        </w:rPr>
        <w:t>（2）</w:t>
      </w:r>
      <w:r>
        <w:rPr>
          <w:rFonts w:hint="eastAsia" w:ascii="仿宋" w:hAnsi="仿宋" w:eastAsia="仿宋" w:cs="仿宋"/>
          <w:color w:val="auto"/>
          <w:kern w:val="0"/>
          <w:sz w:val="32"/>
          <w:szCs w:val="32"/>
          <w:highlight w:val="none"/>
          <w:lang w:val="en-US" w:eastAsia="zh-CN"/>
        </w:rPr>
        <w:t>任务完成80%后，达到付款条件起15个工作日内，支付合同总金额的30.0%</w:t>
      </w:r>
    </w:p>
    <w:p w14:paraId="4AEBF17C">
      <w:pPr>
        <w:pStyle w:val="18"/>
        <w:keepNext w:val="0"/>
        <w:keepLines w:val="0"/>
        <w:pageBreakBefore w:val="0"/>
        <w:kinsoku w:val="0"/>
        <w:wordWrap/>
        <w:overflowPunct w:val="0"/>
        <w:topLinePunct w:val="0"/>
        <w:autoSpaceDN w:val="0"/>
        <w:bidi w:val="0"/>
        <w:adjustRightInd w:val="0"/>
        <w:snapToGrid/>
        <w:spacing w:line="572" w:lineRule="exact"/>
        <w:textAlignment w:val="auto"/>
        <w:rPr>
          <w:b/>
          <w:color w:val="auto"/>
          <w:highlight w:val="none"/>
        </w:rPr>
      </w:pPr>
      <w:r>
        <w:rPr>
          <w:rFonts w:hint="eastAsia"/>
          <w:color w:val="auto"/>
          <w:highlight w:val="none"/>
        </w:rPr>
        <w:t>三、双方责任及义务</w:t>
      </w:r>
    </w:p>
    <w:p w14:paraId="38FCF618">
      <w:pPr>
        <w:pStyle w:val="18"/>
        <w:keepNext w:val="0"/>
        <w:keepLines w:val="0"/>
        <w:pageBreakBefore w:val="0"/>
        <w:kinsoku w:val="0"/>
        <w:wordWrap/>
        <w:overflowPunct w:val="0"/>
        <w:topLinePunct w:val="0"/>
        <w:autoSpaceDN w:val="0"/>
        <w:bidi w:val="0"/>
        <w:adjustRightInd w:val="0"/>
        <w:snapToGrid/>
        <w:spacing w:line="572" w:lineRule="exact"/>
        <w:textAlignment w:val="auto"/>
        <w:rPr>
          <w:color w:val="auto"/>
          <w:highlight w:val="none"/>
        </w:rPr>
      </w:pPr>
      <w:r>
        <w:rPr>
          <w:rFonts w:hint="eastAsia"/>
          <w:color w:val="auto"/>
          <w:highlight w:val="none"/>
        </w:rPr>
        <w:t>甲方：</w:t>
      </w:r>
    </w:p>
    <w:p w14:paraId="1B466B87">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_GB2312" w:hAnsi="仿宋_GB2312" w:eastAsia="仿宋_GB2312" w:cs="仿宋_GB2312"/>
          <w:color w:val="auto"/>
          <w:spacing w:val="-16"/>
          <w:sz w:val="32"/>
          <w:szCs w:val="32"/>
          <w:highlight w:val="none"/>
        </w:rPr>
      </w:pPr>
      <w:r>
        <w:rPr>
          <w:rFonts w:hint="eastAsia" w:ascii="仿宋_GB2312" w:hAnsi="仿宋_GB2312" w:eastAsia="仿宋_GB2312" w:cs="仿宋_GB2312"/>
          <w:color w:val="auto"/>
          <w:spacing w:val="-16"/>
          <w:sz w:val="32"/>
          <w:szCs w:val="32"/>
          <w:highlight w:val="none"/>
        </w:rPr>
        <w:t>甲方要对项目进度及完成情况进行跟踪检查和监督，有权对乙方提出建议、思路和调查修改意见。</w:t>
      </w:r>
    </w:p>
    <w:p w14:paraId="233C01BE">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甲方应积极做好项目实施期间的协助工作，提供配合人员，帮助联系相关保护区、林场、森林公园等单位，确保项目顺利开展。</w:t>
      </w:r>
    </w:p>
    <w:p w14:paraId="3F1A054F">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甲方在提供给乙方的信息和资料中，对于其中涉及秘密的内容，应事先明确提示乙方工作人员注意保密。</w:t>
      </w:r>
    </w:p>
    <w:p w14:paraId="66E147CB">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hint="default" w:ascii="仿宋" w:hAnsi="仿宋" w:eastAsia="仿宋" w:cs="仿宋"/>
          <w:color w:val="auto"/>
          <w:spacing w:val="-16"/>
          <w:sz w:val="32"/>
          <w:szCs w:val="32"/>
          <w:highlight w:val="none"/>
          <w:lang w:val="en-US" w:eastAsia="zh-CN"/>
        </w:rPr>
      </w:pPr>
      <w:r>
        <w:rPr>
          <w:rFonts w:hint="eastAsia" w:ascii="仿宋" w:hAnsi="仿宋" w:eastAsia="仿宋" w:cs="仿宋"/>
          <w:color w:val="auto"/>
          <w:spacing w:val="-16"/>
          <w:sz w:val="32"/>
          <w:szCs w:val="32"/>
          <w:highlight w:val="none"/>
        </w:rPr>
        <w:t>甲方项目负责人为：</w:t>
      </w:r>
      <w:r>
        <w:rPr>
          <w:rFonts w:hint="eastAsia" w:ascii="仿宋" w:hAnsi="仿宋" w:eastAsia="仿宋" w:cs="仿宋"/>
          <w:color w:val="auto"/>
          <w:spacing w:val="-16"/>
          <w:sz w:val="32"/>
          <w:szCs w:val="32"/>
          <w:highlight w:val="none"/>
          <w:u w:val="single"/>
          <w:lang w:val="en-US" w:eastAsia="zh-CN"/>
        </w:rPr>
        <w:t xml:space="preserve">        </w:t>
      </w:r>
      <w:r>
        <w:rPr>
          <w:rFonts w:hint="eastAsia" w:ascii="仿宋" w:hAnsi="仿宋" w:eastAsia="仿宋" w:cs="仿宋"/>
          <w:color w:val="auto"/>
          <w:spacing w:val="-16"/>
          <w:sz w:val="32"/>
          <w:szCs w:val="32"/>
          <w:highlight w:val="none"/>
          <w:lang w:eastAsia="zh-CN"/>
        </w:rPr>
        <w:t>，联系电话：</w:t>
      </w:r>
      <w:r>
        <w:rPr>
          <w:rFonts w:hint="eastAsia" w:ascii="仿宋" w:hAnsi="仿宋" w:eastAsia="仿宋" w:cs="仿宋"/>
          <w:color w:val="auto"/>
          <w:spacing w:val="-16"/>
          <w:sz w:val="32"/>
          <w:szCs w:val="32"/>
          <w:highlight w:val="none"/>
          <w:u w:val="single"/>
          <w:lang w:val="en-US" w:eastAsia="zh-CN"/>
        </w:rPr>
        <w:t xml:space="preserve">             </w:t>
      </w:r>
      <w:r>
        <w:rPr>
          <w:rFonts w:hint="eastAsia" w:ascii="仿宋" w:hAnsi="仿宋" w:eastAsia="仿宋" w:cs="仿宋"/>
          <w:color w:val="auto"/>
          <w:spacing w:val="-16"/>
          <w:sz w:val="32"/>
          <w:szCs w:val="32"/>
          <w:highlight w:val="none"/>
          <w:lang w:val="en-US" w:eastAsia="zh-CN"/>
        </w:rPr>
        <w:t>。</w:t>
      </w:r>
    </w:p>
    <w:p w14:paraId="7EDA93C1">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_GB2312" w:hAnsi="仿宋_GB2312" w:eastAsia="仿宋_GB2312" w:cs="仿宋_GB2312"/>
          <w:color w:val="auto"/>
          <w:spacing w:val="-16"/>
          <w:sz w:val="32"/>
          <w:szCs w:val="32"/>
          <w:highlight w:val="none"/>
        </w:rPr>
      </w:pPr>
      <w:r>
        <w:rPr>
          <w:rFonts w:hint="eastAsia" w:ascii="黑体" w:hAnsi="黑体" w:eastAsia="黑体" w:cs="黑体"/>
          <w:color w:val="auto"/>
          <w:spacing w:val="-16"/>
          <w:sz w:val="32"/>
          <w:szCs w:val="32"/>
          <w:highlight w:val="none"/>
        </w:rPr>
        <w:t>乙方：</w:t>
      </w:r>
    </w:p>
    <w:p w14:paraId="09846F00">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乙方负责资料收集、野外实地考察、</w:t>
      </w:r>
      <w:r>
        <w:rPr>
          <w:rFonts w:hint="eastAsia" w:ascii="仿宋" w:hAnsi="仿宋" w:eastAsia="仿宋" w:cs="仿宋"/>
          <w:color w:val="auto"/>
          <w:spacing w:val="-16"/>
          <w:sz w:val="32"/>
          <w:szCs w:val="32"/>
          <w:highlight w:val="none"/>
          <w:lang w:val="en-US" w:eastAsia="zh-CN"/>
        </w:rPr>
        <w:t>疫源疫病检测</w:t>
      </w:r>
      <w:r>
        <w:rPr>
          <w:rFonts w:hint="eastAsia" w:ascii="仿宋" w:hAnsi="仿宋" w:eastAsia="仿宋" w:cs="仿宋"/>
          <w:color w:val="auto"/>
          <w:spacing w:val="-16"/>
          <w:sz w:val="32"/>
          <w:szCs w:val="32"/>
          <w:highlight w:val="none"/>
        </w:rPr>
        <w:t>、数据处理和分析等工作，配合甲方做好项目实施期间的宣传报道等工作。</w:t>
      </w:r>
    </w:p>
    <w:p w14:paraId="3673D354">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乙方根据客观、公平、公正的原则，依据法律法规和服务内容编制并提交该项目实施方案。</w:t>
      </w:r>
    </w:p>
    <w:p w14:paraId="3B18D794">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乙方要按甲方要求，对项目的原始记录资料等相关数据严格保密，未经许可不得对外发布。</w:t>
      </w:r>
    </w:p>
    <w:p w14:paraId="274275E7">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该项目所需人员、设备及全部支出由乙方自行承担，合同履行期间乙方及项目工作人员给其他地方或自身造成财产损失或人身伤害的，由乙方承担责任。</w:t>
      </w:r>
    </w:p>
    <w:p w14:paraId="20BAB838">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乙方不得以甲方的名义从事与本次委托事项之外任何活动。</w:t>
      </w:r>
    </w:p>
    <w:p w14:paraId="481DEE82">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乙方项目负责人为：</w:t>
      </w:r>
      <w:r>
        <w:rPr>
          <w:rFonts w:hint="eastAsia" w:ascii="仿宋" w:hAnsi="仿宋" w:eastAsia="仿宋" w:cs="仿宋"/>
          <w:color w:val="auto"/>
          <w:spacing w:val="-16"/>
          <w:sz w:val="32"/>
          <w:szCs w:val="32"/>
          <w:highlight w:val="none"/>
          <w:u w:val="single"/>
          <w:lang w:val="en-US" w:eastAsia="zh-CN"/>
        </w:rPr>
        <w:t xml:space="preserve">       </w:t>
      </w:r>
      <w:r>
        <w:rPr>
          <w:rFonts w:hint="eastAsia" w:ascii="仿宋" w:hAnsi="仿宋" w:eastAsia="仿宋" w:cs="仿宋"/>
          <w:color w:val="auto"/>
          <w:spacing w:val="-16"/>
          <w:sz w:val="32"/>
          <w:szCs w:val="32"/>
          <w:highlight w:val="none"/>
          <w:lang w:eastAsia="zh-CN"/>
        </w:rPr>
        <w:t>，联系电话：</w:t>
      </w:r>
      <w:r>
        <w:rPr>
          <w:rFonts w:hint="eastAsia" w:ascii="仿宋" w:hAnsi="仿宋" w:eastAsia="仿宋" w:cs="仿宋"/>
          <w:color w:val="auto"/>
          <w:spacing w:val="-16"/>
          <w:sz w:val="32"/>
          <w:szCs w:val="32"/>
          <w:highlight w:val="none"/>
          <w:u w:val="single"/>
          <w:lang w:val="en-US" w:eastAsia="zh-CN"/>
        </w:rPr>
        <w:t xml:space="preserve">              </w:t>
      </w:r>
      <w:r>
        <w:rPr>
          <w:rFonts w:hint="eastAsia" w:ascii="仿宋" w:hAnsi="仿宋" w:eastAsia="仿宋" w:cs="仿宋"/>
          <w:color w:val="auto"/>
          <w:spacing w:val="-16"/>
          <w:sz w:val="32"/>
          <w:szCs w:val="32"/>
          <w:highlight w:val="none"/>
        </w:rPr>
        <w:t>。</w:t>
      </w:r>
    </w:p>
    <w:p w14:paraId="57DA4677">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如乙方需要更换项目负责人，必须经甲方同意后书面报备。</w:t>
      </w:r>
    </w:p>
    <w:p w14:paraId="754938A3">
      <w:pPr>
        <w:keepNext w:val="0"/>
        <w:keepLines w:val="0"/>
        <w:pageBreakBefore w:val="0"/>
        <w:kinsoku w:val="0"/>
        <w:wordWrap/>
        <w:overflowPunct w:val="0"/>
        <w:topLinePunct w:val="0"/>
        <w:autoSpaceDE w:val="0"/>
        <w:autoSpaceDN w:val="0"/>
        <w:bidi w:val="0"/>
        <w:adjustRightInd w:val="0"/>
        <w:snapToGrid/>
        <w:spacing w:line="572" w:lineRule="exact"/>
        <w:ind w:firstLine="580" w:firstLineChars="200"/>
        <w:textAlignment w:val="auto"/>
        <w:outlineLvl w:val="0"/>
        <w:rPr>
          <w:rFonts w:ascii="黑体" w:hAnsi="黑体" w:eastAsia="黑体" w:cs="黑体"/>
          <w:color w:val="auto"/>
          <w:spacing w:val="-15"/>
          <w:sz w:val="32"/>
          <w:szCs w:val="32"/>
          <w:highlight w:val="none"/>
        </w:rPr>
      </w:pPr>
      <w:r>
        <w:rPr>
          <w:rFonts w:hint="eastAsia" w:ascii="黑体" w:hAnsi="黑体" w:eastAsia="黑体" w:cs="黑体"/>
          <w:color w:val="auto"/>
          <w:spacing w:val="-15"/>
          <w:sz w:val="32"/>
          <w:szCs w:val="32"/>
          <w:highlight w:val="none"/>
        </w:rPr>
        <w:t>四、验收方式及标准</w:t>
      </w:r>
    </w:p>
    <w:p w14:paraId="04063AED">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由乙方提出验收申请，甲方负责组织召开专家评审会进行验收。验收须以合同及国家相应的标准、规范等为依据。</w:t>
      </w:r>
    </w:p>
    <w:p w14:paraId="101EF041">
      <w:pPr>
        <w:keepNext w:val="0"/>
        <w:keepLines w:val="0"/>
        <w:pageBreakBefore w:val="0"/>
        <w:kinsoku w:val="0"/>
        <w:wordWrap/>
        <w:overflowPunct w:val="0"/>
        <w:topLinePunct w:val="0"/>
        <w:autoSpaceDE w:val="0"/>
        <w:autoSpaceDN w:val="0"/>
        <w:bidi w:val="0"/>
        <w:adjustRightInd w:val="0"/>
        <w:snapToGrid/>
        <w:spacing w:line="572" w:lineRule="exact"/>
        <w:ind w:firstLine="580" w:firstLineChars="200"/>
        <w:textAlignment w:val="auto"/>
        <w:outlineLvl w:val="0"/>
        <w:rPr>
          <w:rFonts w:ascii="黑体" w:hAnsi="黑体" w:eastAsia="黑体" w:cs="黑体"/>
          <w:color w:val="auto"/>
          <w:spacing w:val="-15"/>
          <w:sz w:val="32"/>
          <w:szCs w:val="32"/>
          <w:highlight w:val="none"/>
        </w:rPr>
      </w:pPr>
      <w:r>
        <w:rPr>
          <w:rFonts w:hint="eastAsia" w:ascii="黑体" w:hAnsi="黑体" w:eastAsia="黑体" w:cs="黑体"/>
          <w:color w:val="auto"/>
          <w:spacing w:val="-15"/>
          <w:sz w:val="32"/>
          <w:szCs w:val="32"/>
          <w:highlight w:val="none"/>
        </w:rPr>
        <w:t>五、纠纷解决方式</w:t>
      </w:r>
    </w:p>
    <w:p w14:paraId="416FA7A3">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在合同履行过程中发生争议，双方不能协商解决时，双方可向甲方所在地的人民法院提出诉讼，进行解决。</w:t>
      </w:r>
    </w:p>
    <w:p w14:paraId="4DD8CAAE">
      <w:pPr>
        <w:keepNext w:val="0"/>
        <w:keepLines w:val="0"/>
        <w:pageBreakBefore w:val="0"/>
        <w:kinsoku w:val="0"/>
        <w:wordWrap/>
        <w:overflowPunct w:val="0"/>
        <w:topLinePunct w:val="0"/>
        <w:autoSpaceDE w:val="0"/>
        <w:autoSpaceDN w:val="0"/>
        <w:bidi w:val="0"/>
        <w:adjustRightInd w:val="0"/>
        <w:snapToGrid/>
        <w:spacing w:line="572" w:lineRule="exact"/>
        <w:ind w:firstLine="580" w:firstLineChars="200"/>
        <w:textAlignment w:val="auto"/>
        <w:outlineLvl w:val="0"/>
        <w:rPr>
          <w:rFonts w:ascii="黑体" w:hAnsi="黑体" w:eastAsia="黑体" w:cs="黑体"/>
          <w:color w:val="auto"/>
          <w:spacing w:val="-15"/>
          <w:sz w:val="32"/>
          <w:szCs w:val="32"/>
          <w:highlight w:val="none"/>
        </w:rPr>
      </w:pPr>
      <w:r>
        <w:rPr>
          <w:rFonts w:hint="eastAsia" w:ascii="黑体" w:hAnsi="黑体" w:eastAsia="黑体" w:cs="黑体"/>
          <w:color w:val="auto"/>
          <w:spacing w:val="-15"/>
          <w:sz w:val="32"/>
          <w:szCs w:val="32"/>
          <w:highlight w:val="none"/>
        </w:rPr>
        <w:t>六、违约责任</w:t>
      </w:r>
    </w:p>
    <w:p w14:paraId="410B7968">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1、甲乙双方均应严格履行本合同项下的义务，如有违反，均视为违约，守约方可以向违约方要求支付违约金，或要求赔偿由此给守约方造成的损失。</w:t>
      </w:r>
    </w:p>
    <w:p w14:paraId="21F2AB71">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2、乙方未按照合同要求完成工作，并由此对甲方造成的损失，应由乙方承担，项目实施单位及项目负责人将接受信用惩戒等有关处罚。</w:t>
      </w:r>
    </w:p>
    <w:p w14:paraId="7A212A25">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3、甲方违反合同规定未按</w:t>
      </w:r>
      <w:bookmarkStart w:id="3" w:name="_GoBack"/>
      <w:bookmarkEnd w:id="3"/>
      <w:r>
        <w:rPr>
          <w:rFonts w:hint="eastAsia" w:ascii="仿宋" w:hAnsi="仿宋" w:eastAsia="仿宋" w:cs="仿宋"/>
          <w:color w:val="auto"/>
          <w:spacing w:val="-16"/>
          <w:sz w:val="32"/>
          <w:szCs w:val="32"/>
          <w:highlight w:val="none"/>
        </w:rPr>
        <w:t xml:space="preserve">约定时间付款的，应当承担由此对乙方造成的一切损失。 </w:t>
      </w:r>
    </w:p>
    <w:p w14:paraId="05DEA85A">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80" w:firstLineChars="200"/>
        <w:jc w:val="both"/>
        <w:textAlignment w:val="auto"/>
        <w:rPr>
          <w:rFonts w:ascii="黑体" w:hAnsi="黑体" w:eastAsia="黑体" w:cs="黑体"/>
          <w:color w:val="auto"/>
          <w:spacing w:val="-15"/>
          <w:sz w:val="32"/>
          <w:szCs w:val="32"/>
          <w:highlight w:val="none"/>
        </w:rPr>
      </w:pPr>
      <w:r>
        <w:rPr>
          <w:rFonts w:hint="eastAsia" w:ascii="黑体" w:hAnsi="黑体" w:eastAsia="黑体" w:cs="黑体"/>
          <w:color w:val="auto"/>
          <w:spacing w:val="-15"/>
          <w:sz w:val="32"/>
          <w:szCs w:val="32"/>
          <w:highlight w:val="none"/>
        </w:rPr>
        <w:t>七、说明</w:t>
      </w:r>
    </w:p>
    <w:p w14:paraId="7E16A593">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本合同未尽事宜，甲乙双方协商解决。</w:t>
      </w:r>
    </w:p>
    <w:p w14:paraId="7854E37F">
      <w:pPr>
        <w:pStyle w:val="4"/>
        <w:keepNext w:val="0"/>
        <w:keepLines w:val="0"/>
        <w:pageBreakBefore w:val="0"/>
        <w:kinsoku w:val="0"/>
        <w:wordWrap/>
        <w:overflowPunct w:val="0"/>
        <w:topLinePunct w:val="0"/>
        <w:autoSpaceDE w:val="0"/>
        <w:autoSpaceDN w:val="0"/>
        <w:bidi w:val="0"/>
        <w:adjustRightInd w:val="0"/>
        <w:snapToGrid/>
        <w:spacing w:line="572" w:lineRule="exact"/>
        <w:ind w:right="115" w:rightChars="55" w:firstLine="576" w:firstLineChars="200"/>
        <w:jc w:val="both"/>
        <w:textAlignment w:val="auto"/>
        <w:rPr>
          <w:rFonts w:ascii="仿宋" w:hAnsi="仿宋" w:eastAsia="仿宋" w:cs="仿宋"/>
          <w:color w:val="auto"/>
          <w:spacing w:val="-16"/>
          <w:sz w:val="32"/>
          <w:szCs w:val="32"/>
          <w:highlight w:val="none"/>
        </w:rPr>
      </w:pPr>
      <w:r>
        <w:rPr>
          <w:rFonts w:hint="eastAsia" w:ascii="仿宋" w:hAnsi="仿宋" w:eastAsia="仿宋" w:cs="仿宋"/>
          <w:color w:val="auto"/>
          <w:spacing w:val="-16"/>
          <w:sz w:val="32"/>
          <w:szCs w:val="32"/>
          <w:highlight w:val="none"/>
        </w:rPr>
        <w:t>本合同一式肆份，甲乙双方各持贰份，具有同等法律效力。</w:t>
      </w:r>
    </w:p>
    <w:tbl>
      <w:tblPr>
        <w:tblStyle w:val="24"/>
        <w:tblpPr w:leftFromText="180" w:rightFromText="180" w:vertAnchor="text" w:horzAnchor="page" w:tblpX="1553" w:tblpY="596"/>
        <w:tblOverlap w:val="never"/>
        <w:tblW w:w="96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90"/>
        <w:gridCol w:w="4554"/>
      </w:tblGrid>
      <w:tr w14:paraId="32B23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090" w:type="dxa"/>
          </w:tcPr>
          <w:p w14:paraId="0C53EF94">
            <w:pPr>
              <w:pStyle w:val="23"/>
              <w:spacing w:before="14" w:line="400" w:lineRule="exact"/>
              <w:jc w:val="left"/>
              <w:rPr>
                <w:rFonts w:ascii="仿宋_GB2312" w:hAnsi="仿宋_GB2312" w:eastAsia="仿宋_GB2312" w:cs="仿宋_GB2312"/>
                <w:color w:val="auto"/>
                <w:spacing w:val="-16"/>
                <w:sz w:val="28"/>
                <w:szCs w:val="28"/>
                <w:highlight w:val="none"/>
                <w:lang w:eastAsia="zh-CN"/>
              </w:rPr>
            </w:pPr>
            <w:r>
              <w:rPr>
                <w:rFonts w:hint="eastAsia" w:ascii="仿宋_GB2312" w:hAnsi="仿宋_GB2312" w:eastAsia="仿宋_GB2312" w:cs="仿宋_GB2312"/>
                <w:color w:val="auto"/>
                <w:spacing w:val="-16"/>
                <w:sz w:val="28"/>
                <w:szCs w:val="28"/>
                <w:highlight w:val="none"/>
                <w:lang w:eastAsia="zh-CN"/>
              </w:rPr>
              <w:t>甲方：陕西省自然保护区与野生动植物管理站</w:t>
            </w:r>
          </w:p>
        </w:tc>
        <w:tc>
          <w:tcPr>
            <w:tcW w:w="4554" w:type="dxa"/>
          </w:tcPr>
          <w:p w14:paraId="47275BFC">
            <w:pPr>
              <w:pStyle w:val="23"/>
              <w:spacing w:before="14" w:line="400" w:lineRule="exact"/>
              <w:jc w:val="left"/>
              <w:rPr>
                <w:rFonts w:ascii="仿宋_GB2312" w:hAnsi="仿宋_GB2312" w:eastAsia="仿宋_GB2312" w:cs="仿宋_GB2312"/>
                <w:color w:val="auto"/>
                <w:spacing w:val="-16"/>
                <w:sz w:val="28"/>
                <w:szCs w:val="28"/>
                <w:highlight w:val="none"/>
                <w:lang w:eastAsia="zh-CN"/>
              </w:rPr>
            </w:pPr>
            <w:r>
              <w:rPr>
                <w:rFonts w:hint="eastAsia" w:ascii="仿宋_GB2312" w:hAnsi="仿宋_GB2312" w:eastAsia="仿宋_GB2312" w:cs="仿宋_GB2312"/>
                <w:color w:val="auto"/>
                <w:spacing w:val="-16"/>
                <w:sz w:val="28"/>
                <w:szCs w:val="28"/>
                <w:highlight w:val="none"/>
                <w:lang w:eastAsia="zh-CN"/>
              </w:rPr>
              <w:t>乙方：</w:t>
            </w:r>
          </w:p>
        </w:tc>
      </w:tr>
      <w:tr w14:paraId="7B104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8" w:hRule="atLeast"/>
        </w:trPr>
        <w:tc>
          <w:tcPr>
            <w:tcW w:w="5090" w:type="dxa"/>
          </w:tcPr>
          <w:p w14:paraId="006210D1">
            <w:pPr>
              <w:spacing w:line="272" w:lineRule="auto"/>
              <w:jc w:val="center"/>
              <w:rPr>
                <w:rFonts w:ascii="仿宋_GB2312" w:hAnsi="仿宋_GB2312" w:eastAsia="仿宋_GB2312" w:cs="仿宋_GB2312"/>
                <w:color w:val="auto"/>
                <w:spacing w:val="-16"/>
                <w:sz w:val="28"/>
                <w:szCs w:val="28"/>
                <w:highlight w:val="none"/>
              </w:rPr>
            </w:pPr>
          </w:p>
          <w:p w14:paraId="38C3D097">
            <w:pPr>
              <w:pStyle w:val="23"/>
              <w:spacing w:before="72" w:line="219" w:lineRule="auto"/>
              <w:ind w:left="84"/>
              <w:rPr>
                <w:rFonts w:ascii="仿宋_GB2312" w:hAnsi="仿宋_GB2312" w:eastAsia="仿宋_GB2312" w:cs="仿宋_GB2312"/>
                <w:color w:val="auto"/>
                <w:spacing w:val="-16"/>
                <w:sz w:val="28"/>
                <w:szCs w:val="28"/>
                <w:highlight w:val="none"/>
                <w:lang w:eastAsia="zh-CN"/>
              </w:rPr>
            </w:pPr>
            <w:r>
              <w:rPr>
                <w:rFonts w:hint="eastAsia" w:ascii="仿宋_GB2312" w:hAnsi="仿宋_GB2312" w:eastAsia="仿宋_GB2312" w:cs="仿宋_GB2312"/>
                <w:color w:val="auto"/>
                <w:spacing w:val="-16"/>
                <w:sz w:val="28"/>
                <w:szCs w:val="28"/>
                <w:highlight w:val="none"/>
                <w:lang w:eastAsia="zh-CN"/>
              </w:rPr>
              <w:t>甲方盖章：公章/合同专用章</w:t>
            </w:r>
          </w:p>
        </w:tc>
        <w:tc>
          <w:tcPr>
            <w:tcW w:w="4554" w:type="dxa"/>
          </w:tcPr>
          <w:p w14:paraId="0188D461">
            <w:pPr>
              <w:pStyle w:val="23"/>
              <w:spacing w:before="72" w:line="219" w:lineRule="auto"/>
              <w:jc w:val="center"/>
              <w:rPr>
                <w:rFonts w:ascii="仿宋_GB2312" w:hAnsi="仿宋_GB2312" w:eastAsia="仿宋_GB2312" w:cs="仿宋_GB2312"/>
                <w:color w:val="auto"/>
                <w:spacing w:val="-16"/>
                <w:sz w:val="28"/>
                <w:szCs w:val="28"/>
                <w:highlight w:val="none"/>
                <w:lang w:eastAsia="zh-CN"/>
              </w:rPr>
            </w:pPr>
          </w:p>
          <w:p w14:paraId="78152E7E">
            <w:pPr>
              <w:pStyle w:val="23"/>
              <w:spacing w:before="72" w:line="219" w:lineRule="auto"/>
              <w:rPr>
                <w:rFonts w:ascii="仿宋_GB2312" w:hAnsi="仿宋_GB2312" w:eastAsia="仿宋_GB2312" w:cs="仿宋_GB2312"/>
                <w:color w:val="auto"/>
                <w:spacing w:val="-16"/>
                <w:sz w:val="28"/>
                <w:szCs w:val="28"/>
                <w:highlight w:val="none"/>
                <w:lang w:eastAsia="zh-CN"/>
              </w:rPr>
            </w:pPr>
            <w:r>
              <w:rPr>
                <w:rFonts w:hint="eastAsia" w:ascii="仿宋_GB2312" w:hAnsi="仿宋_GB2312" w:eastAsia="仿宋_GB2312" w:cs="仿宋_GB2312"/>
                <w:color w:val="auto"/>
                <w:spacing w:val="-16"/>
                <w:sz w:val="28"/>
                <w:szCs w:val="28"/>
                <w:highlight w:val="none"/>
                <w:lang w:eastAsia="zh-CN"/>
              </w:rPr>
              <w:t>乙方盖章：公章/合同专用章</w:t>
            </w:r>
          </w:p>
        </w:tc>
      </w:tr>
      <w:tr w14:paraId="72F85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1" w:hRule="atLeast"/>
        </w:trPr>
        <w:tc>
          <w:tcPr>
            <w:tcW w:w="5090" w:type="dxa"/>
          </w:tcPr>
          <w:p w14:paraId="285826AF">
            <w:pPr>
              <w:pStyle w:val="23"/>
              <w:spacing w:before="11" w:line="219" w:lineRule="auto"/>
              <w:rPr>
                <w:rFonts w:ascii="仿宋_GB2312" w:hAnsi="仿宋_GB2312" w:eastAsia="仿宋_GB2312" w:cs="仿宋_GB2312"/>
                <w:color w:val="auto"/>
                <w:spacing w:val="-16"/>
                <w:sz w:val="28"/>
                <w:szCs w:val="28"/>
                <w:highlight w:val="none"/>
                <w:lang w:eastAsia="zh-CN"/>
              </w:rPr>
            </w:pPr>
            <w:r>
              <w:rPr>
                <w:rFonts w:hint="eastAsia" w:ascii="仿宋_GB2312" w:hAnsi="仿宋_GB2312" w:eastAsia="仿宋_GB2312" w:cs="仿宋_GB2312"/>
                <w:color w:val="auto"/>
                <w:spacing w:val="-16"/>
                <w:sz w:val="28"/>
                <w:szCs w:val="28"/>
                <w:highlight w:val="none"/>
                <w:lang w:eastAsia="zh-CN"/>
              </w:rPr>
              <w:t>法定代表人或授权代表(签章):</w:t>
            </w:r>
          </w:p>
        </w:tc>
        <w:tc>
          <w:tcPr>
            <w:tcW w:w="4554" w:type="dxa"/>
          </w:tcPr>
          <w:p w14:paraId="7B282B25">
            <w:pPr>
              <w:pStyle w:val="23"/>
              <w:spacing w:before="11" w:line="219" w:lineRule="auto"/>
              <w:rPr>
                <w:rFonts w:ascii="仿宋_GB2312" w:hAnsi="仿宋_GB2312" w:eastAsia="仿宋_GB2312" w:cs="仿宋_GB2312"/>
                <w:color w:val="auto"/>
                <w:spacing w:val="-16"/>
                <w:sz w:val="28"/>
                <w:szCs w:val="28"/>
                <w:highlight w:val="none"/>
                <w:lang w:eastAsia="zh-CN"/>
              </w:rPr>
            </w:pPr>
            <w:r>
              <w:rPr>
                <w:rFonts w:hint="eastAsia" w:ascii="仿宋_GB2312" w:hAnsi="仿宋_GB2312" w:eastAsia="仿宋_GB2312" w:cs="仿宋_GB2312"/>
                <w:color w:val="auto"/>
                <w:spacing w:val="-16"/>
                <w:sz w:val="28"/>
                <w:szCs w:val="28"/>
                <w:highlight w:val="none"/>
                <w:lang w:eastAsia="zh-CN"/>
              </w:rPr>
              <w:t xml:space="preserve">法定代表人或授权代表(签章):    </w:t>
            </w:r>
          </w:p>
        </w:tc>
      </w:tr>
      <w:tr w14:paraId="27413B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trPr>
        <w:tc>
          <w:tcPr>
            <w:tcW w:w="5090" w:type="dxa"/>
          </w:tcPr>
          <w:p w14:paraId="4336B42D">
            <w:pPr>
              <w:pStyle w:val="23"/>
              <w:spacing w:before="138" w:line="221" w:lineRule="auto"/>
              <w:ind w:left="84"/>
              <w:rPr>
                <w:rFonts w:ascii="仿宋_GB2312" w:hAnsi="仿宋_GB2312" w:eastAsia="仿宋_GB2312" w:cs="仿宋_GB2312"/>
                <w:color w:val="auto"/>
                <w:spacing w:val="-16"/>
                <w:sz w:val="28"/>
                <w:szCs w:val="28"/>
                <w:highlight w:val="none"/>
              </w:rPr>
            </w:pPr>
            <w:r>
              <w:rPr>
                <w:rFonts w:hint="eastAsia" w:ascii="仿宋_GB2312" w:hAnsi="仿宋_GB2312" w:eastAsia="仿宋_GB2312" w:cs="仿宋_GB2312"/>
                <w:color w:val="auto"/>
                <w:spacing w:val="-16"/>
                <w:sz w:val="28"/>
                <w:szCs w:val="28"/>
                <w:highlight w:val="none"/>
              </w:rPr>
              <w:t>联系电话：029-88652292</w:t>
            </w:r>
          </w:p>
        </w:tc>
        <w:tc>
          <w:tcPr>
            <w:tcW w:w="4554" w:type="dxa"/>
          </w:tcPr>
          <w:p w14:paraId="77B0B51A">
            <w:pPr>
              <w:pStyle w:val="23"/>
              <w:spacing w:before="138" w:line="221" w:lineRule="auto"/>
              <w:ind w:left="45"/>
              <w:rPr>
                <w:rFonts w:ascii="仿宋_GB2312" w:hAnsi="仿宋_GB2312" w:eastAsia="仿宋_GB2312" w:cs="仿宋_GB2312"/>
                <w:color w:val="auto"/>
                <w:spacing w:val="-16"/>
                <w:sz w:val="28"/>
                <w:szCs w:val="28"/>
                <w:highlight w:val="none"/>
                <w:lang w:eastAsia="zh-CN"/>
              </w:rPr>
            </w:pPr>
            <w:r>
              <w:rPr>
                <w:rFonts w:hint="eastAsia" w:ascii="仿宋_GB2312" w:hAnsi="仿宋_GB2312" w:eastAsia="仿宋_GB2312" w:cs="仿宋_GB2312"/>
                <w:color w:val="auto"/>
                <w:spacing w:val="-16"/>
                <w:sz w:val="28"/>
                <w:szCs w:val="28"/>
                <w:highlight w:val="none"/>
              </w:rPr>
              <w:t>联系电话：</w:t>
            </w:r>
          </w:p>
        </w:tc>
      </w:tr>
      <w:tr w14:paraId="6AF5A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trPr>
        <w:tc>
          <w:tcPr>
            <w:tcW w:w="5090" w:type="dxa"/>
          </w:tcPr>
          <w:p w14:paraId="24C7450F">
            <w:pPr>
              <w:pStyle w:val="23"/>
              <w:tabs>
                <w:tab w:val="left" w:pos="1384"/>
              </w:tabs>
              <w:spacing w:before="176" w:line="219" w:lineRule="auto"/>
              <w:jc w:val="left"/>
              <w:rPr>
                <w:rFonts w:hint="eastAsia" w:ascii="仿宋_GB2312" w:hAnsi="仿宋_GB2312" w:eastAsia="仿宋_GB2312" w:cs="仿宋_GB2312"/>
                <w:color w:val="auto"/>
                <w:spacing w:val="-16"/>
                <w:sz w:val="28"/>
                <w:szCs w:val="28"/>
                <w:highlight w:val="none"/>
                <w:lang w:eastAsia="zh-CN"/>
              </w:rPr>
            </w:pPr>
            <w:r>
              <w:rPr>
                <w:rFonts w:hint="eastAsia" w:ascii="仿宋_GB2312" w:hAnsi="仿宋_GB2312" w:eastAsia="仿宋_GB2312" w:cs="仿宋_GB2312"/>
                <w:color w:val="auto"/>
                <w:spacing w:val="-16"/>
                <w:sz w:val="28"/>
                <w:szCs w:val="28"/>
                <w:highlight w:val="none"/>
                <w:lang w:eastAsia="zh-CN"/>
              </w:rPr>
              <w:t>地址：</w:t>
            </w:r>
          </w:p>
        </w:tc>
        <w:tc>
          <w:tcPr>
            <w:tcW w:w="4554" w:type="dxa"/>
          </w:tcPr>
          <w:p w14:paraId="18957976">
            <w:pPr>
              <w:pStyle w:val="23"/>
              <w:spacing w:before="176" w:line="219" w:lineRule="auto"/>
              <w:ind w:left="45"/>
              <w:rPr>
                <w:rFonts w:hint="eastAsia" w:ascii="仿宋_GB2312" w:hAnsi="仿宋_GB2312" w:eastAsia="仿宋_GB2312" w:cs="仿宋_GB2312"/>
                <w:color w:val="auto"/>
                <w:spacing w:val="-16"/>
                <w:sz w:val="28"/>
                <w:szCs w:val="28"/>
                <w:highlight w:val="none"/>
                <w:lang w:eastAsia="zh-CN"/>
              </w:rPr>
            </w:pPr>
            <w:r>
              <w:rPr>
                <w:rFonts w:hint="eastAsia" w:ascii="仿宋_GB2312" w:hAnsi="仿宋_GB2312" w:eastAsia="仿宋_GB2312" w:cs="仿宋_GB2312"/>
                <w:color w:val="auto"/>
                <w:spacing w:val="-16"/>
                <w:sz w:val="28"/>
                <w:szCs w:val="28"/>
                <w:highlight w:val="none"/>
                <w:lang w:eastAsia="zh-CN"/>
              </w:rPr>
              <w:t>地址：</w:t>
            </w:r>
          </w:p>
        </w:tc>
      </w:tr>
      <w:tr w14:paraId="28E775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trPr>
        <w:tc>
          <w:tcPr>
            <w:tcW w:w="5090" w:type="dxa"/>
          </w:tcPr>
          <w:p w14:paraId="673AB5FD">
            <w:pPr>
              <w:pStyle w:val="23"/>
              <w:spacing w:before="176" w:line="219" w:lineRule="auto"/>
              <w:rPr>
                <w:rFonts w:ascii="仿宋_GB2312" w:hAnsi="仿宋_GB2312" w:eastAsia="仿宋_GB2312" w:cs="仿宋_GB2312"/>
                <w:color w:val="auto"/>
                <w:spacing w:val="-16"/>
                <w:sz w:val="28"/>
                <w:szCs w:val="28"/>
                <w:highlight w:val="none"/>
                <w:lang w:eastAsia="zh-CN"/>
              </w:rPr>
            </w:pPr>
            <w:r>
              <w:rPr>
                <w:rFonts w:hint="eastAsia" w:ascii="仿宋_GB2312" w:hAnsi="仿宋_GB2312" w:eastAsia="仿宋_GB2312" w:cs="仿宋_GB2312"/>
                <w:color w:val="auto"/>
                <w:spacing w:val="-16"/>
                <w:sz w:val="28"/>
                <w:szCs w:val="28"/>
                <w:highlight w:val="none"/>
                <w:lang w:eastAsia="zh-CN"/>
              </w:rPr>
              <w:t>开户行：农行西安市西稍门支行营业室</w:t>
            </w:r>
          </w:p>
        </w:tc>
        <w:tc>
          <w:tcPr>
            <w:tcW w:w="4554" w:type="dxa"/>
          </w:tcPr>
          <w:p w14:paraId="7C4327E7">
            <w:pPr>
              <w:pStyle w:val="23"/>
              <w:spacing w:before="176" w:line="219" w:lineRule="auto"/>
              <w:ind w:left="45"/>
              <w:rPr>
                <w:rFonts w:ascii="仿宋_GB2312" w:hAnsi="仿宋_GB2312" w:eastAsia="仿宋_GB2312" w:cs="仿宋_GB2312"/>
                <w:color w:val="auto"/>
                <w:spacing w:val="-16"/>
                <w:sz w:val="28"/>
                <w:szCs w:val="28"/>
                <w:highlight w:val="none"/>
                <w:lang w:eastAsia="zh-CN"/>
              </w:rPr>
            </w:pPr>
            <w:r>
              <w:rPr>
                <w:rFonts w:hint="eastAsia" w:ascii="仿宋_GB2312" w:hAnsi="仿宋_GB2312" w:eastAsia="仿宋_GB2312" w:cs="仿宋_GB2312"/>
                <w:color w:val="auto"/>
                <w:spacing w:val="-16"/>
                <w:sz w:val="28"/>
                <w:szCs w:val="28"/>
                <w:highlight w:val="none"/>
                <w:lang w:eastAsia="zh-CN"/>
              </w:rPr>
              <w:t>开户行：</w:t>
            </w:r>
          </w:p>
        </w:tc>
      </w:tr>
      <w:tr w14:paraId="496ED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5" w:hRule="atLeast"/>
        </w:trPr>
        <w:tc>
          <w:tcPr>
            <w:tcW w:w="5090" w:type="dxa"/>
          </w:tcPr>
          <w:p w14:paraId="1075A75C">
            <w:pPr>
              <w:pStyle w:val="23"/>
              <w:spacing w:before="197" w:line="220" w:lineRule="auto"/>
              <w:ind w:left="84"/>
              <w:rPr>
                <w:rFonts w:ascii="仿宋_GB2312" w:hAnsi="仿宋_GB2312" w:eastAsia="仿宋_GB2312" w:cs="仿宋_GB2312"/>
                <w:color w:val="auto"/>
                <w:spacing w:val="-16"/>
                <w:sz w:val="28"/>
                <w:szCs w:val="28"/>
                <w:highlight w:val="none"/>
              </w:rPr>
            </w:pPr>
            <w:r>
              <w:rPr>
                <w:rFonts w:hint="eastAsia" w:ascii="仿宋_GB2312" w:hAnsi="仿宋_GB2312" w:eastAsia="仿宋_GB2312" w:cs="仿宋_GB2312"/>
                <w:color w:val="auto"/>
                <w:spacing w:val="-16"/>
                <w:sz w:val="28"/>
                <w:szCs w:val="28"/>
                <w:highlight w:val="none"/>
              </w:rPr>
              <w:t>帐号：261301010400033997</w:t>
            </w:r>
          </w:p>
        </w:tc>
        <w:tc>
          <w:tcPr>
            <w:tcW w:w="4554" w:type="dxa"/>
          </w:tcPr>
          <w:p w14:paraId="6785B379">
            <w:pPr>
              <w:pStyle w:val="23"/>
              <w:spacing w:before="197" w:line="220" w:lineRule="auto"/>
              <w:ind w:left="45"/>
              <w:rPr>
                <w:rFonts w:ascii="仿宋_GB2312" w:hAnsi="仿宋_GB2312" w:eastAsia="仿宋_GB2312" w:cs="仿宋_GB2312"/>
                <w:b/>
                <w:color w:val="auto"/>
                <w:spacing w:val="-16"/>
                <w:sz w:val="28"/>
                <w:szCs w:val="28"/>
                <w:highlight w:val="none"/>
              </w:rPr>
            </w:pPr>
            <w:r>
              <w:rPr>
                <w:rFonts w:hint="eastAsia" w:ascii="仿宋_GB2312" w:hAnsi="仿宋_GB2312" w:eastAsia="仿宋_GB2312" w:cs="仿宋_GB2312"/>
                <w:color w:val="auto"/>
                <w:spacing w:val="-16"/>
                <w:sz w:val="28"/>
                <w:szCs w:val="28"/>
                <w:highlight w:val="none"/>
              </w:rPr>
              <w:t>帐号：</w:t>
            </w:r>
          </w:p>
        </w:tc>
      </w:tr>
      <w:tr w14:paraId="085144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trPr>
        <w:tc>
          <w:tcPr>
            <w:tcW w:w="5090" w:type="dxa"/>
          </w:tcPr>
          <w:p w14:paraId="16561531">
            <w:pPr>
              <w:pStyle w:val="23"/>
              <w:spacing w:before="178" w:line="219" w:lineRule="auto"/>
              <w:ind w:left="84"/>
              <w:rPr>
                <w:rFonts w:ascii="仿宋_GB2312" w:hAnsi="仿宋_GB2312" w:eastAsia="仿宋_GB2312" w:cs="仿宋_GB2312"/>
                <w:color w:val="auto"/>
                <w:spacing w:val="-16"/>
                <w:sz w:val="28"/>
                <w:szCs w:val="28"/>
                <w:highlight w:val="none"/>
                <w:lang w:eastAsia="zh-CN"/>
              </w:rPr>
            </w:pPr>
            <w:r>
              <w:rPr>
                <w:rFonts w:hint="eastAsia" w:ascii="仿宋_GB2312" w:hAnsi="仿宋_GB2312" w:eastAsia="仿宋_GB2312" w:cs="仿宋_GB2312"/>
                <w:color w:val="auto"/>
                <w:spacing w:val="-16"/>
                <w:sz w:val="28"/>
                <w:szCs w:val="28"/>
                <w:highlight w:val="none"/>
              </w:rPr>
              <w:t>时间：202</w:t>
            </w:r>
            <w:r>
              <w:rPr>
                <w:rFonts w:hint="eastAsia" w:ascii="仿宋_GB2312" w:hAnsi="仿宋_GB2312" w:eastAsia="仿宋_GB2312" w:cs="仿宋_GB2312"/>
                <w:color w:val="auto"/>
                <w:spacing w:val="-16"/>
                <w:sz w:val="28"/>
                <w:szCs w:val="28"/>
                <w:highlight w:val="none"/>
                <w:lang w:val="en-US" w:eastAsia="zh-CN"/>
              </w:rPr>
              <w:t>6</w:t>
            </w:r>
            <w:r>
              <w:rPr>
                <w:rFonts w:hint="eastAsia" w:ascii="仿宋_GB2312" w:hAnsi="仿宋_GB2312" w:eastAsia="仿宋_GB2312" w:cs="仿宋_GB2312"/>
                <w:color w:val="auto"/>
                <w:spacing w:val="-16"/>
                <w:sz w:val="28"/>
                <w:szCs w:val="28"/>
                <w:highlight w:val="none"/>
              </w:rPr>
              <w:t>年</w:t>
            </w:r>
            <w:r>
              <w:rPr>
                <w:rFonts w:hint="eastAsia" w:ascii="仿宋_GB2312" w:hAnsi="仿宋_GB2312" w:eastAsia="仿宋_GB2312" w:cs="仿宋_GB2312"/>
                <w:color w:val="auto"/>
                <w:spacing w:val="-16"/>
                <w:sz w:val="28"/>
                <w:szCs w:val="28"/>
                <w:highlight w:val="none"/>
                <w:lang w:eastAsia="zh-CN"/>
              </w:rPr>
              <w:t xml:space="preserve">   月   日</w:t>
            </w:r>
          </w:p>
        </w:tc>
        <w:tc>
          <w:tcPr>
            <w:tcW w:w="4554" w:type="dxa"/>
          </w:tcPr>
          <w:p w14:paraId="30C7288A">
            <w:pPr>
              <w:pStyle w:val="23"/>
              <w:spacing w:before="178" w:line="219" w:lineRule="auto"/>
              <w:ind w:left="45"/>
              <w:rPr>
                <w:rFonts w:ascii="仿宋_GB2312" w:hAnsi="仿宋_GB2312" w:eastAsia="仿宋_GB2312" w:cs="仿宋_GB2312"/>
                <w:color w:val="auto"/>
                <w:spacing w:val="-16"/>
                <w:sz w:val="28"/>
                <w:szCs w:val="28"/>
                <w:highlight w:val="none"/>
              </w:rPr>
            </w:pPr>
            <w:r>
              <w:rPr>
                <w:rFonts w:hint="eastAsia" w:ascii="仿宋_GB2312" w:hAnsi="仿宋_GB2312" w:eastAsia="仿宋_GB2312" w:cs="仿宋_GB2312"/>
                <w:color w:val="auto"/>
                <w:spacing w:val="-16"/>
                <w:sz w:val="28"/>
                <w:szCs w:val="28"/>
                <w:highlight w:val="none"/>
              </w:rPr>
              <w:t>时间：202</w:t>
            </w:r>
            <w:r>
              <w:rPr>
                <w:rFonts w:hint="eastAsia" w:ascii="仿宋_GB2312" w:hAnsi="仿宋_GB2312" w:eastAsia="仿宋_GB2312" w:cs="仿宋_GB2312"/>
                <w:color w:val="auto"/>
                <w:spacing w:val="-16"/>
                <w:sz w:val="28"/>
                <w:szCs w:val="28"/>
                <w:highlight w:val="none"/>
                <w:lang w:val="en-US" w:eastAsia="zh-CN"/>
              </w:rPr>
              <w:t>6</w:t>
            </w:r>
            <w:r>
              <w:rPr>
                <w:rFonts w:hint="eastAsia" w:ascii="仿宋_GB2312" w:hAnsi="仿宋_GB2312" w:eastAsia="仿宋_GB2312" w:cs="仿宋_GB2312"/>
                <w:color w:val="auto"/>
                <w:spacing w:val="-16"/>
                <w:sz w:val="28"/>
                <w:szCs w:val="28"/>
                <w:highlight w:val="none"/>
              </w:rPr>
              <w:t>年</w:t>
            </w:r>
            <w:r>
              <w:rPr>
                <w:rFonts w:hint="eastAsia" w:ascii="仿宋_GB2312" w:hAnsi="仿宋_GB2312" w:eastAsia="仿宋_GB2312" w:cs="仿宋_GB2312"/>
                <w:color w:val="auto"/>
                <w:spacing w:val="-16"/>
                <w:sz w:val="28"/>
                <w:szCs w:val="28"/>
                <w:highlight w:val="none"/>
                <w:lang w:eastAsia="zh-CN"/>
              </w:rPr>
              <w:t xml:space="preserve">   </w:t>
            </w:r>
            <w:r>
              <w:rPr>
                <w:rFonts w:hint="eastAsia" w:ascii="仿宋_GB2312" w:hAnsi="仿宋_GB2312" w:eastAsia="仿宋_GB2312" w:cs="仿宋_GB2312"/>
                <w:color w:val="auto"/>
                <w:spacing w:val="-16"/>
                <w:sz w:val="28"/>
                <w:szCs w:val="28"/>
                <w:highlight w:val="none"/>
              </w:rPr>
              <w:t>月</w:t>
            </w:r>
            <w:r>
              <w:rPr>
                <w:rFonts w:hint="eastAsia" w:ascii="仿宋_GB2312" w:hAnsi="仿宋_GB2312" w:eastAsia="仿宋_GB2312" w:cs="仿宋_GB2312"/>
                <w:color w:val="auto"/>
                <w:spacing w:val="-16"/>
                <w:sz w:val="28"/>
                <w:szCs w:val="28"/>
                <w:highlight w:val="none"/>
                <w:lang w:eastAsia="zh-CN"/>
              </w:rPr>
              <w:t xml:space="preserve">   </w:t>
            </w:r>
            <w:r>
              <w:rPr>
                <w:rFonts w:hint="eastAsia" w:ascii="仿宋_GB2312" w:hAnsi="仿宋_GB2312" w:eastAsia="仿宋_GB2312" w:cs="仿宋_GB2312"/>
                <w:color w:val="auto"/>
                <w:spacing w:val="-16"/>
                <w:sz w:val="28"/>
                <w:szCs w:val="28"/>
                <w:highlight w:val="none"/>
              </w:rPr>
              <w:t>日</w:t>
            </w:r>
          </w:p>
        </w:tc>
      </w:tr>
    </w:tbl>
    <w:p w14:paraId="460F478D">
      <w:pPr>
        <w:rPr>
          <w:rFonts w:ascii="仿宋_GB2312" w:hAnsi="华文仿宋" w:eastAsia="仿宋_GB2312" w:cs="华文仿宋"/>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ODc4MTI2MTFhYzIwZjI1Yzk2MmJlYjEwM2I1NGJmMWEifQ=="/>
  </w:docVars>
  <w:rsids>
    <w:rsidRoot w:val="00F0600B"/>
    <w:rsid w:val="00050BD6"/>
    <w:rsid w:val="000C791A"/>
    <w:rsid w:val="00123937"/>
    <w:rsid w:val="0014635A"/>
    <w:rsid w:val="00181FC0"/>
    <w:rsid w:val="00264C2B"/>
    <w:rsid w:val="00272DD8"/>
    <w:rsid w:val="00286BD9"/>
    <w:rsid w:val="002D1ED9"/>
    <w:rsid w:val="00390692"/>
    <w:rsid w:val="00427E3A"/>
    <w:rsid w:val="00433AE4"/>
    <w:rsid w:val="00442AF8"/>
    <w:rsid w:val="0046743F"/>
    <w:rsid w:val="00472724"/>
    <w:rsid w:val="004F0B83"/>
    <w:rsid w:val="005167A8"/>
    <w:rsid w:val="00576625"/>
    <w:rsid w:val="00675513"/>
    <w:rsid w:val="00701ADE"/>
    <w:rsid w:val="00705BE0"/>
    <w:rsid w:val="0083588F"/>
    <w:rsid w:val="0085349B"/>
    <w:rsid w:val="008C2F27"/>
    <w:rsid w:val="00936D1A"/>
    <w:rsid w:val="009B12AD"/>
    <w:rsid w:val="00A1617B"/>
    <w:rsid w:val="00A3236B"/>
    <w:rsid w:val="00A34669"/>
    <w:rsid w:val="00A666A4"/>
    <w:rsid w:val="00A82949"/>
    <w:rsid w:val="00B365D0"/>
    <w:rsid w:val="00B5391A"/>
    <w:rsid w:val="00B80CB8"/>
    <w:rsid w:val="00B85712"/>
    <w:rsid w:val="00B9051E"/>
    <w:rsid w:val="00BF7CB3"/>
    <w:rsid w:val="00C30C81"/>
    <w:rsid w:val="00C95F0F"/>
    <w:rsid w:val="00CE5BBE"/>
    <w:rsid w:val="00D250B3"/>
    <w:rsid w:val="00E01E42"/>
    <w:rsid w:val="00E1397B"/>
    <w:rsid w:val="00E65427"/>
    <w:rsid w:val="00E67ABE"/>
    <w:rsid w:val="00EB3952"/>
    <w:rsid w:val="00F0600B"/>
    <w:rsid w:val="00F35C08"/>
    <w:rsid w:val="00F923BB"/>
    <w:rsid w:val="00FB58D5"/>
    <w:rsid w:val="00FD0DC5"/>
    <w:rsid w:val="0293011B"/>
    <w:rsid w:val="08FE3132"/>
    <w:rsid w:val="0CD82E47"/>
    <w:rsid w:val="0F722315"/>
    <w:rsid w:val="139C2DDD"/>
    <w:rsid w:val="14C00C04"/>
    <w:rsid w:val="1AEA08EE"/>
    <w:rsid w:val="20CD4FA8"/>
    <w:rsid w:val="215A07FE"/>
    <w:rsid w:val="27082804"/>
    <w:rsid w:val="278C6F0B"/>
    <w:rsid w:val="284C7370"/>
    <w:rsid w:val="29D43218"/>
    <w:rsid w:val="2D863CB1"/>
    <w:rsid w:val="32D0288E"/>
    <w:rsid w:val="3D4E39E9"/>
    <w:rsid w:val="3E5429FF"/>
    <w:rsid w:val="40403CA5"/>
    <w:rsid w:val="445E74A5"/>
    <w:rsid w:val="46511AE0"/>
    <w:rsid w:val="47015697"/>
    <w:rsid w:val="4876582E"/>
    <w:rsid w:val="4C255C4A"/>
    <w:rsid w:val="4DD958E6"/>
    <w:rsid w:val="5115319D"/>
    <w:rsid w:val="52037822"/>
    <w:rsid w:val="6776418A"/>
    <w:rsid w:val="696452E0"/>
    <w:rsid w:val="6D5D6CA1"/>
    <w:rsid w:val="70442981"/>
    <w:rsid w:val="705067E1"/>
    <w:rsid w:val="716034C0"/>
    <w:rsid w:val="717A5DEF"/>
    <w:rsid w:val="76B162D7"/>
    <w:rsid w:val="76E16C86"/>
    <w:rsid w:val="7718763B"/>
    <w:rsid w:val="794903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8"/>
    </w:rPr>
  </w:style>
  <w:style w:type="paragraph" w:styleId="3">
    <w:name w:val="Document Map"/>
    <w:basedOn w:val="1"/>
    <w:link w:val="26"/>
    <w:semiHidden/>
    <w:unhideWhenUsed/>
    <w:qFormat/>
    <w:uiPriority w:val="99"/>
    <w:rPr>
      <w:rFonts w:ascii="宋体"/>
      <w:sz w:val="18"/>
      <w:szCs w:val="18"/>
    </w:rPr>
  </w:style>
  <w:style w:type="paragraph" w:styleId="4">
    <w:name w:val="Body Text"/>
    <w:basedOn w:val="1"/>
    <w:next w:val="1"/>
    <w:link w:val="19"/>
    <w:autoRedefine/>
    <w:unhideWhenUsed/>
    <w:qFormat/>
    <w:uiPriority w:val="99"/>
    <w:pPr>
      <w:spacing w:line="1000" w:lineRule="exact"/>
      <w:jc w:val="center"/>
    </w:pPr>
    <w:rPr>
      <w:rFonts w:ascii="华文行楷" w:hAnsi="宋体" w:cs="宋体"/>
      <w:sz w:val="72"/>
      <w:szCs w:val="72"/>
    </w:rPr>
  </w:style>
  <w:style w:type="paragraph" w:styleId="5">
    <w:name w:val="Plain Text"/>
    <w:basedOn w:val="1"/>
    <w:link w:val="14"/>
    <w:autoRedefine/>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22"/>
    <w:semiHidden/>
    <w:unhideWhenUsed/>
    <w:qFormat/>
    <w:uiPriority w:val="99"/>
    <w:pPr>
      <w:tabs>
        <w:tab w:val="center" w:pos="4153"/>
        <w:tab w:val="right" w:pos="8306"/>
      </w:tabs>
      <w:snapToGrid w:val="0"/>
      <w:jc w:val="left"/>
    </w:pPr>
    <w:rPr>
      <w:sz w:val="18"/>
      <w:szCs w:val="18"/>
    </w:rPr>
  </w:style>
  <w:style w:type="paragraph" w:styleId="8">
    <w:name w:val="header"/>
    <w:basedOn w:val="1"/>
    <w:link w:val="2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unhideWhenUsed/>
    <w:qFormat/>
    <w:uiPriority w:val="99"/>
    <w:pPr>
      <w:widowControl/>
      <w:spacing w:before="100" w:beforeAutospacing="1" w:after="100" w:afterAutospacing="1"/>
      <w:jc w:val="left"/>
    </w:pPr>
    <w:rPr>
      <w:rFonts w:ascii="宋体" w:hAnsi="宋体" w:cs="宋体"/>
      <w:color w:val="000000"/>
      <w:kern w:val="0"/>
      <w:sz w:val="24"/>
      <w:szCs w:val="24"/>
    </w:rPr>
  </w:style>
  <w:style w:type="table" w:styleId="11">
    <w:name w:val="Table Grid"/>
    <w:basedOn w:val="10"/>
    <w:autoRedefine/>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autoRedefine/>
    <w:unhideWhenUsed/>
    <w:qFormat/>
    <w:uiPriority w:val="99"/>
    <w:rPr>
      <w:color w:val="0000FF"/>
      <w:u w:val="single"/>
    </w:rPr>
  </w:style>
  <w:style w:type="character" w:customStyle="1" w:styleId="14">
    <w:name w:val="纯文本 Char"/>
    <w:basedOn w:val="12"/>
    <w:link w:val="5"/>
    <w:autoRedefine/>
    <w:qFormat/>
    <w:uiPriority w:val="99"/>
    <w:rPr>
      <w:rFonts w:ascii="宋体" w:hAnsi="宋体" w:eastAsia="宋体" w:cs="宋体"/>
      <w:color w:val="000000"/>
      <w:kern w:val="0"/>
      <w:sz w:val="24"/>
      <w:szCs w:val="24"/>
    </w:rPr>
  </w:style>
  <w:style w:type="paragraph" w:customStyle="1" w:styleId="15">
    <w:name w:val="Heading #1|1"/>
    <w:basedOn w:val="1"/>
    <w:autoRedefine/>
    <w:qFormat/>
    <w:uiPriority w:val="0"/>
    <w:pPr>
      <w:spacing w:before="100" w:beforeAutospacing="1" w:after="2860" w:line="706" w:lineRule="exact"/>
      <w:jc w:val="center"/>
      <w:outlineLvl w:val="0"/>
    </w:pPr>
    <w:rPr>
      <w:rFonts w:ascii="宋体" w:hAnsi="宋体" w:cs="宋体"/>
      <w:sz w:val="46"/>
      <w:szCs w:val="46"/>
    </w:rPr>
  </w:style>
  <w:style w:type="paragraph" w:customStyle="1" w:styleId="16">
    <w:name w:val="Body text|1"/>
    <w:basedOn w:val="1"/>
    <w:autoRedefine/>
    <w:qFormat/>
    <w:uiPriority w:val="0"/>
    <w:pPr>
      <w:spacing w:after="180" w:line="580" w:lineRule="exact"/>
      <w:ind w:firstLine="640" w:firstLineChars="200"/>
    </w:pPr>
    <w:rPr>
      <w:rFonts w:ascii="黑体" w:hAnsi="黑体" w:eastAsia="黑体" w:cs="华文细黑"/>
      <w:sz w:val="32"/>
      <w:szCs w:val="32"/>
    </w:rPr>
  </w:style>
  <w:style w:type="paragraph" w:customStyle="1" w:styleId="17">
    <w:name w:val="Body text|2"/>
    <w:basedOn w:val="1"/>
    <w:autoRedefine/>
    <w:qFormat/>
    <w:uiPriority w:val="0"/>
    <w:pPr>
      <w:spacing w:before="100" w:beforeAutospacing="1" w:after="190"/>
      <w:ind w:left="1420"/>
    </w:pPr>
    <w:rPr>
      <w:rFonts w:ascii="宋体" w:hAnsi="宋体" w:cs="宋体"/>
      <w:sz w:val="26"/>
      <w:szCs w:val="26"/>
      <w:u w:val="single"/>
    </w:rPr>
  </w:style>
  <w:style w:type="paragraph" w:customStyle="1" w:styleId="18">
    <w:name w:val="Heading #2|1"/>
    <w:basedOn w:val="1"/>
    <w:autoRedefine/>
    <w:qFormat/>
    <w:uiPriority w:val="0"/>
    <w:pPr>
      <w:keepNext/>
      <w:keepLines/>
      <w:autoSpaceDE w:val="0"/>
      <w:spacing w:line="580" w:lineRule="exact"/>
      <w:ind w:firstLine="640" w:firstLineChars="200"/>
      <w:outlineLvl w:val="1"/>
    </w:pPr>
    <w:rPr>
      <w:rFonts w:ascii="黑体" w:hAnsi="黑体" w:eastAsia="黑体" w:cs="华文细黑"/>
      <w:bCs/>
      <w:color w:val="000000"/>
      <w:sz w:val="32"/>
      <w:szCs w:val="32"/>
    </w:rPr>
  </w:style>
  <w:style w:type="character" w:customStyle="1" w:styleId="19">
    <w:name w:val="正文文本 Char"/>
    <w:basedOn w:val="12"/>
    <w:link w:val="4"/>
    <w:autoRedefine/>
    <w:qFormat/>
    <w:uiPriority w:val="99"/>
    <w:rPr>
      <w:rFonts w:ascii="华文行楷" w:hAnsi="宋体" w:eastAsia="宋体" w:cs="宋体"/>
      <w:sz w:val="72"/>
      <w:szCs w:val="72"/>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页眉 Char"/>
    <w:basedOn w:val="12"/>
    <w:link w:val="8"/>
    <w:semiHidden/>
    <w:qFormat/>
    <w:uiPriority w:val="99"/>
    <w:rPr>
      <w:rFonts w:ascii="Times New Roman" w:hAnsi="Times New Roman" w:eastAsia="宋体" w:cs="Times New Roman"/>
      <w:kern w:val="2"/>
      <w:sz w:val="18"/>
      <w:szCs w:val="18"/>
    </w:rPr>
  </w:style>
  <w:style w:type="character" w:customStyle="1" w:styleId="22">
    <w:name w:val="页脚 Char"/>
    <w:basedOn w:val="12"/>
    <w:link w:val="7"/>
    <w:semiHidden/>
    <w:qFormat/>
    <w:uiPriority w:val="99"/>
    <w:rPr>
      <w:rFonts w:ascii="Times New Roman" w:hAnsi="Times New Roman" w:eastAsia="宋体" w:cs="Times New Roman"/>
      <w:kern w:val="2"/>
      <w:sz w:val="18"/>
      <w:szCs w:val="18"/>
    </w:rPr>
  </w:style>
  <w:style w:type="paragraph" w:customStyle="1" w:styleId="23">
    <w:name w:val="Table Text"/>
    <w:basedOn w:val="1"/>
    <w:semiHidden/>
    <w:qFormat/>
    <w:uiPriority w:val="0"/>
    <w:rPr>
      <w:rFonts w:ascii="宋体" w:hAnsi="宋体" w:cs="宋体"/>
      <w:sz w:val="22"/>
      <w:szCs w:val="22"/>
      <w:lang w:eastAsia="en-US"/>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styleId="25">
    <w:name w:val="List Paragraph"/>
    <w:basedOn w:val="1"/>
    <w:unhideWhenUsed/>
    <w:qFormat/>
    <w:uiPriority w:val="99"/>
    <w:pPr>
      <w:ind w:firstLine="420" w:firstLineChars="200"/>
    </w:pPr>
  </w:style>
  <w:style w:type="character" w:customStyle="1" w:styleId="26">
    <w:name w:val="文档结构图 Char"/>
    <w:basedOn w:val="12"/>
    <w:link w:val="3"/>
    <w:semiHidden/>
    <w:qFormat/>
    <w:uiPriority w:val="99"/>
    <w:rPr>
      <w:rFonts w:ascii="宋体"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1972</Words>
  <Characters>2057</Characters>
  <Lines>12</Lines>
  <Paragraphs>3</Paragraphs>
  <TotalTime>8</TotalTime>
  <ScaleCrop>false</ScaleCrop>
  <LinksUpToDate>false</LinksUpToDate>
  <CharactersWithSpaces>2131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2025-04-30T06:41:00Z</dcterms:created>
  <dc:creator>曹保家</dc:creator>
  <cp:lastModifiedBy>哇咔咔</cp:lastModifiedBy>
  <cp:lastPrinted>2024-04-15T06:06:00Z</cp:lastPrinted>
  <dcterms:modified xsi:type="dcterms:W3CDTF">2026-05-26T09:38:13Z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9FDDE85AE4334440BB87FDBC86E70DCA_12</vt:lpwstr>
  </property>
  <property fmtid="{D5CDD505-2E9C-101B-9397-08002B2CF9AE}" pid="4" name="KSOTemplateDocerSaveRecord">
    <vt:lpwstr>eyJoZGlkIjoiM2VjZGM3YzY5ZThjMjQ4MTZiYTEwM2MxNzdmMmE2MDUiLCJ1c2VySWQiOiIyOTUyNTg2NDAifQ==</vt:lpwstr>
  </property>
</Properties>
</file>