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版本号：XHZB-26-04720260525001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陕西省野生鸟类疫源疫病主动预警与早期预警体系构建与实践项目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XHZB-26-047</w:t>
      </w:r>
      <w:r>
        <w:br/>
      </w:r>
      <w:r>
        <w:br/>
      </w:r>
      <w:r>
        <w:br/>
      </w:r>
    </w:p>
    <w:p>
      <w:pPr>
        <w:pStyle w:val="null3"/>
        <w:jc w:val="center"/>
        <w:outlineLvl w:val="2"/>
      </w:pPr>
      <w:r>
        <w:rPr>
          <w:rFonts w:ascii="仿宋_GB2312" w:hAnsi="仿宋_GB2312" w:cs="仿宋_GB2312" w:eastAsia="仿宋_GB2312"/>
          <w:sz w:val="28"/>
          <w:b/>
        </w:rPr>
        <w:t>陕西省自然保护区与野生动植物管理站</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陕西省自然保护区与野生动植物管理站</w:t>
      </w:r>
      <w:r>
        <w:rPr>
          <w:rFonts w:ascii="仿宋_GB2312" w:hAnsi="仿宋_GB2312" w:cs="仿宋_GB2312" w:eastAsia="仿宋_GB2312"/>
        </w:rPr>
        <w:t>委托，拟对</w:t>
      </w:r>
      <w:r>
        <w:rPr>
          <w:rFonts w:ascii="仿宋_GB2312" w:hAnsi="仿宋_GB2312" w:cs="仿宋_GB2312" w:eastAsia="仿宋_GB2312"/>
        </w:rPr>
        <w:t>陕西省野生鸟类疫源疫病主动预警与早期预警体系构建与实践项目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陕西省野生鸟类疫源疫病主动预警与早期预警体系构建与实践项目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通过该项目的实施，搞清辖区内鸟类等野生动物疫病发生和伤病死亡情况，评估其疫病风险，制定预防野生动物疫病的防控措施，开展应急演练，提高应急处置能力，确保公共卫生和野生动物资源安全。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4、联合体：本项目（合同包）不接受联合体磋商。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陕西省自然保护区与野生动植物管理站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陕西省西安市雁塔区西安曲江新区雁塔南路金辉环球中心C座514室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以中标(成交)价为基数按照服务类计算收取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陕西省自然保护区与野生动植物管理站</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陕西省自然保护区与野生动植物管理站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陕西省自然保护区与野生动植物管理站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通过该项目的实施，搞清辖区内鸟类等野生动物疫病发生和伤病死亡情况，评估其疫病风险，制定预防野生动物疫病的防控措施，开展应急演练，提高应急处置能力，确保公共卫生和野生动物资源安全。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陕西省野生鸟类疫源疫病主动预警与早期预警体系构建与实践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标的名称：陕西省野生鸟类疫源疫病主动预警与早期预警体系构建与实践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1、项目背景与目的</w:t>
            </w:r>
          </w:p>
          <w:p>
            <w:pPr>
              <w:pStyle w:val="null3"/>
              <w:jc w:val="both"/>
            </w:pPr>
            <w:r>
              <w:rPr>
                <w:rFonts w:ascii="仿宋_GB2312" w:hAnsi="仿宋_GB2312" w:cs="仿宋_GB2312" w:eastAsia="仿宋_GB2312"/>
                <w:sz w:val="18"/>
              </w:rPr>
              <w:t xml:space="preserve">    陕西是全国候鸟迁徙关键通道和野生鸟类集中分布区，鸟类资源丰富、生态区位重要。随着鸟类种群恢复与扩散，人鸟接触、鸟类与家禽接触频次增加，禽流感、新城疫等疫病传播风险持续上升，现有监测存在覆盖不全、响应滞后、数据分散等问题。</w:t>
            </w:r>
          </w:p>
          <w:p>
            <w:pPr>
              <w:pStyle w:val="null3"/>
            </w:pPr>
            <w:r>
              <w:rPr>
                <w:rFonts w:ascii="仿宋_GB2312" w:hAnsi="仿宋_GB2312" w:cs="仿宋_GB2312" w:eastAsia="仿宋_GB2312"/>
                <w:sz w:val="18"/>
              </w:rPr>
              <w:t xml:space="preserve">    为落实野生动物保护与生物安全相关法律法规，构建主动监测、精准检测、快速预警、闭环处置的野生鸟类疫源疫病防控体系，全面掌握全省野生鸟类种群动态、病原携带状况与疫病发生规律，科学识别高风险区域与关键传播途径，提升早期预警与应急处置能力，保障野生鸟类种群安全、生态安全与区域公共卫生安全，特开展本项调查工作。</w:t>
            </w:r>
          </w:p>
          <w:p>
            <w:pPr>
              <w:pStyle w:val="null3"/>
              <w:jc w:val="both"/>
            </w:pPr>
            <w:r>
              <w:rPr>
                <w:rFonts w:ascii="仿宋_GB2312" w:hAnsi="仿宋_GB2312" w:cs="仿宋_GB2312" w:eastAsia="仿宋_GB2312"/>
                <w:sz w:val="18"/>
                <w:b/>
              </w:rPr>
              <w:t>2、主要服务内容</w:t>
            </w:r>
          </w:p>
          <w:p>
            <w:pPr>
              <w:pStyle w:val="null3"/>
              <w:ind w:firstLine="480"/>
              <w:jc w:val="both"/>
            </w:pPr>
            <w:r>
              <w:rPr>
                <w:rFonts w:ascii="仿宋_GB2312" w:hAnsi="仿宋_GB2312" w:cs="仿宋_GB2312" w:eastAsia="仿宋_GB2312"/>
                <w:sz w:val="18"/>
              </w:rPr>
              <w:t>（1）专项调查与野外采样</w:t>
            </w:r>
          </w:p>
          <w:p>
            <w:pPr>
              <w:pStyle w:val="null3"/>
              <w:ind w:firstLine="480"/>
              <w:jc w:val="both"/>
            </w:pPr>
            <w:r>
              <w:rPr>
                <w:rFonts w:ascii="仿宋_GB2312" w:hAnsi="仿宋_GB2312" w:cs="仿宋_GB2312" w:eastAsia="仿宋_GB2312"/>
                <w:sz w:val="18"/>
              </w:rPr>
              <w:t>对全省主要鸟类分布区域进行野外调查与无损伤样本采集；开展鸟类种群、健康状况、栖息地环境及风险因素调查，规范填写记录表格并上传数据。</w:t>
            </w:r>
          </w:p>
          <w:p>
            <w:pPr>
              <w:pStyle w:val="null3"/>
              <w:ind w:firstLine="480"/>
              <w:jc w:val="both"/>
            </w:pPr>
            <w:r>
              <w:rPr>
                <w:rFonts w:ascii="仿宋_GB2312" w:hAnsi="仿宋_GB2312" w:cs="仿宋_GB2312" w:eastAsia="仿宋_GB2312"/>
                <w:sz w:val="18"/>
              </w:rPr>
              <w:t>（2）疫源疫病检测与实验室分析</w:t>
            </w:r>
          </w:p>
          <w:p>
            <w:pPr>
              <w:pStyle w:val="null3"/>
              <w:ind w:firstLine="480"/>
              <w:jc w:val="both"/>
            </w:pPr>
            <w:r>
              <w:rPr>
                <w:rFonts w:ascii="仿宋_GB2312" w:hAnsi="仿宋_GB2312" w:cs="仿宋_GB2312" w:eastAsia="仿宋_GB2312"/>
                <w:sz w:val="18"/>
              </w:rPr>
              <w:t>开展禽流感（H5/H7）、新城疫、沙门氏菌、肺炎克雷伯菌等重点病原检测，建立检测数据库与疫病基线；阳性样本按规定送省级实验室复核，开展耐药性分析与风险评估，形成检测报告。</w:t>
            </w:r>
          </w:p>
          <w:p>
            <w:pPr>
              <w:pStyle w:val="null3"/>
              <w:ind w:firstLine="480"/>
              <w:jc w:val="both"/>
            </w:pPr>
            <w:r>
              <w:rPr>
                <w:rFonts w:ascii="仿宋_GB2312" w:hAnsi="仿宋_GB2312" w:cs="仿宋_GB2312" w:eastAsia="仿宋_GB2312"/>
                <w:sz w:val="18"/>
              </w:rPr>
              <w:t>（3）数据汇总与预警体系建设</w:t>
            </w:r>
          </w:p>
          <w:p>
            <w:pPr>
              <w:pStyle w:val="null3"/>
              <w:ind w:firstLine="480"/>
              <w:jc w:val="both"/>
            </w:pPr>
            <w:r>
              <w:rPr>
                <w:rFonts w:ascii="仿宋_GB2312" w:hAnsi="仿宋_GB2312" w:cs="仿宋_GB2312" w:eastAsia="仿宋_GB2312"/>
                <w:sz w:val="18"/>
              </w:rPr>
              <w:t>整合监测、检测、环境、人群活动等数据，建立云端哨所大数据分析平台，形成疫病空间分布图、风险热力图与早期预警模型，实现动态评估与预警发布。</w:t>
            </w:r>
          </w:p>
          <w:p>
            <w:pPr>
              <w:pStyle w:val="null3"/>
              <w:ind w:firstLine="480"/>
              <w:jc w:val="both"/>
            </w:pPr>
            <w:r>
              <w:rPr>
                <w:rFonts w:ascii="仿宋_GB2312" w:hAnsi="仿宋_GB2312" w:cs="仿宋_GB2312" w:eastAsia="仿宋_GB2312"/>
                <w:sz w:val="18"/>
              </w:rPr>
              <w:t>（4）成果编制与验收</w:t>
            </w:r>
          </w:p>
          <w:p>
            <w:pPr>
              <w:pStyle w:val="null3"/>
              <w:ind w:firstLine="480"/>
              <w:jc w:val="both"/>
            </w:pPr>
            <w:r>
              <w:rPr>
                <w:rFonts w:ascii="仿宋_GB2312" w:hAnsi="仿宋_GB2312" w:cs="仿宋_GB2312" w:eastAsia="仿宋_GB2312"/>
                <w:sz w:val="18"/>
              </w:rPr>
              <w:t>按要求完成数据整理、统计分析、图件制作，提交项目实施方案、监测报告、检测报告、预警体系建设报告、工作总结等全套成果，配合验收与绩效评价。</w:t>
            </w:r>
          </w:p>
          <w:p>
            <w:pPr>
              <w:pStyle w:val="null3"/>
              <w:jc w:val="both"/>
            </w:pPr>
            <w:r>
              <w:rPr>
                <w:rFonts w:ascii="仿宋_GB2312" w:hAnsi="仿宋_GB2312" w:cs="仿宋_GB2312" w:eastAsia="仿宋_GB2312"/>
                <w:sz w:val="18"/>
                <w:b/>
              </w:rPr>
              <w:t>3、项目目标与成果要求</w:t>
            </w:r>
          </w:p>
          <w:p>
            <w:pPr>
              <w:pStyle w:val="null3"/>
              <w:ind w:firstLine="480"/>
              <w:jc w:val="both"/>
            </w:pPr>
            <w:r>
              <w:rPr>
                <w:rFonts w:ascii="仿宋_GB2312" w:hAnsi="仿宋_GB2312" w:cs="仿宋_GB2312" w:eastAsia="仿宋_GB2312"/>
                <w:sz w:val="18"/>
              </w:rPr>
              <w:t>（1）构建覆盖全省重点区域的野生鸟类疫源疫病监测预警体系，建立禽流感/新城疫阳性样本24小时内预警响应体系。</w:t>
            </w:r>
          </w:p>
          <w:p>
            <w:pPr>
              <w:pStyle w:val="null3"/>
              <w:ind w:firstLine="480"/>
              <w:jc w:val="both"/>
            </w:pPr>
            <w:r>
              <w:rPr>
                <w:rFonts w:ascii="仿宋_GB2312" w:hAnsi="仿宋_GB2312" w:cs="仿宋_GB2312" w:eastAsia="仿宋_GB2312"/>
                <w:sz w:val="18"/>
              </w:rPr>
              <w:t>（2）完成年度样本检测不少于500份，野外快检设备使用率≥90%，单次检测成本控制在90元以内，早期预警率达90%以上。</w:t>
            </w:r>
          </w:p>
          <w:p>
            <w:pPr>
              <w:pStyle w:val="null3"/>
              <w:ind w:firstLine="480"/>
              <w:jc w:val="both"/>
            </w:pPr>
            <w:r>
              <w:rPr>
                <w:rFonts w:ascii="仿宋_GB2312" w:hAnsi="仿宋_GB2312" w:cs="仿宋_GB2312" w:eastAsia="仿宋_GB2312"/>
                <w:sz w:val="18"/>
              </w:rPr>
              <w:t>（3）消除80%偏远地区监测盲区，社区哨点年上报有效信息不少于100条。</w:t>
            </w:r>
          </w:p>
          <w:p>
            <w:pPr>
              <w:pStyle w:val="null3"/>
              <w:ind w:firstLine="480"/>
              <w:jc w:val="both"/>
            </w:pPr>
            <w:r>
              <w:rPr>
                <w:rFonts w:ascii="仿宋_GB2312" w:hAnsi="仿宋_GB2312" w:cs="仿宋_GB2312" w:eastAsia="仿宋_GB2312"/>
                <w:sz w:val="18"/>
              </w:rPr>
              <w:t>（4）将调查结果汇总，编制《陕西省野生动物疫源疫病主动监测防控与早期预警体系构建与实践》调查报告，并组织专家进行验收。</w:t>
            </w:r>
          </w:p>
          <w:p>
            <w:pPr>
              <w:pStyle w:val="null3"/>
              <w:jc w:val="both"/>
            </w:pPr>
            <w:r>
              <w:rPr>
                <w:rFonts w:ascii="仿宋_GB2312" w:hAnsi="仿宋_GB2312" w:cs="仿宋_GB2312" w:eastAsia="仿宋_GB2312"/>
                <w:sz w:val="18"/>
                <w:b/>
              </w:rPr>
              <w:t>4、服务要求</w:t>
            </w:r>
          </w:p>
          <w:p>
            <w:pPr>
              <w:pStyle w:val="null3"/>
              <w:ind w:firstLine="480"/>
              <w:jc w:val="both"/>
            </w:pPr>
            <w:r>
              <w:rPr>
                <w:rFonts w:ascii="仿宋_GB2312" w:hAnsi="仿宋_GB2312" w:cs="仿宋_GB2312" w:eastAsia="仿宋_GB2312"/>
                <w:sz w:val="18"/>
              </w:rPr>
              <w:t>（1）严格按照国家及陕西省相关技术规范、标准开展工作，确保数据真实、准确、可追溯，实行电子+纸质双记录。</w:t>
            </w:r>
          </w:p>
          <w:p>
            <w:pPr>
              <w:pStyle w:val="null3"/>
              <w:ind w:firstLine="480"/>
              <w:jc w:val="both"/>
            </w:pPr>
            <w:r>
              <w:rPr>
                <w:rFonts w:ascii="仿宋_GB2312" w:hAnsi="仿宋_GB2312" w:cs="仿宋_GB2312" w:eastAsia="仿宋_GB2312"/>
                <w:sz w:val="18"/>
              </w:rPr>
              <w:t>（2）按时完成野外作业、检测分析、数据上报等全部任务，接受上级单位监督、检查与绩效评价。</w:t>
            </w:r>
          </w:p>
          <w:p>
            <w:pPr>
              <w:pStyle w:val="null3"/>
              <w:ind w:firstLine="480"/>
              <w:jc w:val="both"/>
            </w:pPr>
            <w:r>
              <w:rPr>
                <w:rFonts w:ascii="仿宋_GB2312" w:hAnsi="仿宋_GB2312" w:cs="仿宋_GB2312" w:eastAsia="仿宋_GB2312"/>
                <w:sz w:val="18"/>
              </w:rPr>
              <w:t>（3）严格遵守资金管理规定，专账核算、专款专用，规范支出，确保财政资金使用安全合规。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服务期限（服务时间）：自合同签订之日起1年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进度款，任务完成80%后 ，达到付款条件起15个工作日内，支付合同总金额的30.0%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2.本项目所属行业为：其他未列明行业。根据《工业和信息化部、国家统计局、国家发展和改革委员会、财政部关于印发中小企业划型标准规定的通知》《工信部联企业(2011)300号)规定的划型标准：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1）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2）财务状况报告：提供2025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3）税收缴纳证明：提供自2025年5月1日以来已缴纳的至少一个月的纳税凭证或完税证明（任意税种），完税证明上应有代收机构或税务机关的公章；依法免税的供应商应提供相关文件证明；4）社保缴纳证明：提供自2025年5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提供2025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响应文件封面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本项目（合同包）不接受联合体磋商。</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对于采购文件要求响应的内容磋商响应文件是否做到全部响应；</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服务要求及商务要求偏离表 标的清单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服务期限是否符合要求；</w:t>
            </w:r>
          </w:p>
        </w:tc>
        <w:tc>
          <w:tcPr>
            <w:tcW w:type="dxa" w:w="1661"/>
          </w:tcPr>
          <w:p>
            <w:pPr>
              <w:pStyle w:val="null3"/>
            </w:pPr>
            <w:r>
              <w:rPr>
                <w:rFonts w:ascii="仿宋_GB2312" w:hAnsi="仿宋_GB2312" w:cs="仿宋_GB2312" w:eastAsia="仿宋_GB2312"/>
              </w:rPr>
              <w:t>服务要求及商务要求偏离表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磋商文件规定的其他要求</w:t>
            </w:r>
          </w:p>
        </w:tc>
        <w:tc>
          <w:tcPr>
            <w:tcW w:type="dxa" w:w="3322"/>
          </w:tcPr>
          <w:p>
            <w:pPr>
              <w:pStyle w:val="null3"/>
            </w:pPr>
            <w:r>
              <w:rPr>
                <w:rFonts w:ascii="仿宋_GB2312" w:hAnsi="仿宋_GB2312" w:cs="仿宋_GB2312" w:eastAsia="仿宋_GB2312"/>
              </w:rPr>
              <w:t>是否满足磋商文件规定的其他要求。</w:t>
            </w:r>
          </w:p>
        </w:tc>
        <w:tc>
          <w:tcPr>
            <w:tcW w:type="dxa" w:w="1661"/>
          </w:tcPr>
          <w:p>
            <w:pPr>
              <w:pStyle w:val="null3"/>
            </w:pPr>
            <w:r>
              <w:rPr>
                <w:rFonts w:ascii="仿宋_GB2312" w:hAnsi="仿宋_GB2312" w:cs="仿宋_GB2312" w:eastAsia="仿宋_GB2312"/>
              </w:rPr>
              <w:t>响应文件封面 中小企业声明函 残疾人福利性单位声明函 资格证明材料 服务方案 近年完成类似项目情况表 服务要求及商务要求偏离表 标的清单 陕西省政府采购供应商拒绝政府采购领域商业贿赂承诺书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项目背景理解</w:t>
            </w:r>
          </w:p>
        </w:tc>
        <w:tc>
          <w:tcPr>
            <w:tcW w:type="dxa" w:w="2492"/>
          </w:tcPr>
          <w:p>
            <w:pPr>
              <w:pStyle w:val="null3"/>
            </w:pPr>
            <w:r>
              <w:rPr>
                <w:rFonts w:ascii="仿宋_GB2312" w:hAnsi="仿宋_GB2312" w:cs="仿宋_GB2312" w:eastAsia="仿宋_GB2312"/>
              </w:rPr>
              <w:t>针对本项目背景理解全面、深刻。 理解全面、深刻、描述清晰的得10分； 理解较为全面，较为深刻，描述基本清晰的得9分； 理解一般，描述一般的得8分； 理解较差、不够全面深刻还需完善的得5分； 理解内容空洞、完全套用的得4分；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针对本项目提供切合项目需求的整体服务方案。 方案完整全面、可实施性及针对性强的得15分； 方案较全面、可实施性及针对性较强的得14分； 方案一般、可实施性及针对性一般的得13分； 方案较差、可实施性及针对性较差的得12分； 方案不全、可实施性及针对性差的得10分； 未提供或提供内容与本条无关的得0分。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项目实施进度保障措施</w:t>
            </w:r>
          </w:p>
        </w:tc>
        <w:tc>
          <w:tcPr>
            <w:tcW w:type="dxa" w:w="2492"/>
          </w:tcPr>
          <w:p>
            <w:pPr>
              <w:pStyle w:val="null3"/>
            </w:pPr>
            <w:r>
              <w:rPr>
                <w:rFonts w:ascii="仿宋_GB2312" w:hAnsi="仿宋_GB2312" w:cs="仿宋_GB2312" w:eastAsia="仿宋_GB2312"/>
              </w:rPr>
              <w:t>针对本项目提供的进度保障措施。 进度保障措施完整全面、针对性强，完全满足采购要求的得10分； 进度保障措施较为全面、针对性较好，基本满足采购要求的得9分； 进度保障措施一般、针对性一般，基本满足采购要求的得8分； 进度保障措施较差、针对性较差，不能完全满足采购要求的得7分； 进度保障措施不利、针对性差，无法满足采购要求的得5分；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服务质量管理体系及保障措施</w:t>
            </w:r>
          </w:p>
        </w:tc>
        <w:tc>
          <w:tcPr>
            <w:tcW w:type="dxa" w:w="2492"/>
          </w:tcPr>
          <w:p>
            <w:pPr>
              <w:pStyle w:val="null3"/>
            </w:pPr>
            <w:r>
              <w:rPr>
                <w:rFonts w:ascii="仿宋_GB2312" w:hAnsi="仿宋_GB2312" w:cs="仿宋_GB2312" w:eastAsia="仿宋_GB2312"/>
              </w:rPr>
              <w:t>针对本项目服务提供的服务质量管理体系及保障措施。 服务质量目标明确，管理体系健全，保障措施全面，得10分； 服务质量目标较明确，管理体系较全，保障措施较全面，得9分； 服务质量目标基本明确，管理体系及保障措施一般，得8分； 服务质量目标较差，管理体系及保障措施较差，得7分； 产品质量目标不明确，管理体系不全，保障措施不利，得5分；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针对本项目的人员管理制度及配备情况。 人员管理制度完善，相关技术人员配备齐全，得10分； 人员管理制度较完善，相关技术人员配备较全，得9分； 人员管理制度一般，相关技术人员配备一般，得8分； 人员管理制度较差，相关技术人员配备较差，得7分； 人员管理制度混乱，相关技术人员配备不齐，得5分； 未提供或内容与本条无关得0分。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针对野生动物疫源疫病监测开展技术、方法安全等培训。 培训内容全面、合理，培训计划组织有力的得10分； 培训内容较为全面合理，培训计划组织较为有力的得9分； 培训内容一般，培训计划组织一般的得8分； 培训内容较差，培训计划组织较差的得5分； 培训内容较简单空泛、无实质性内容、有欠缺的得4分；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针对本项目提供有益于本项目在技术、质量、进度或管理等方面进行改进的建议措施。 建议措施必要性强、可行性高的得10分； 建议措施有一定必要性、较有可行性的得9分； 建议措施较差、较有可行性的得8分； 建议措施差、可行性差的得7分； 建议措施内容简单，空洞、无必要性、无可行性的得5分； 未提供或提供内容与本条无关的得0分。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针对本项目做出切实可行的服务承诺，确保项目能按时按质完成，达到服务要求且能保证项目质量。 承诺内容清晰、承诺指标明确，后续服务具有可延续性的得5分； 承诺科学合理，基本满足项目需求的得4分； 承诺较差的得3分； 未提供或提供内容与本条无关的得0分。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每提供一份2023年01月01日起至本项目响应文件递交截止时间止的类似项目业绩得2分，最多得10分。以响应文件中所附业绩合同或中标通知书复印件或扫描件为准。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磋商总报价为有效报价，以二次（最终）报价为最终评审价格。对符合政策性扣减的有效磋商报价进行政策性扣减（如有），并依据扣减后的价格（评审价格）进行价格评审； 2.有效最低报价为磋商基准价得10分； 3.其他供应商的价格分统一按照下列公式计算：磋商报价得分=（磋商基准价/最后磋商报价）×价格权值×100； 4.磋商报价不完整的，不进入评标基准价的计算，本项得0分。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详见附件：近年完成类似项目情况表</w:t>
      </w:r>
    </w:p>
    <w:p>
      <w:pPr>
        <w:pStyle w:val="null3"/>
        <w:ind w:firstLine="960"/>
      </w:pPr>
      <w:r>
        <w:rPr>
          <w:rFonts w:ascii="仿宋_GB2312" w:hAnsi="仿宋_GB2312" w:cs="仿宋_GB2312" w:eastAsia="仿宋_GB2312"/>
        </w:rPr>
        <w:t>详见附件：服务要求及商务要求偏离表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