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8F9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240" w:lineRule="auto"/>
        <w:jc w:val="center"/>
        <w:outlineLvl w:val="1"/>
        <w:rPr>
          <w:rFonts w:hint="eastAsia" w:ascii="仿宋" w:hAnsi="仿宋" w:eastAsia="仿宋" w:cs="仿宋"/>
          <w:b/>
          <w:color w:val="000000"/>
          <w:spacing w:val="-20"/>
          <w:sz w:val="44"/>
          <w:szCs w:val="44"/>
        </w:rPr>
      </w:pPr>
      <w:bookmarkStart w:id="0" w:name="_Toc17176"/>
      <w:r>
        <w:rPr>
          <w:rFonts w:hint="eastAsia" w:ascii="仿宋" w:hAnsi="仿宋" w:eastAsia="仿宋" w:cs="仿宋"/>
          <w:b/>
          <w:color w:val="000000"/>
          <w:spacing w:val="-20"/>
          <w:sz w:val="44"/>
          <w:szCs w:val="44"/>
        </w:rPr>
        <w:t>合   同</w:t>
      </w:r>
      <w:bookmarkEnd w:id="0"/>
    </w:p>
    <w:p w14:paraId="76D5E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" w:hAnsi="仿宋" w:eastAsia="仿宋" w:cs="仿宋"/>
          <w:b/>
          <w:color w:val="000000"/>
          <w:spacing w:val="-2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pacing w:val="-20"/>
          <w:sz w:val="21"/>
          <w:szCs w:val="21"/>
          <w:lang w:eastAsia="zh-CN"/>
        </w:rPr>
        <w:t>编号：</w:t>
      </w:r>
      <w:r>
        <w:rPr>
          <w:rFonts w:hint="eastAsia" w:ascii="仿宋" w:hAnsi="仿宋" w:eastAsia="仿宋" w:cs="仿宋"/>
          <w:b/>
          <w:color w:val="000000"/>
          <w:spacing w:val="-20"/>
          <w:sz w:val="21"/>
          <w:szCs w:val="21"/>
          <w:lang w:val="en-US" w:eastAsia="zh-CN"/>
        </w:rPr>
        <w:t xml:space="preserve">       年第      号</w:t>
      </w:r>
    </w:p>
    <w:p w14:paraId="31297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" w:hAnsi="仿宋" w:eastAsia="仿宋" w:cs="仿宋"/>
          <w:b/>
          <w:color w:val="000000"/>
          <w:spacing w:val="-20"/>
          <w:sz w:val="21"/>
          <w:szCs w:val="21"/>
          <w:lang w:val="en-US" w:eastAsia="zh-CN"/>
        </w:rPr>
      </w:pPr>
    </w:p>
    <w:p w14:paraId="11C849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甲  方：西安医学院第二附属医院</w:t>
      </w:r>
    </w:p>
    <w:p w14:paraId="001C52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乙  方：</w:t>
      </w:r>
    </w:p>
    <w:p w14:paraId="68899A8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依据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项目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（项目编号：    ）</w:t>
      </w:r>
      <w:r>
        <w:rPr>
          <w:rFonts w:hint="eastAsia" w:ascii="仿宋" w:hAnsi="仿宋" w:eastAsia="仿宋" w:cs="仿宋"/>
          <w:color w:val="000000"/>
          <w:sz w:val="24"/>
        </w:rPr>
        <w:t>招标结果，《中华人民共和国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民法典</w:t>
      </w:r>
      <w:r>
        <w:rPr>
          <w:rFonts w:hint="eastAsia" w:ascii="仿宋" w:hAnsi="仿宋" w:eastAsia="仿宋" w:cs="仿宋"/>
          <w:color w:val="000000"/>
          <w:sz w:val="24"/>
        </w:rPr>
        <w:t>》规定及投标文件之内容，甲乙双方本着平等、自愿、公平和诚实信用的原则，经友好协商，达成以下合同条款：</w:t>
      </w:r>
    </w:p>
    <w:p w14:paraId="6B00EC12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color w:val="000000"/>
          <w:sz w:val="24"/>
        </w:rPr>
      </w:pPr>
      <w:bookmarkStart w:id="1" w:name="_Toc27113"/>
      <w:r>
        <w:rPr>
          <w:rFonts w:hint="eastAsia" w:ascii="仿宋" w:hAnsi="仿宋" w:eastAsia="仿宋" w:cs="仿宋"/>
          <w:b/>
          <w:color w:val="000000"/>
          <w:sz w:val="24"/>
        </w:rPr>
        <w:t>合同标的物</w:t>
      </w:r>
      <w:bookmarkEnd w:id="1"/>
    </w:p>
    <w:tbl>
      <w:tblPr>
        <w:tblStyle w:val="4"/>
        <w:tblW w:w="8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822"/>
        <w:gridCol w:w="1137"/>
        <w:gridCol w:w="1675"/>
        <w:gridCol w:w="1438"/>
        <w:gridCol w:w="812"/>
      </w:tblGrid>
      <w:tr w14:paraId="3AF4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6BF85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423" w:type="dxa"/>
            <w:noWrap w:val="0"/>
            <w:vAlign w:val="center"/>
          </w:tcPr>
          <w:p w14:paraId="37E73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2" w:type="dxa"/>
            <w:noWrap w:val="0"/>
            <w:vAlign w:val="center"/>
          </w:tcPr>
          <w:p w14:paraId="0F19D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137" w:type="dxa"/>
            <w:noWrap w:val="0"/>
            <w:vAlign w:val="center"/>
          </w:tcPr>
          <w:p w14:paraId="0071C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675" w:type="dxa"/>
            <w:noWrap w:val="0"/>
            <w:vAlign w:val="center"/>
          </w:tcPr>
          <w:p w14:paraId="7A184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单价/万元</w:t>
            </w:r>
          </w:p>
        </w:tc>
        <w:tc>
          <w:tcPr>
            <w:tcW w:w="1438" w:type="dxa"/>
            <w:noWrap w:val="0"/>
            <w:vAlign w:val="center"/>
          </w:tcPr>
          <w:p w14:paraId="54ECB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总价/万元</w:t>
            </w:r>
          </w:p>
        </w:tc>
        <w:tc>
          <w:tcPr>
            <w:tcW w:w="812" w:type="dxa"/>
            <w:noWrap w:val="0"/>
            <w:vAlign w:val="center"/>
          </w:tcPr>
          <w:p w14:paraId="0955C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AA21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1BB0D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4A51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800C0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66367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556139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22725D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12" w:type="dxa"/>
            <w:noWrap w:val="0"/>
            <w:vAlign w:val="center"/>
          </w:tcPr>
          <w:p w14:paraId="50C0AF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7F04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5F1B8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总计金额</w:t>
            </w:r>
          </w:p>
        </w:tc>
        <w:tc>
          <w:tcPr>
            <w:tcW w:w="7307" w:type="dxa"/>
            <w:gridSpan w:val="6"/>
            <w:noWrap w:val="0"/>
            <w:vAlign w:val="center"/>
          </w:tcPr>
          <w:p w14:paraId="22BCF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人民币（大写）：</w:t>
            </w:r>
          </w:p>
        </w:tc>
      </w:tr>
    </w:tbl>
    <w:p w14:paraId="35CD44D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合同总价包括设备价格、税款、运杂费、安装调试费、保修期内全部费用及其它相关费用。合同总价一次性包死，不受市场价格变化因素的影响。</w:t>
      </w:r>
    </w:p>
    <w:p w14:paraId="0A3A24D4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2" w:name="_Toc27293"/>
      <w:r>
        <w:rPr>
          <w:rFonts w:hint="eastAsia" w:ascii="仿宋" w:hAnsi="仿宋" w:eastAsia="仿宋" w:cs="仿宋"/>
          <w:b/>
          <w:color w:val="000000"/>
          <w:sz w:val="24"/>
        </w:rPr>
        <w:t>付款方式</w:t>
      </w:r>
      <w:bookmarkEnd w:id="2"/>
    </w:p>
    <w:p w14:paraId="73D280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20" w:lineRule="exact"/>
        <w:ind w:leftChars="0" w:right="0" w:rightChars="0" w:firstLine="48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验收合格后十三个月内，收到发票，达到付款条件起30日内，支付合同总金额的100%。</w:t>
      </w:r>
    </w:p>
    <w:p w14:paraId="27E91DB0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3" w:name="_Toc26554"/>
      <w:r>
        <w:rPr>
          <w:rFonts w:hint="eastAsia" w:ascii="仿宋" w:hAnsi="仿宋" w:eastAsia="仿宋" w:cs="仿宋"/>
          <w:b/>
          <w:color w:val="000000"/>
          <w:sz w:val="24"/>
        </w:rPr>
        <w:t>交货条件</w:t>
      </w:r>
      <w:bookmarkEnd w:id="3"/>
    </w:p>
    <w:p w14:paraId="3D2D27DD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（一）交货地点：西安医学院第二附属医院指定地点。</w:t>
      </w:r>
    </w:p>
    <w:p w14:paraId="0B88B26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（二）交货期限：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自合同签订之日起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天内到货，</w:t>
      </w:r>
      <w:r>
        <w:rPr>
          <w:rFonts w:hint="eastAsia" w:ascii="仿宋" w:hAnsi="仿宋" w:eastAsia="仿宋" w:cs="仿宋"/>
          <w:color w:val="000000"/>
          <w:sz w:val="24"/>
        </w:rPr>
        <w:t>并完成安装、调试、培训、验收。</w:t>
      </w:r>
      <w:r>
        <w:rPr>
          <w:rFonts w:hint="eastAsia" w:ascii="仿宋" w:hAnsi="仿宋" w:eastAsia="仿宋" w:cs="仿宋"/>
          <w:b/>
          <w:color w:val="000000"/>
          <w:sz w:val="24"/>
        </w:rPr>
        <w:t xml:space="preserve"> </w:t>
      </w:r>
    </w:p>
    <w:p w14:paraId="0F2FE20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4" w:name="_Toc5801"/>
      <w:r>
        <w:rPr>
          <w:rFonts w:hint="eastAsia" w:ascii="仿宋" w:hAnsi="仿宋" w:eastAsia="仿宋" w:cs="仿宋"/>
          <w:b/>
          <w:color w:val="000000"/>
          <w:sz w:val="24"/>
        </w:rPr>
        <w:t>四、运输</w:t>
      </w:r>
      <w:bookmarkEnd w:id="4"/>
    </w:p>
    <w:p w14:paraId="7A98C0C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（一）乙方负责所有设备的运输，运输方式由乙方自行选择，但必须保证按期交货，并确保设备安全、完整到达甲方指定地点。</w:t>
      </w:r>
    </w:p>
    <w:p w14:paraId="1E9B2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（二）设备在运输、搬运、安装的过程中，造成甲方损失的，由乙方为甲方修复或更新。</w:t>
      </w:r>
    </w:p>
    <w:p w14:paraId="06883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5" w:name="_Toc27446"/>
      <w:r>
        <w:rPr>
          <w:rFonts w:hint="eastAsia" w:ascii="仿宋" w:hAnsi="仿宋" w:eastAsia="仿宋" w:cs="仿宋"/>
          <w:b/>
          <w:color w:val="000000"/>
          <w:sz w:val="24"/>
        </w:rPr>
        <w:t>五、设备安装培训</w:t>
      </w:r>
      <w:bookmarkEnd w:id="5"/>
    </w:p>
    <w:p w14:paraId="45A90E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（一）安装调试</w:t>
      </w:r>
    </w:p>
    <w:p w14:paraId="62E85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>乙方负责将设备运至甲方指定地点，指派工程师到现场安装调试，在验收合格之前出现的损坏以及丢失均由乙方负责。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设备包装材料由乙方清理回收，若乙方未按甲方要求清理包装材料，按医院相关规定进行处罚。</w:t>
      </w:r>
    </w:p>
    <w:p w14:paraId="7307E6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（二）现场培训</w:t>
      </w:r>
    </w:p>
    <w:p w14:paraId="01398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1.乙方免费提供现场操作使用培训，保证使用人员掌握设备操作使用的各种功能。</w:t>
      </w:r>
    </w:p>
    <w:p w14:paraId="5B77A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2.乙方免费提供软件升级及升级后的使用培训。</w:t>
      </w:r>
    </w:p>
    <w:p w14:paraId="0CF9D6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3.乙方免费负责所销售设备的相关技术培训和操作人员培养，支持医院新项目的开展，保证医院熟练掌握设备的使用。</w:t>
      </w:r>
    </w:p>
    <w:p w14:paraId="472413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7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（三）设备原厂培训</w:t>
      </w:r>
    </w:p>
    <w:p w14:paraId="436AE0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color w:val="C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（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按照各产品</w:t>
      </w:r>
      <w:bookmarkStart w:id="15" w:name="_GoBack"/>
      <w:bookmarkEnd w:id="15"/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培训要求具体填写）</w:t>
      </w:r>
      <w:r>
        <w:rPr>
          <w:rFonts w:hint="eastAsia" w:ascii="仿宋" w:hAnsi="仿宋" w:eastAsia="仿宋" w:cs="仿宋"/>
          <w:color w:val="C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C0000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 w14:paraId="3E802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6" w:name="_Toc3312"/>
      <w:r>
        <w:rPr>
          <w:rFonts w:hint="eastAsia" w:ascii="仿宋" w:hAnsi="仿宋" w:eastAsia="仿宋" w:cs="仿宋"/>
          <w:b/>
          <w:color w:val="000000"/>
          <w:sz w:val="24"/>
        </w:rPr>
        <w:t>六、售后服务</w:t>
      </w:r>
      <w:bookmarkEnd w:id="6"/>
    </w:p>
    <w:p w14:paraId="71B28A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（一）自验收合格之日起，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原厂整机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质保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年</w:t>
      </w:r>
      <w:r>
        <w:rPr>
          <w:rFonts w:hint="eastAsia" w:ascii="仿宋" w:hAnsi="仿宋" w:eastAsia="仿宋" w:cs="仿宋"/>
          <w:color w:val="000000"/>
          <w:sz w:val="24"/>
        </w:rPr>
        <w:t>。设备终身维修，软件终身免费使用及升级，提供永久的技术咨询、服务和备品备件。</w:t>
      </w:r>
    </w:p>
    <w:p w14:paraId="310A1B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（二）保修期内若主要配件故障，更换后配件的保修期从更换之日起重新计算。</w:t>
      </w:r>
    </w:p>
    <w:p w14:paraId="4634C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（三）保修期内设备每年开机率≥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</w:rPr>
        <w:t>%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（每年按365天计算）</w:t>
      </w:r>
      <w:r>
        <w:rPr>
          <w:rFonts w:hint="eastAsia" w:ascii="仿宋" w:hAnsi="仿宋" w:eastAsia="仿宋" w:cs="仿宋"/>
          <w:color w:val="000000"/>
          <w:sz w:val="24"/>
        </w:rPr>
        <w:t>，若保修期内年开机率未达到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</w:rPr>
        <w:t>%，每延误1天，保修期顺延5天。</w:t>
      </w:r>
    </w:p>
    <w:p w14:paraId="519983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（四）保修期过后，原厂负责维修，并且只收取配件费用，免服务费。</w:t>
      </w:r>
    </w:p>
    <w:p w14:paraId="494E9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（五）维修响应时间：乙方接到故障报告后在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小时</w:t>
      </w:r>
      <w:r>
        <w:rPr>
          <w:rFonts w:hint="eastAsia" w:ascii="仿宋" w:hAnsi="仿宋" w:eastAsia="仿宋" w:cs="仿宋"/>
          <w:color w:val="000000"/>
          <w:sz w:val="24"/>
        </w:rPr>
        <w:t>内响应，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小时</w:t>
      </w:r>
      <w:r>
        <w:rPr>
          <w:rFonts w:hint="eastAsia" w:ascii="仿宋" w:hAnsi="仿宋" w:eastAsia="仿宋" w:cs="仿宋"/>
          <w:color w:val="000000"/>
          <w:sz w:val="24"/>
        </w:rPr>
        <w:t>内到达现场，提供备用机。</w:t>
      </w:r>
    </w:p>
    <w:p w14:paraId="2EEB32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（六）乙方对甲方购买的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设备</w:t>
      </w:r>
      <w:r>
        <w:rPr>
          <w:rFonts w:hint="eastAsia" w:ascii="仿宋" w:hAnsi="仿宋" w:eastAsia="仿宋" w:cs="仿宋"/>
          <w:color w:val="000000"/>
          <w:sz w:val="24"/>
        </w:rPr>
        <w:t>至少每半年进行一次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免费</w:t>
      </w:r>
      <w:r>
        <w:rPr>
          <w:rFonts w:hint="eastAsia" w:ascii="仿宋" w:hAnsi="仿宋" w:eastAsia="仿宋" w:cs="仿宋"/>
          <w:color w:val="000000"/>
          <w:sz w:val="24"/>
        </w:rPr>
        <w:t>维护保养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</w:rPr>
        <w:t>并提供维护保养记录。</w:t>
      </w:r>
    </w:p>
    <w:p w14:paraId="6724F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（七）乙方负责甲方购买的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设备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的首次计量手续及费用，并提供计量合格标签和计量检定证书。</w:t>
      </w:r>
    </w:p>
    <w:p w14:paraId="4BF1F358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7" w:name="_Toc16205"/>
      <w:r>
        <w:rPr>
          <w:rFonts w:hint="eastAsia" w:ascii="仿宋" w:hAnsi="仿宋" w:eastAsia="仿宋" w:cs="仿宋"/>
          <w:b/>
          <w:color w:val="000000"/>
          <w:sz w:val="24"/>
        </w:rPr>
        <w:t>七、验收</w:t>
      </w:r>
      <w:bookmarkEnd w:id="7"/>
    </w:p>
    <w:p w14:paraId="31EDEBC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lang w:eastAsia="zh-CN"/>
        </w:rPr>
        <w:t>（一）乙方提供的设备要求：自出厂日期当月起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lang w:val="en-US" w:eastAsia="zh-CN"/>
        </w:rPr>
        <w:t>的全新设备。</w:t>
      </w:r>
    </w:p>
    <w:p w14:paraId="00C7791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二</w:t>
      </w:r>
      <w:r>
        <w:rPr>
          <w:rFonts w:hint="eastAsia" w:ascii="仿宋" w:hAnsi="仿宋" w:eastAsia="仿宋" w:cs="仿宋"/>
          <w:color w:val="000000"/>
          <w:sz w:val="24"/>
        </w:rPr>
        <w:t>）货物到达甲方指定地点后，甲方根据合同要求，进行外观验收，确认规格、型号和数量。甲乙双方须在约定的时间和地点共同开箱检验。</w:t>
      </w:r>
    </w:p>
    <w:p w14:paraId="3392D33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三</w:t>
      </w:r>
      <w:r>
        <w:rPr>
          <w:rFonts w:hint="eastAsia" w:ascii="仿宋" w:hAnsi="仿宋" w:eastAsia="仿宋" w:cs="仿宋"/>
          <w:color w:val="000000"/>
          <w:sz w:val="24"/>
        </w:rPr>
        <w:t>）货物安装、调试并正常运行后，由乙方进行自检，合格后能够正常使用时通知甲方。</w:t>
      </w:r>
    </w:p>
    <w:p w14:paraId="0924955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四</w:t>
      </w:r>
      <w:r>
        <w:rPr>
          <w:rFonts w:hint="eastAsia" w:ascii="仿宋" w:hAnsi="仿宋" w:eastAsia="仿宋" w:cs="仿宋"/>
          <w:color w:val="000000"/>
          <w:sz w:val="24"/>
        </w:rPr>
        <w:t>）甲方确认乙方的自检内容后，进行验收，验收合格后，填写</w:t>
      </w:r>
      <w:r>
        <w:rPr>
          <w:rFonts w:hint="eastAsia" w:ascii="仿宋" w:hAnsi="仿宋" w:eastAsia="仿宋" w:cs="仿宋"/>
          <w:bCs/>
          <w:color w:val="000000"/>
          <w:sz w:val="24"/>
        </w:rPr>
        <w:t>验收单</w:t>
      </w:r>
      <w:r>
        <w:rPr>
          <w:rFonts w:hint="eastAsia" w:ascii="仿宋" w:hAnsi="仿宋" w:eastAsia="仿宋" w:cs="仿宋"/>
          <w:color w:val="000000"/>
          <w:sz w:val="24"/>
        </w:rPr>
        <w:t>作为对货物的最终认可。</w:t>
      </w:r>
    </w:p>
    <w:p w14:paraId="46F9FC0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sz w:val="24"/>
        </w:rPr>
        <w:t>）乙方向甲方提交货物实施过程中的所有资料，以便甲方日后管理和维护。</w:t>
      </w:r>
    </w:p>
    <w:p w14:paraId="7AE1629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六</w:t>
      </w:r>
      <w:r>
        <w:rPr>
          <w:rFonts w:hint="eastAsia" w:ascii="仿宋" w:hAnsi="仿宋" w:eastAsia="仿宋" w:cs="仿宋"/>
          <w:color w:val="000000"/>
          <w:sz w:val="24"/>
        </w:rPr>
        <w:t>）若合同设备外箱包装受损、包装箱件数不符、设备有质量或技术问题，乙方应按照甲方要求，采取补足、更换或退货处理措施，并承担由此发生的一切损失和费用。</w:t>
      </w:r>
    </w:p>
    <w:p w14:paraId="7CEF0A2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七</w:t>
      </w:r>
      <w:r>
        <w:rPr>
          <w:rFonts w:hint="eastAsia" w:ascii="仿宋" w:hAnsi="仿宋" w:eastAsia="仿宋" w:cs="仿宋"/>
          <w:color w:val="000000"/>
          <w:sz w:val="24"/>
        </w:rPr>
        <w:t>）验收依据：合同正文、合同附件、投标文件。</w:t>
      </w:r>
    </w:p>
    <w:p w14:paraId="5D40593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8" w:name="_Toc16518"/>
      <w:r>
        <w:rPr>
          <w:rFonts w:hint="eastAsia" w:ascii="仿宋" w:hAnsi="仿宋" w:eastAsia="仿宋" w:cs="仿宋"/>
          <w:b/>
          <w:color w:val="000000"/>
          <w:sz w:val="24"/>
        </w:rPr>
        <w:t>八、违约责任</w:t>
      </w:r>
      <w:bookmarkEnd w:id="8"/>
    </w:p>
    <w:p w14:paraId="1F9AC55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《中华人民共和国民法典》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《中华人民共和国政府采购法》</w:t>
      </w:r>
      <w:r>
        <w:rPr>
          <w:rFonts w:hint="eastAsia" w:ascii="仿宋" w:hAnsi="仿宋" w:eastAsia="仿宋" w:cs="仿宋"/>
          <w:color w:val="000000"/>
          <w:sz w:val="24"/>
        </w:rPr>
        <w:t>中的相关条款执行。</w:t>
      </w:r>
    </w:p>
    <w:p w14:paraId="07F157E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（二）乙方逾期交货，每逾期一天应支付合同总额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0.5</w:t>
      </w:r>
      <w:r>
        <w:rPr>
          <w:rFonts w:hint="eastAsia" w:ascii="仿宋" w:hAnsi="仿宋" w:eastAsia="仿宋" w:cs="仿宋"/>
          <w:color w:val="000000"/>
          <w:sz w:val="24"/>
        </w:rPr>
        <w:t>%的违约金，直至交货为止。逾期交货超过20天，甲方有权终止合同。</w:t>
      </w:r>
    </w:p>
    <w:p w14:paraId="43DD997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（三）未按合同要求提供货物或质量不能满足要求，乙方必须无条件更换，提高技术，完善质量，否则，甲方有权终止合同。</w:t>
      </w:r>
    </w:p>
    <w:p w14:paraId="093E2DB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  <w:lang w:eastAsia="zh-CN"/>
        </w:rPr>
      </w:pPr>
      <w:bookmarkStart w:id="9" w:name="_Toc5919"/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九、其它约定</w:t>
      </w:r>
      <w:bookmarkEnd w:id="9"/>
    </w:p>
    <w:p w14:paraId="656F55FD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如遇不可抗力导致无法履行合同约定的内容，甲方有权终止或修改合同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。</w:t>
      </w:r>
    </w:p>
    <w:p w14:paraId="0C92A5C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10" w:name="_Toc23291"/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</w:rPr>
        <w:t>、合同争议解决的方式</w:t>
      </w:r>
      <w:bookmarkEnd w:id="10"/>
    </w:p>
    <w:p w14:paraId="5C2ABEE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本合同在履行过程中发生的争议，由甲、乙双方当事人协商解决，协商不成的提交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西安</w:t>
      </w:r>
      <w:r>
        <w:rPr>
          <w:rFonts w:hint="eastAsia" w:ascii="仿宋" w:hAnsi="仿宋" w:eastAsia="仿宋" w:cs="仿宋"/>
          <w:color w:val="000000"/>
          <w:sz w:val="24"/>
        </w:rPr>
        <w:t>仲裁委员会仲裁或依法向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甲方所在地</w:t>
      </w:r>
      <w:r>
        <w:rPr>
          <w:rFonts w:hint="eastAsia" w:ascii="仿宋" w:hAnsi="仿宋" w:eastAsia="仿宋" w:cs="仿宋"/>
          <w:color w:val="000000"/>
          <w:sz w:val="24"/>
        </w:rPr>
        <w:t>人民法院起诉。</w:t>
      </w:r>
    </w:p>
    <w:p w14:paraId="21613B4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outlineLvl w:val="1"/>
        <w:rPr>
          <w:rFonts w:hint="eastAsia" w:ascii="仿宋" w:hAnsi="仿宋" w:eastAsia="仿宋" w:cs="仿宋"/>
          <w:b/>
          <w:color w:val="000000"/>
          <w:sz w:val="24"/>
        </w:rPr>
      </w:pPr>
      <w:bookmarkStart w:id="11" w:name="_Toc29984"/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十一</w:t>
      </w:r>
      <w:r>
        <w:rPr>
          <w:rFonts w:hint="eastAsia" w:ascii="仿宋" w:hAnsi="仿宋" w:eastAsia="仿宋" w:cs="仿宋"/>
          <w:b/>
          <w:color w:val="000000"/>
          <w:sz w:val="24"/>
        </w:rPr>
        <w:t>、合同生效</w:t>
      </w:r>
      <w:bookmarkEnd w:id="11"/>
    </w:p>
    <w:p w14:paraId="1B040B2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本合同一式柒份，甲方执陆份，乙方执壹份。本合同甲、乙双方签字盖章后生效，合同执行完毕后，自动失效（合同的服务承诺则长期有效）。</w:t>
      </w:r>
    </w:p>
    <w:p w14:paraId="268BAD28">
      <w:pPr>
        <w:keepNext w:val="0"/>
        <w:keepLines w:val="0"/>
        <w:pageBreakBefore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outlineLvl w:val="1"/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</w:pPr>
      <w:bookmarkStart w:id="12" w:name="_Toc32628"/>
      <w:r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  <w:t>十二、附件一  设备配件及耗材价格清单</w:t>
      </w:r>
      <w:bookmarkEnd w:id="12"/>
    </w:p>
    <w:p w14:paraId="07F22D9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outlineLvl w:val="0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      </w:t>
      </w:r>
      <w:bookmarkStart w:id="13" w:name="_Toc30815"/>
      <w:r>
        <w:rPr>
          <w:rFonts w:hint="eastAsia" w:ascii="仿宋" w:hAnsi="仿宋" w:eastAsia="仿宋" w:cs="仿宋"/>
          <w:b/>
          <w:color w:val="000000"/>
          <w:sz w:val="24"/>
        </w:rPr>
        <w:t>附件二  设备配置清单</w:t>
      </w:r>
      <w:bookmarkEnd w:id="13"/>
    </w:p>
    <w:p w14:paraId="62B08568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000000"/>
          <w:sz w:val="24"/>
        </w:rPr>
      </w:pPr>
    </w:p>
    <w:p w14:paraId="5922307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000000"/>
          <w:sz w:val="24"/>
        </w:rPr>
      </w:pPr>
    </w:p>
    <w:p w14:paraId="7AB8B66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000000"/>
          <w:sz w:val="24"/>
        </w:rPr>
      </w:pPr>
    </w:p>
    <w:p w14:paraId="1BAA3E6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eastAsia" w:ascii="仿宋" w:hAnsi="仿宋" w:eastAsia="仿宋" w:cs="仿宋"/>
          <w:b/>
          <w:color w:val="000000"/>
          <w:sz w:val="24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 w14:paraId="26F9E1E7">
        <w:tc>
          <w:tcPr>
            <w:tcW w:w="4981" w:type="dxa"/>
            <w:noWrap w:val="0"/>
            <w:vAlign w:val="top"/>
          </w:tcPr>
          <w:p w14:paraId="3199C3C6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甲    方: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西安医学院第二附属医院</w:t>
            </w:r>
          </w:p>
        </w:tc>
        <w:tc>
          <w:tcPr>
            <w:tcW w:w="4981" w:type="dxa"/>
            <w:noWrap w:val="0"/>
            <w:vAlign w:val="top"/>
          </w:tcPr>
          <w:p w14:paraId="2FFFB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乙    方:</w:t>
            </w:r>
          </w:p>
        </w:tc>
      </w:tr>
      <w:tr w14:paraId="09184C44">
        <w:tc>
          <w:tcPr>
            <w:tcW w:w="4981" w:type="dxa"/>
            <w:noWrap w:val="0"/>
            <w:vAlign w:val="top"/>
          </w:tcPr>
          <w:p w14:paraId="554865A3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 xml:space="preserve">法定代表人: </w:t>
            </w:r>
          </w:p>
        </w:tc>
        <w:tc>
          <w:tcPr>
            <w:tcW w:w="4981" w:type="dxa"/>
            <w:noWrap w:val="0"/>
            <w:vAlign w:val="top"/>
          </w:tcPr>
          <w:p w14:paraId="40206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法定代表人:</w:t>
            </w:r>
          </w:p>
        </w:tc>
      </w:tr>
      <w:tr w14:paraId="1D7732C3">
        <w:tc>
          <w:tcPr>
            <w:tcW w:w="4981" w:type="dxa"/>
            <w:noWrap w:val="0"/>
            <w:vAlign w:val="top"/>
          </w:tcPr>
          <w:p w14:paraId="4B7D6385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981" w:type="dxa"/>
            <w:noWrap w:val="0"/>
            <w:vAlign w:val="top"/>
          </w:tcPr>
          <w:p w14:paraId="7D8D2341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>联系电话:</w:t>
            </w:r>
          </w:p>
        </w:tc>
      </w:tr>
      <w:tr w14:paraId="1AB7E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5507F2B0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年   月   日  </w:t>
            </w:r>
          </w:p>
        </w:tc>
        <w:tc>
          <w:tcPr>
            <w:tcW w:w="4981" w:type="dxa"/>
            <w:noWrap w:val="0"/>
            <w:vAlign w:val="top"/>
          </w:tcPr>
          <w:p w14:paraId="3B616404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年  月  日</w:t>
            </w:r>
          </w:p>
        </w:tc>
      </w:tr>
    </w:tbl>
    <w:p w14:paraId="4E361A1D">
      <w:pPr>
        <w:spacing w:before="99" w:beforeLines="20" w:after="99" w:afterLines="20" w:line="360" w:lineRule="exact"/>
        <w:outlineLvl w:val="0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  <w:br w:type="page"/>
      </w:r>
      <w:bookmarkStart w:id="14" w:name="_Toc8024"/>
      <w:r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  <w:t>附件一  设备配件及耗材价格清单</w:t>
      </w:r>
      <w:bookmarkEnd w:id="14"/>
    </w:p>
    <w:p w14:paraId="670739E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</w:p>
    <w:p w14:paraId="6F5C7A7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</w:p>
    <w:p w14:paraId="47AF721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</w:p>
    <w:p w14:paraId="40F5290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</w:p>
    <w:p w14:paraId="6ED1205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</w:p>
    <w:p w14:paraId="2AF3F68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附件</w:t>
      </w:r>
      <w:r>
        <w:rPr>
          <w:rFonts w:hint="eastAsia" w:ascii="仿宋" w:hAnsi="仿宋" w:eastAsia="仿宋" w:cs="仿宋"/>
          <w:b/>
          <w:bCs/>
          <w:color w:val="000000"/>
          <w:sz w:val="24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 xml:space="preserve">  设备配置清单</w:t>
      </w:r>
    </w:p>
    <w:p w14:paraId="71D705DB">
      <w:pPr>
        <w:pStyle w:val="7"/>
        <w:rPr>
          <w:rFonts w:hint="eastAsia" w:ascii="仿宋" w:hAnsi="仿宋" w:eastAsia="仿宋" w:cs="仿宋"/>
        </w:rPr>
      </w:pPr>
    </w:p>
    <w:p w14:paraId="534D9B83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21141F0A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79F1F327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03B1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635E7F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35E7F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B4026"/>
    <w:multiLevelType w:val="singleLevel"/>
    <w:tmpl w:val="CFEB40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3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2026-07-17T02:30:25Z</dcterms:created>
  <dc:creator>Administrator</dc:creator>
  <cp:lastModifiedBy>慢慢慢半拍</cp:lastModifiedBy>
  <dcterms:modified xsi:type="dcterms:W3CDTF">2026-07-17T02:31:08Z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8665B9E7FF8D45F8920AAC34679A47E1_12</vt:lpwstr>
  </property>
</Properties>
</file>