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版本号：SXDY-2026-208.2.3B120260805001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陕西省临潼康复医院餐饮原材料供应项目(二次)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SXDY-2026-208.2.3B1</w:t>
      </w:r>
      <w:r>
        <w:br/>
      </w:r>
      <w:r>
        <w:br/>
      </w:r>
      <w:r>
        <w:br/>
      </w:r>
    </w:p>
    <w:p>
      <w:pPr>
        <w:pStyle w:val="null3"/>
        <w:jc w:val="center"/>
        <w:outlineLvl w:val="2"/>
      </w:pPr>
      <w:r>
        <w:rPr>
          <w:rFonts w:ascii="仿宋_GB2312" w:hAnsi="仿宋_GB2312" w:cs="仿宋_GB2312" w:eastAsia="仿宋_GB2312"/>
          <w:sz w:val="28"/>
          <w:b/>
        </w:rPr>
        <w:t>省临潼疗养院</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省临潼疗养院</w:t>
      </w:r>
      <w:r>
        <w:rPr>
          <w:rFonts w:ascii="仿宋_GB2312" w:hAnsi="仿宋_GB2312" w:cs="仿宋_GB2312" w:eastAsia="仿宋_GB2312"/>
        </w:rPr>
        <w:t>委托，拟对</w:t>
      </w:r>
      <w:r>
        <w:rPr>
          <w:rFonts w:ascii="仿宋_GB2312" w:hAnsi="仿宋_GB2312" w:cs="仿宋_GB2312" w:eastAsia="仿宋_GB2312"/>
        </w:rPr>
        <w:t>陕西省临潼康复医院餐饮原材料供应项目(二次)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SXDY-2026-208.2.3B1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陕西省临潼康复医院餐饮原材料供应项目(二次)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主要是为食堂提供所需食材采购配送服务。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采购包1（干菜、调料、冻货类）：属于专门面向中小企业采购。</w:t>
      </w:r>
    </w:p>
    <w:p>
      <w:pPr>
        <w:pStyle w:val="null3"/>
      </w:pPr>
      <w:r>
        <w:rPr>
          <w:rFonts w:ascii="仿宋_GB2312" w:hAnsi="仿宋_GB2312" w:cs="仿宋_GB2312" w:eastAsia="仿宋_GB2312"/>
        </w:rPr>
        <w:t>采购包2（米、面、油）：属于专门面向中小企业采购。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3、税收缴纳证明：提供2025年12月至今已缴纳的至少一个月的纳税证明或完税证明（任意税种），依法免税的单位应提供相关证明材料；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4、社会保障资金缴纳证明：提供2025年12月至今已缴存的至少一个月的社会保障资金缴存单据或社保机构开具的社会保险参保缴费情况证明，依法不需要缴纳社会保障资金的单位应提供相关证明材料；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5、承诺书：提供具有履行合同所必需的设备和专业技术能力的承诺；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8、特定资质：供应商为生产厂家的须具有《食品生产许可证》、《食品经营许可证》；供应商为代理商的须提供《食品经营许可证》；</w:t>
      </w:r>
    </w:p>
    <w:p>
      <w:pPr>
        <w:pStyle w:val="null3"/>
      </w:pPr>
      <w:r>
        <w:rPr>
          <w:rFonts w:ascii="仿宋_GB2312" w:hAnsi="仿宋_GB2312" w:cs="仿宋_GB2312" w:eastAsia="仿宋_GB2312"/>
        </w:rPr>
        <w:t>9、信誉：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10、本项目不接受联合体投标：本项目不接受联合体投标。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3、税收缴纳证明：提供2025年12月至今已缴纳的至少一个月的纳税证明或完税证明（任意税种），依法免税的单位应提供相关证明材料；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4、社会保障资金缴纳证明：提供2025年12月至今已缴存的至少一个月的社会保障资金缴存单据或社保机构开具的社会保险参保缴费情况证明，依法不需要缴纳社会保障资金的单位应提供相关证明材料；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5、承诺书：提供具有履行合同所必需的设备和专业技术能力的承诺；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8、特定资质：供应商为生产厂家的须具有《食品生产许可证》、《食品经营许可证》；供应商为代理商的须提供《食品经营许可证》；</w:t>
      </w:r>
    </w:p>
    <w:p>
      <w:pPr>
        <w:pStyle w:val="null3"/>
      </w:pPr>
      <w:r>
        <w:rPr>
          <w:rFonts w:ascii="仿宋_GB2312" w:hAnsi="仿宋_GB2312" w:cs="仿宋_GB2312" w:eastAsia="仿宋_GB2312"/>
        </w:rPr>
        <w:t>9、信誉：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省临潼疗养院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临潼区康复路26号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李宛秦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17792272274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西安市朱雀大街南段汇成天玺酒店C座11层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白凤祥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18789423630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p>
          <w:p>
            <w:pPr>
              <w:pStyle w:val="null3"/>
            </w:pPr>
            <w:r>
              <w:rPr>
                <w:rFonts w:ascii="仿宋_GB2312" w:hAnsi="仿宋_GB2312" w:cs="仿宋_GB2312" w:eastAsia="仿宋_GB2312"/>
              </w:rPr>
              <w:t>采购包2：300,000.00元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代理服务费收费标准：采购包1干菜、调料、冻货类，代理费按8000元收取；采购包2米、面、油类，代理费按6000元收取。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省临潼疗养院</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省临潼疗养院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省临潼疗养院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联系人：白凤祥</w:t>
      </w:r>
    </w:p>
    <w:p>
      <w:pPr>
        <w:pStyle w:val="null3"/>
      </w:pPr>
      <w:r>
        <w:rPr>
          <w:rFonts w:ascii="仿宋_GB2312" w:hAnsi="仿宋_GB2312" w:cs="仿宋_GB2312" w:eastAsia="仿宋_GB2312"/>
        </w:rPr>
        <w:t>联系电话：18789423630</w:t>
      </w:r>
    </w:p>
    <w:p>
      <w:pPr>
        <w:pStyle w:val="null3"/>
      </w:pPr>
      <w:r>
        <w:rPr>
          <w:rFonts w:ascii="仿宋_GB2312" w:hAnsi="仿宋_GB2312" w:cs="仿宋_GB2312" w:eastAsia="仿宋_GB2312"/>
        </w:rPr>
        <w:t>地址：陕西大用项目管理有限公司（西安市朱雀大街南段汇成天玺酒店C座11 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主要是为食堂提供所需食材采购配送服务。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干菜、调料、冻货类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米、面、油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标的名称：干菜、调料、冻货类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474"/>
              <w:gridCol w:w="1002"/>
              <w:gridCol w:w="1077"/>
            </w:tblGrid>
            <w:tr>
              <w:tc>
                <w:tcPr>
                  <w:tcW w:type="dxa" w:w="4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序号</w:t>
                  </w:r>
                </w:p>
              </w:tc>
              <w:tc>
                <w:tcPr>
                  <w:tcW w:type="dxa" w:w="100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名称</w:t>
                  </w:r>
                </w:p>
              </w:tc>
              <w:tc>
                <w:tcPr>
                  <w:tcW w:type="dxa" w:w="107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参数要求</w:t>
                  </w: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小米</w:t>
                  </w:r>
                </w:p>
              </w:tc>
              <w:tc>
                <w:tcPr>
                  <w:tcW w:type="dxa" w:w="1077"/>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须提供正规的进货凭证，包装无破损，具有生产许可证，剩余质保期不少于保质期的三分之二，并提供质检报告。符合国家质量标准，具有生产许可证，无霉变、虫絮、大小均匀。</w:t>
                  </w: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财豇豆</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玉米糁</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花生米</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安琪酵母</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双喜泡打粉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草果</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白扣</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香叶</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白芷</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花椒粉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孜然粉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胡椒粉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粗辣面</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魔鬼辣面</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16</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干辣段</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花椒</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桂皮</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八角</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小茴香</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食盐</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味精</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鸡精</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十三香</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26</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番茄酱</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红</w:t>
                  </w:r>
                  <w:r>
                    <w:rPr>
                      <w:rFonts w:ascii="仿宋_GB2312" w:hAnsi="仿宋_GB2312" w:cs="仿宋_GB2312" w:eastAsia="仿宋_GB2312"/>
                      <w:sz w:val="24"/>
                    </w:rPr>
                    <w:t>99</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白醋</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香醋</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紫林陈醋</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蚝油</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东古酱油</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蒸鱼豉油</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辣鲜露</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35</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麻辣鲜露</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36</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辣妹子</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生粉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玉米淀粉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老干妈</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老抽</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生抽</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白糖</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香油</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保鲜膜</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45</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料酒</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46</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云木耳</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腐竹</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粉条</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碱面</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豆瓣酱</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剁椒酱</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20#食品袋</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30#食品袋</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40#食品袋</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55</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海带丝</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56</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粉丝</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一次性手套</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老婆饼</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小饼干</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小麻花</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桃酥</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醪糟</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豆浆粉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油茶</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65</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绿豆</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66</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海绵蛋糕</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纸杯蛋糕</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地瓜丸</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纯奶</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油条</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红糖锅盔</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酸豇豆</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甜面酱</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75</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冰糖</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肉丸子</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咸菜丝</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咸菜丁</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嫩肉粉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玉米面</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紫菜</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大火腿</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南瓜饼</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85</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黑米糕</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玉米粒</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青豆</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黑芝麻</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白芝麻</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吉士粉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花椒油</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酒精</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酸菜</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96</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高帽子</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低帽子</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芝麻酱</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红烧酱汁</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大刀耳片</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石榴汁</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饺子</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带鱼</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腊肉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105</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鸡排</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106</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鸡腿</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鸡块</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鸡脯</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冻虾</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鸡柳</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小黄鱼</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牛仔骨</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藤椒鸭</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樟茶鸭</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115</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水晶肴肉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116</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盐水鹅肝</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豌豆黄</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羊肚丝</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椒麻鸡</w:t>
                  </w:r>
                </w:p>
              </w:tc>
              <w:tc>
                <w:tcPr>
                  <w:tcW w:type="dxa" w:w="1077"/>
                  <w:vMerge/>
                  <w:tcBorders>
                    <w:top w:val="none" w:color="000000" w:sz="4"/>
                    <w:left w:val="none" w:color="000000" w:sz="4"/>
                    <w:bottom w:val="none" w:color="000000" w:sz="4"/>
                    <w:right w:val="single" w:color="000000" w:sz="4"/>
                  </w:tcBorders>
                </w:tcPr>
                <w:p/>
              </w:tc>
            </w:tr>
          </w:tbl>
          <w:p>
            <w:pPr>
              <w:pStyle w:val="null3"/>
            </w:pPr>
            <w:r>
              <w:rPr>
                <w:rFonts w:ascii="仿宋_GB2312" w:hAnsi="仿宋_GB2312" w:cs="仿宋_GB2312" w:eastAsia="仿宋_GB2312"/>
              </w:rPr>
              <w:t>注：</w:t>
            </w:r>
          </w:p>
          <w:p>
            <w:pPr>
              <w:pStyle w:val="null3"/>
            </w:pPr>
            <w:r>
              <w:rPr>
                <w:rFonts w:ascii="仿宋_GB2312" w:hAnsi="仿宋_GB2312" w:cs="仿宋_GB2312" w:eastAsia="仿宋_GB2312"/>
              </w:rPr>
              <w:t xml:space="preserve">1. </w:t>
            </w:r>
            <w:r>
              <w:rPr>
                <w:rFonts w:ascii="仿宋_GB2312" w:hAnsi="仿宋_GB2312" w:cs="仿宋_GB2312" w:eastAsia="仿宋_GB2312"/>
              </w:rPr>
              <w:t>投标产品必须符合国家相关标准和强制性规定要求，为质量合格产品。所列产品标准如国家有调整的，应以调整后的最新标准为准。产品生产（包括原料采购、加工、运输、贮存等）应满足《</w:t>
            </w:r>
            <w:r>
              <w:rPr>
                <w:rFonts w:ascii="仿宋_GB2312" w:hAnsi="仿宋_GB2312" w:cs="仿宋_GB2312" w:eastAsia="仿宋_GB2312"/>
              </w:rPr>
              <w:t>GB14881-2013</w:t>
            </w:r>
            <w:r>
              <w:rPr>
                <w:rFonts w:ascii="仿宋_GB2312" w:hAnsi="仿宋_GB2312" w:cs="仿宋_GB2312" w:eastAsia="仿宋_GB2312"/>
              </w:rPr>
              <w:t>食品安全国家标准食品生产通用卫生规范》及相应产品的标准要求。</w:t>
            </w:r>
          </w:p>
          <w:p>
            <w:pPr>
              <w:pStyle w:val="null3"/>
            </w:pPr>
            <w:r>
              <w:rPr>
                <w:rFonts w:ascii="仿宋_GB2312" w:hAnsi="仿宋_GB2312" w:cs="仿宋_GB2312" w:eastAsia="仿宋_GB2312"/>
              </w:rPr>
              <w:t>（一）预包装食品：须保证规格品种完全符合采购方要求，包装规格、口味、种类齐全。保质期在</w:t>
            </w:r>
            <w:r>
              <w:rPr>
                <w:rFonts w:ascii="仿宋_GB2312" w:hAnsi="仿宋_GB2312" w:cs="仿宋_GB2312" w:eastAsia="仿宋_GB2312"/>
              </w:rPr>
              <w:t>3</w:t>
            </w:r>
            <w:r>
              <w:rPr>
                <w:rFonts w:ascii="仿宋_GB2312" w:hAnsi="仿宋_GB2312" w:cs="仿宋_GB2312" w:eastAsia="仿宋_GB2312"/>
              </w:rPr>
              <w:t>天以内的，必须是送货当天生产的货品；保质期在</w:t>
            </w:r>
            <w:r>
              <w:rPr>
                <w:rFonts w:ascii="仿宋_GB2312" w:hAnsi="仿宋_GB2312" w:cs="仿宋_GB2312" w:eastAsia="仿宋_GB2312"/>
              </w:rPr>
              <w:t>7</w:t>
            </w:r>
            <w:r>
              <w:rPr>
                <w:rFonts w:ascii="仿宋_GB2312" w:hAnsi="仿宋_GB2312" w:cs="仿宋_GB2312" w:eastAsia="仿宋_GB2312"/>
              </w:rPr>
              <w:t>天以内的，送货日不超过生产日两日；保质期在</w:t>
            </w:r>
            <w:r>
              <w:rPr>
                <w:rFonts w:ascii="仿宋_GB2312" w:hAnsi="仿宋_GB2312" w:cs="仿宋_GB2312" w:eastAsia="仿宋_GB2312"/>
              </w:rPr>
              <w:t>6</w:t>
            </w:r>
            <w:r>
              <w:rPr>
                <w:rFonts w:ascii="仿宋_GB2312" w:hAnsi="仿宋_GB2312" w:cs="仿宋_GB2312" w:eastAsia="仿宋_GB2312"/>
              </w:rPr>
              <w:t>个月以内的，送货日至保质期到期日的天数必须大于保质期天数的三分之二；</w:t>
            </w:r>
            <w:r>
              <w:rPr>
                <w:rFonts w:ascii="仿宋_GB2312" w:hAnsi="仿宋_GB2312" w:cs="仿宋_GB2312" w:eastAsia="仿宋_GB2312"/>
              </w:rPr>
              <w:t>6</w:t>
            </w:r>
            <w:r>
              <w:rPr>
                <w:rFonts w:ascii="仿宋_GB2312" w:hAnsi="仿宋_GB2312" w:cs="仿宋_GB2312" w:eastAsia="仿宋_GB2312"/>
              </w:rPr>
              <w:t>个月以上的，送货日至保质期到期日的天数必须大于保质期天数的百分之九十。</w:t>
            </w:r>
          </w:p>
          <w:p>
            <w:pPr>
              <w:pStyle w:val="null3"/>
            </w:pPr>
            <w:r>
              <w:rPr>
                <w:rFonts w:ascii="仿宋_GB2312" w:hAnsi="仿宋_GB2312" w:cs="仿宋_GB2312" w:eastAsia="仿宋_GB2312"/>
              </w:rPr>
              <w:t>（二）调味品原料应为非转基因产品，独立定型包装。调味品产品质量标准应符合</w:t>
            </w:r>
            <w:r>
              <w:rPr>
                <w:rFonts w:ascii="仿宋_GB2312" w:hAnsi="仿宋_GB2312" w:cs="仿宋_GB2312" w:eastAsia="仿宋_GB2312"/>
              </w:rPr>
              <w:t xml:space="preserve">GB 18186-2000 </w:t>
            </w:r>
            <w:r>
              <w:rPr>
                <w:rFonts w:ascii="仿宋_GB2312" w:hAnsi="仿宋_GB2312" w:cs="仿宋_GB2312" w:eastAsia="仿宋_GB2312"/>
              </w:rPr>
              <w:t>酿造酱油、</w:t>
            </w:r>
            <w:r>
              <w:rPr>
                <w:rFonts w:ascii="仿宋_GB2312" w:hAnsi="仿宋_GB2312" w:cs="仿宋_GB2312" w:eastAsia="仿宋_GB2312"/>
              </w:rPr>
              <w:t xml:space="preserve">GB 18187-2000 </w:t>
            </w:r>
            <w:r>
              <w:rPr>
                <w:rFonts w:ascii="仿宋_GB2312" w:hAnsi="仿宋_GB2312" w:cs="仿宋_GB2312" w:eastAsia="仿宋_GB2312"/>
              </w:rPr>
              <w:t>酿造食醋、</w:t>
            </w:r>
            <w:r>
              <w:rPr>
                <w:rFonts w:ascii="仿宋_GB2312" w:hAnsi="仿宋_GB2312" w:cs="仿宋_GB2312" w:eastAsia="仿宋_GB2312"/>
              </w:rPr>
              <w:t xml:space="preserve">GB 2721-2015 </w:t>
            </w:r>
            <w:r>
              <w:rPr>
                <w:rFonts w:ascii="仿宋_GB2312" w:hAnsi="仿宋_GB2312" w:cs="仿宋_GB2312" w:eastAsia="仿宋_GB2312"/>
              </w:rPr>
              <w:t>食品安全国家标准食用盐、</w:t>
            </w:r>
            <w:r>
              <w:rPr>
                <w:rFonts w:ascii="仿宋_GB2312" w:hAnsi="仿宋_GB2312" w:cs="仿宋_GB2312" w:eastAsia="仿宋_GB2312"/>
              </w:rPr>
              <w:t xml:space="preserve">QBT 4510-2013 </w:t>
            </w:r>
            <w:r>
              <w:rPr>
                <w:rFonts w:ascii="仿宋_GB2312" w:hAnsi="仿宋_GB2312" w:cs="仿宋_GB2312" w:eastAsia="仿宋_GB2312"/>
              </w:rPr>
              <w:t>食盐小包装制作技术规范等国家相关行业标准和强制性规定。产品包装应符合国家食品包装的要求；包装完整、无渗漏、无破损；应有</w:t>
            </w:r>
            <w:r>
              <w:rPr>
                <w:rFonts w:ascii="仿宋_GB2312" w:hAnsi="仿宋_GB2312" w:cs="仿宋_GB2312" w:eastAsia="仿宋_GB2312"/>
              </w:rPr>
              <w:t>SC</w:t>
            </w:r>
            <w:r>
              <w:rPr>
                <w:rFonts w:ascii="仿宋_GB2312" w:hAnsi="仿宋_GB2312" w:cs="仿宋_GB2312" w:eastAsia="仿宋_GB2312"/>
              </w:rPr>
              <w:t>食品安全认证或有食品生产许可证编号；包装上应注明产品名称、配料表、质量等级、产地、生产日期、保质期、产品标准。</w:t>
            </w:r>
          </w:p>
          <w:p>
            <w:pPr>
              <w:pStyle w:val="null3"/>
            </w:pPr>
            <w:r>
              <w:rPr>
                <w:rFonts w:ascii="仿宋_GB2312" w:hAnsi="仿宋_GB2312" w:cs="仿宋_GB2312" w:eastAsia="仿宋_GB2312"/>
              </w:rPr>
              <w:t>（三）散装类食品：应提供原包装的包装产品信息，包括但不限于产品名称、配料表、质量等级、产地、生产日期、保质期、产品标准等；</w:t>
            </w:r>
          </w:p>
          <w:p>
            <w:pPr>
              <w:pStyle w:val="null3"/>
            </w:pPr>
            <w:r>
              <w:rPr>
                <w:rFonts w:ascii="仿宋_GB2312" w:hAnsi="仿宋_GB2312" w:cs="仿宋_GB2312" w:eastAsia="仿宋_GB2312"/>
              </w:rPr>
              <w:t>（四）不得含有二氧化硫和非法使用添加剂；重金属元素、农药残留不得超标，须优质、无感官异常。必须符合国家《食品安全法》和国务院《关于加强食品安全监督管理的特别规定》。</w:t>
            </w:r>
          </w:p>
          <w:p>
            <w:pPr>
              <w:pStyle w:val="null3"/>
            </w:pPr>
            <w:r>
              <w:rPr>
                <w:rFonts w:ascii="仿宋_GB2312" w:hAnsi="仿宋_GB2312" w:cs="仿宋_GB2312" w:eastAsia="仿宋_GB2312"/>
              </w:rPr>
              <w:t>（五）干货制品的质量基本标准要求符合国家相关行业标准，干爽，不霉烂、整齐、均匀、完整，无虫蛀、无杂质，保持应有的色泽。确保产品质量稳定，保证营养丰富、绿色安全、易存放、食用方便，保质期长。从加工、包装、运输、贮存到销售全部符合国家规定标准。。</w:t>
            </w:r>
          </w:p>
          <w:p>
            <w:pPr>
              <w:pStyle w:val="null3"/>
            </w:pPr>
            <w:r>
              <w:rPr>
                <w:rFonts w:ascii="仿宋_GB2312" w:hAnsi="仿宋_GB2312" w:cs="仿宋_GB2312" w:eastAsia="仿宋_GB2312"/>
              </w:rPr>
              <w:t>2.</w:t>
            </w:r>
            <w:r>
              <w:rPr>
                <w:rFonts w:ascii="仿宋_GB2312" w:hAnsi="仿宋_GB2312" w:cs="仿宋_GB2312" w:eastAsia="仿宋_GB2312"/>
              </w:rPr>
              <w:t>（一）生产企业的资质证明（首次供应时提供）：《营业执照》、《预包装食品生产许可证》《产品质量检验报告》。</w:t>
            </w:r>
          </w:p>
          <w:p>
            <w:pPr>
              <w:pStyle w:val="null3"/>
            </w:pPr>
            <w:r>
              <w:rPr>
                <w:rFonts w:ascii="仿宋_GB2312" w:hAnsi="仿宋_GB2312" w:cs="仿宋_GB2312" w:eastAsia="仿宋_GB2312"/>
                <w:sz w:val="21"/>
              </w:rPr>
              <w:t>（二）首次配送时，应向甲方提供所有参与配送人员有效健康证；更换人员时需另附有效健康证。</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标的名称：米、面、油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1077"/>
              <w:gridCol w:w="1476"/>
            </w:tblGrid>
            <w:tr>
              <w:tc>
                <w:tcPr>
                  <w:tcW w:type="dxa" w:w="10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品名</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面粉</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大米</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大豆油</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菜籽油</w:t>
                  </w:r>
                </w:p>
              </w:tc>
            </w:tr>
          </w:tbl>
          <w:p>
            <w:pPr>
              <w:pStyle w:val="null3"/>
            </w:pPr>
            <w:r>
              <w:rPr>
                <w:rFonts w:ascii="仿宋_GB2312" w:hAnsi="仿宋_GB2312" w:cs="仿宋_GB2312" w:eastAsia="仿宋_GB2312"/>
              </w:rPr>
              <w:t>注：</w:t>
            </w:r>
          </w:p>
          <w:p>
            <w:pPr>
              <w:pStyle w:val="null3"/>
            </w:pPr>
            <w:r>
              <w:rPr>
                <w:rFonts w:ascii="仿宋_GB2312" w:hAnsi="仿宋_GB2312" w:cs="仿宋_GB2312" w:eastAsia="仿宋_GB2312"/>
              </w:rPr>
              <w:t>1.</w:t>
            </w:r>
            <w:r>
              <w:rPr>
                <w:rFonts w:ascii="仿宋_GB2312" w:hAnsi="仿宋_GB2312" w:cs="仿宋_GB2312" w:eastAsia="仿宋_GB2312"/>
              </w:rPr>
              <w:t>投标产品必须符合国家相关标准和强制性规定要求，为质量合格产品。所列产品标准如国家有调整的，应以调整后的最新标准为准。产品生产（包括原料采购、加工、运输、贮存等）应满足《</w:t>
            </w:r>
            <w:r>
              <w:rPr>
                <w:rFonts w:ascii="仿宋_GB2312" w:hAnsi="仿宋_GB2312" w:cs="仿宋_GB2312" w:eastAsia="仿宋_GB2312"/>
              </w:rPr>
              <w:t>GB14881-2013</w:t>
            </w:r>
            <w:r>
              <w:rPr>
                <w:rFonts w:ascii="仿宋_GB2312" w:hAnsi="仿宋_GB2312" w:cs="仿宋_GB2312" w:eastAsia="仿宋_GB2312"/>
              </w:rPr>
              <w:t>食品安全国家标准食品生产通用卫生规范》及相应产品的标准要求。</w:t>
            </w:r>
          </w:p>
          <w:p>
            <w:pPr>
              <w:pStyle w:val="null3"/>
            </w:pPr>
            <w:r>
              <w:rPr>
                <w:rFonts w:ascii="仿宋_GB2312" w:hAnsi="仿宋_GB2312" w:cs="仿宋_GB2312" w:eastAsia="仿宋_GB2312"/>
              </w:rPr>
              <w:t>（一）面粉及面制品类：符合国家标准（如</w:t>
            </w:r>
            <w:r>
              <w:rPr>
                <w:rFonts w:ascii="仿宋_GB2312" w:hAnsi="仿宋_GB2312" w:cs="仿宋_GB2312" w:eastAsia="仿宋_GB2312"/>
              </w:rPr>
              <w:t>GB2760</w:t>
            </w:r>
            <w:r>
              <w:rPr>
                <w:rFonts w:ascii="仿宋_GB2312" w:hAnsi="仿宋_GB2312" w:cs="仿宋_GB2312" w:eastAsia="仿宋_GB2312"/>
              </w:rPr>
              <w:t>、</w:t>
            </w:r>
            <w:r>
              <w:rPr>
                <w:rFonts w:ascii="仿宋_GB2312" w:hAnsi="仿宋_GB2312" w:cs="仿宋_GB2312" w:eastAsia="仿宋_GB2312"/>
              </w:rPr>
              <w:t>GB1355</w:t>
            </w:r>
            <w:r>
              <w:rPr>
                <w:rFonts w:ascii="仿宋_GB2312" w:hAnsi="仿宋_GB2312" w:cs="仿宋_GB2312" w:eastAsia="仿宋_GB2312"/>
              </w:rPr>
              <w:t>等）和国家卫生、安全标准要求。灰分＜</w:t>
            </w:r>
            <w:r>
              <w:rPr>
                <w:rFonts w:ascii="仿宋_GB2312" w:hAnsi="仿宋_GB2312" w:cs="仿宋_GB2312" w:eastAsia="仿宋_GB2312"/>
              </w:rPr>
              <w:t>0.7%</w:t>
            </w:r>
            <w:r>
              <w:rPr>
                <w:rFonts w:ascii="仿宋_GB2312" w:hAnsi="仿宋_GB2312" w:cs="仿宋_GB2312" w:eastAsia="仿宋_GB2312"/>
              </w:rPr>
              <w:t>；粗细度：全部通过</w:t>
            </w:r>
            <w:r>
              <w:rPr>
                <w:rFonts w:ascii="仿宋_GB2312" w:hAnsi="仿宋_GB2312" w:cs="仿宋_GB2312" w:eastAsia="仿宋_GB2312"/>
              </w:rPr>
              <w:t>CB36</w:t>
            </w:r>
            <w:r>
              <w:rPr>
                <w:rFonts w:ascii="仿宋_GB2312" w:hAnsi="仿宋_GB2312" w:cs="仿宋_GB2312" w:eastAsia="仿宋_GB2312"/>
              </w:rPr>
              <w:t>号筛，留存在</w:t>
            </w:r>
            <w:r>
              <w:rPr>
                <w:rFonts w:ascii="仿宋_GB2312" w:hAnsi="仿宋_GB2312" w:cs="仿宋_GB2312" w:eastAsia="仿宋_GB2312"/>
              </w:rPr>
              <w:t>CB42</w:t>
            </w:r>
            <w:r>
              <w:rPr>
                <w:rFonts w:ascii="仿宋_GB2312" w:hAnsi="仿宋_GB2312" w:cs="仿宋_GB2312" w:eastAsia="仿宋_GB2312"/>
              </w:rPr>
              <w:t>号筛的不超过</w:t>
            </w:r>
            <w:r>
              <w:rPr>
                <w:rFonts w:ascii="仿宋_GB2312" w:hAnsi="仿宋_GB2312" w:cs="仿宋_GB2312" w:eastAsia="仿宋_GB2312"/>
              </w:rPr>
              <w:t>10%</w:t>
            </w:r>
            <w:r>
              <w:rPr>
                <w:rFonts w:ascii="仿宋_GB2312" w:hAnsi="仿宋_GB2312" w:cs="仿宋_GB2312" w:eastAsia="仿宋_GB2312"/>
              </w:rPr>
              <w:t>；面筋质＞</w:t>
            </w:r>
            <w:r>
              <w:rPr>
                <w:rFonts w:ascii="仿宋_GB2312" w:hAnsi="仿宋_GB2312" w:cs="仿宋_GB2312" w:eastAsia="仿宋_GB2312"/>
              </w:rPr>
              <w:t>26%</w:t>
            </w:r>
            <w:r>
              <w:rPr>
                <w:rFonts w:ascii="仿宋_GB2312" w:hAnsi="仿宋_GB2312" w:cs="仿宋_GB2312" w:eastAsia="仿宋_GB2312"/>
              </w:rPr>
              <w:t>；含砂量＜</w:t>
            </w:r>
            <w:r>
              <w:rPr>
                <w:rFonts w:ascii="仿宋_GB2312" w:hAnsi="仿宋_GB2312" w:cs="仿宋_GB2312" w:eastAsia="仿宋_GB2312"/>
              </w:rPr>
              <w:t>0.02%</w:t>
            </w:r>
            <w:r>
              <w:rPr>
                <w:rFonts w:ascii="仿宋_GB2312" w:hAnsi="仿宋_GB2312" w:cs="仿宋_GB2312" w:eastAsia="仿宋_GB2312"/>
              </w:rPr>
              <w:t>；磁性金属物＜</w:t>
            </w:r>
            <w:r>
              <w:rPr>
                <w:rFonts w:ascii="仿宋_GB2312" w:hAnsi="仿宋_GB2312" w:cs="仿宋_GB2312" w:eastAsia="仿宋_GB2312"/>
              </w:rPr>
              <w:t>0.003g</w:t>
            </w:r>
            <w:r>
              <w:rPr>
                <w:rFonts w:ascii="仿宋_GB2312" w:hAnsi="仿宋_GB2312" w:cs="仿宋_GB2312" w:eastAsia="仿宋_GB2312"/>
              </w:rPr>
              <w:t>∕</w:t>
            </w:r>
            <w:r>
              <w:rPr>
                <w:rFonts w:ascii="仿宋_GB2312" w:hAnsi="仿宋_GB2312" w:cs="仿宋_GB2312" w:eastAsia="仿宋_GB2312"/>
              </w:rPr>
              <w:t>kg</w:t>
            </w:r>
            <w:r>
              <w:rPr>
                <w:rFonts w:ascii="仿宋_GB2312" w:hAnsi="仿宋_GB2312" w:cs="仿宋_GB2312" w:eastAsia="仿宋_GB2312"/>
              </w:rPr>
              <w:t>；水分</w:t>
            </w:r>
            <w:r>
              <w:rPr>
                <w:rFonts w:ascii="仿宋_GB2312" w:hAnsi="仿宋_GB2312" w:cs="仿宋_GB2312" w:eastAsia="仿宋_GB2312"/>
              </w:rPr>
              <w:t>≤</w:t>
            </w:r>
            <w:r>
              <w:rPr>
                <w:rFonts w:ascii="仿宋_GB2312" w:hAnsi="仿宋_GB2312" w:cs="仿宋_GB2312" w:eastAsia="仿宋_GB2312"/>
              </w:rPr>
              <w:t>14%</w:t>
            </w:r>
            <w:r>
              <w:rPr>
                <w:rFonts w:ascii="仿宋_GB2312" w:hAnsi="仿宋_GB2312" w:cs="仿宋_GB2312" w:eastAsia="仿宋_GB2312"/>
              </w:rPr>
              <w:t>。脂肪酸值＜</w:t>
            </w:r>
            <w:r>
              <w:rPr>
                <w:rFonts w:ascii="仿宋_GB2312" w:hAnsi="仿宋_GB2312" w:cs="仿宋_GB2312" w:eastAsia="仿宋_GB2312"/>
              </w:rPr>
              <w:t>80</w:t>
            </w:r>
            <w:r>
              <w:rPr>
                <w:rFonts w:ascii="仿宋_GB2312" w:hAnsi="仿宋_GB2312" w:cs="仿宋_GB2312" w:eastAsia="仿宋_GB2312"/>
              </w:rPr>
              <w:t>；具有正常的色，香味，无结块、无受潮、无霉变、无虫害；须独立包装，包装上须带有生产日期、保质期及国家生产许可信息标识；</w:t>
            </w:r>
          </w:p>
          <w:p>
            <w:pPr>
              <w:pStyle w:val="null3"/>
            </w:pPr>
            <w:r>
              <w:rPr>
                <w:rFonts w:ascii="仿宋_GB2312" w:hAnsi="仿宋_GB2312" w:cs="仿宋_GB2312" w:eastAsia="仿宋_GB2312"/>
              </w:rPr>
              <w:t>（二）大米类：须符合</w:t>
            </w:r>
            <w:r>
              <w:rPr>
                <w:rFonts w:ascii="仿宋_GB2312" w:hAnsi="仿宋_GB2312" w:cs="仿宋_GB2312" w:eastAsia="仿宋_GB2312"/>
              </w:rPr>
              <w:t xml:space="preserve">GB/T1354 </w:t>
            </w:r>
            <w:r>
              <w:rPr>
                <w:rFonts w:ascii="仿宋_GB2312" w:hAnsi="仿宋_GB2312" w:cs="仿宋_GB2312" w:eastAsia="仿宋_GB2312"/>
              </w:rPr>
              <w:t>。加工精度：背沟无皮，或有皮不成线，米胚和米面皮层去净的占</w:t>
            </w:r>
            <w:r>
              <w:rPr>
                <w:rFonts w:ascii="仿宋_GB2312" w:hAnsi="仿宋_GB2312" w:cs="仿宋_GB2312" w:eastAsia="仿宋_GB2312"/>
              </w:rPr>
              <w:t>90%</w:t>
            </w:r>
            <w:r>
              <w:rPr>
                <w:rFonts w:ascii="仿宋_GB2312" w:hAnsi="仿宋_GB2312" w:cs="仿宋_GB2312" w:eastAsia="仿宋_GB2312"/>
              </w:rPr>
              <w:t>以上；碎米总量：籼米</w:t>
            </w:r>
            <w:r>
              <w:rPr>
                <w:rFonts w:ascii="仿宋_GB2312" w:hAnsi="仿宋_GB2312" w:cs="仿宋_GB2312" w:eastAsia="仿宋_GB2312"/>
              </w:rPr>
              <w:t>≤</w:t>
            </w:r>
            <w:r>
              <w:rPr>
                <w:rFonts w:ascii="仿宋_GB2312" w:hAnsi="仿宋_GB2312" w:cs="仿宋_GB2312" w:eastAsia="仿宋_GB2312"/>
              </w:rPr>
              <w:t>15%</w:t>
            </w:r>
            <w:r>
              <w:rPr>
                <w:rFonts w:ascii="仿宋_GB2312" w:hAnsi="仿宋_GB2312" w:cs="仿宋_GB2312" w:eastAsia="仿宋_GB2312"/>
              </w:rPr>
              <w:t>（其中小碎米</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），粳米</w:t>
            </w:r>
            <w:r>
              <w:rPr>
                <w:rFonts w:ascii="仿宋_GB2312" w:hAnsi="仿宋_GB2312" w:cs="仿宋_GB2312" w:eastAsia="仿宋_GB2312"/>
              </w:rPr>
              <w:t>≤</w:t>
            </w:r>
            <w:r>
              <w:rPr>
                <w:rFonts w:ascii="仿宋_GB2312" w:hAnsi="仿宋_GB2312" w:cs="仿宋_GB2312" w:eastAsia="仿宋_GB2312"/>
              </w:rPr>
              <w:t>7.5%</w:t>
            </w:r>
            <w:r>
              <w:rPr>
                <w:rFonts w:ascii="仿宋_GB2312" w:hAnsi="仿宋_GB2312" w:cs="仿宋_GB2312" w:eastAsia="仿宋_GB2312"/>
              </w:rPr>
              <w:t>（其中小碎米</w:t>
            </w:r>
            <w:r>
              <w:rPr>
                <w:rFonts w:ascii="仿宋_GB2312" w:hAnsi="仿宋_GB2312" w:cs="仿宋_GB2312" w:eastAsia="仿宋_GB2312"/>
              </w:rPr>
              <w:t>≤</w:t>
            </w:r>
            <w:r>
              <w:rPr>
                <w:rFonts w:ascii="仿宋_GB2312" w:hAnsi="仿宋_GB2312" w:cs="仿宋_GB2312" w:eastAsia="仿宋_GB2312"/>
              </w:rPr>
              <w:t>0.5%</w:t>
            </w:r>
            <w:r>
              <w:rPr>
                <w:rFonts w:ascii="仿宋_GB2312" w:hAnsi="仿宋_GB2312" w:cs="仿宋_GB2312" w:eastAsia="仿宋_GB2312"/>
              </w:rPr>
              <w:t>）；不完整米粒：</w:t>
            </w: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；杂质最大限量：</w:t>
            </w:r>
            <w:r>
              <w:rPr>
                <w:rFonts w:ascii="仿宋_GB2312" w:hAnsi="仿宋_GB2312" w:cs="仿宋_GB2312" w:eastAsia="仿宋_GB2312"/>
              </w:rPr>
              <w:t>≤</w:t>
            </w:r>
            <w:r>
              <w:rPr>
                <w:rFonts w:ascii="仿宋_GB2312" w:hAnsi="仿宋_GB2312" w:cs="仿宋_GB2312" w:eastAsia="仿宋_GB2312"/>
              </w:rPr>
              <w:t>0.25%</w:t>
            </w:r>
            <w:r>
              <w:rPr>
                <w:rFonts w:ascii="仿宋_GB2312" w:hAnsi="仿宋_GB2312" w:cs="仿宋_GB2312" w:eastAsia="仿宋_GB2312"/>
              </w:rPr>
              <w:t>；水分：籼米</w:t>
            </w:r>
            <w:r>
              <w:rPr>
                <w:rFonts w:ascii="仿宋_GB2312" w:hAnsi="仿宋_GB2312" w:cs="仿宋_GB2312" w:eastAsia="仿宋_GB2312"/>
              </w:rPr>
              <w:t>≤</w:t>
            </w:r>
            <w:r>
              <w:rPr>
                <w:rFonts w:ascii="仿宋_GB2312" w:hAnsi="仿宋_GB2312" w:cs="仿宋_GB2312" w:eastAsia="仿宋_GB2312"/>
              </w:rPr>
              <w:t>14.5%</w:t>
            </w:r>
            <w:r>
              <w:rPr>
                <w:rFonts w:ascii="仿宋_GB2312" w:hAnsi="仿宋_GB2312" w:cs="仿宋_GB2312" w:eastAsia="仿宋_GB2312"/>
              </w:rPr>
              <w:t>，粳米</w:t>
            </w:r>
            <w:r>
              <w:rPr>
                <w:rFonts w:ascii="仿宋_GB2312" w:hAnsi="仿宋_GB2312" w:cs="仿宋_GB2312" w:eastAsia="仿宋_GB2312"/>
              </w:rPr>
              <w:t>≤</w:t>
            </w:r>
            <w:r>
              <w:rPr>
                <w:rFonts w:ascii="仿宋_GB2312" w:hAnsi="仿宋_GB2312" w:cs="仿宋_GB2312" w:eastAsia="仿宋_GB2312"/>
              </w:rPr>
              <w:t>15.5%</w:t>
            </w:r>
            <w:r>
              <w:rPr>
                <w:rFonts w:ascii="仿宋_GB2312" w:hAnsi="仿宋_GB2312" w:cs="仿宋_GB2312" w:eastAsia="仿宋_GB2312"/>
              </w:rPr>
              <w:t>；黄米粒：</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；具有正常的色，香味，无结块、无受潮、无霉变、无虫害。须独立包装，包装上须带有生产日期、保质期及国家生产许可信息标识，不得采购散装大米。</w:t>
            </w:r>
          </w:p>
          <w:p>
            <w:pPr>
              <w:pStyle w:val="null3"/>
            </w:pPr>
            <w:r>
              <w:rPr>
                <w:rFonts w:ascii="仿宋_GB2312" w:hAnsi="仿宋_GB2312" w:cs="仿宋_GB2312" w:eastAsia="仿宋_GB2312"/>
              </w:rPr>
              <w:t>（三）食用油类：非转基因压榨，符合食用植物油国家标准（如</w:t>
            </w:r>
            <w:r>
              <w:rPr>
                <w:rFonts w:ascii="仿宋_GB2312" w:hAnsi="仿宋_GB2312" w:cs="仿宋_GB2312" w:eastAsia="仿宋_GB2312"/>
              </w:rPr>
              <w:t>GB 2716</w:t>
            </w:r>
            <w:r>
              <w:rPr>
                <w:rFonts w:ascii="仿宋_GB2312" w:hAnsi="仿宋_GB2312" w:cs="仿宋_GB2312" w:eastAsia="仿宋_GB2312"/>
              </w:rPr>
              <w:t>、</w:t>
            </w:r>
            <w:r>
              <w:rPr>
                <w:rFonts w:ascii="仿宋_GB2312" w:hAnsi="仿宋_GB2312" w:cs="仿宋_GB2312" w:eastAsia="仿宋_GB2312"/>
              </w:rPr>
              <w:t>GB /T1536</w:t>
            </w:r>
            <w:r>
              <w:rPr>
                <w:rFonts w:ascii="仿宋_GB2312" w:hAnsi="仿宋_GB2312" w:cs="仿宋_GB2312" w:eastAsia="仿宋_GB2312"/>
              </w:rPr>
              <w:t>、</w:t>
            </w:r>
            <w:r>
              <w:rPr>
                <w:rFonts w:ascii="仿宋_GB2312" w:hAnsi="仿宋_GB2312" w:cs="仿宋_GB2312" w:eastAsia="仿宋_GB2312"/>
              </w:rPr>
              <w:t>GB 19641</w:t>
            </w:r>
            <w:r>
              <w:rPr>
                <w:rFonts w:ascii="仿宋_GB2312" w:hAnsi="仿宋_GB2312" w:cs="仿宋_GB2312" w:eastAsia="仿宋_GB2312"/>
              </w:rPr>
              <w:t>等</w:t>
            </w:r>
            <w:r>
              <w:rPr>
                <w:rFonts w:ascii="仿宋_GB2312" w:hAnsi="仿宋_GB2312" w:cs="仿宋_GB2312" w:eastAsia="仿宋_GB2312"/>
              </w:rPr>
              <w:t>)</w:t>
            </w:r>
            <w:r>
              <w:rPr>
                <w:rFonts w:ascii="仿宋_GB2312" w:hAnsi="仿宋_GB2312" w:cs="仿宋_GB2312" w:eastAsia="仿宋_GB2312"/>
              </w:rPr>
              <w:t>要求和国家卫生、安全标准要求；色泽（罗维朋比色槽</w:t>
            </w:r>
            <w:r>
              <w:rPr>
                <w:rFonts w:ascii="仿宋_GB2312" w:hAnsi="仿宋_GB2312" w:cs="仿宋_GB2312" w:eastAsia="仿宋_GB2312"/>
              </w:rPr>
              <w:t>133.4mm</w:t>
            </w:r>
            <w:r>
              <w:rPr>
                <w:rFonts w:ascii="仿宋_GB2312" w:hAnsi="仿宋_GB2312" w:cs="仿宋_GB2312" w:eastAsia="仿宋_GB2312"/>
              </w:rPr>
              <w:t>）：黄</w:t>
            </w:r>
            <w:r>
              <w:rPr>
                <w:rFonts w:ascii="仿宋_GB2312" w:hAnsi="仿宋_GB2312" w:cs="仿宋_GB2312" w:eastAsia="仿宋_GB2312"/>
              </w:rPr>
              <w:t>≤</w:t>
            </w:r>
            <w:r>
              <w:rPr>
                <w:rFonts w:ascii="仿宋_GB2312" w:hAnsi="仿宋_GB2312" w:cs="仿宋_GB2312" w:eastAsia="仿宋_GB2312"/>
              </w:rPr>
              <w:t>35</w:t>
            </w:r>
            <w:r>
              <w:rPr>
                <w:rFonts w:ascii="仿宋_GB2312" w:hAnsi="仿宋_GB2312" w:cs="仿宋_GB2312" w:eastAsia="仿宋_GB2312"/>
              </w:rPr>
              <w:t>、红</w:t>
            </w:r>
            <w:r>
              <w:rPr>
                <w:rFonts w:ascii="仿宋_GB2312" w:hAnsi="仿宋_GB2312" w:cs="仿宋_GB2312" w:eastAsia="仿宋_GB2312"/>
              </w:rPr>
              <w:t>≤</w:t>
            </w:r>
            <w:r>
              <w:rPr>
                <w:rFonts w:ascii="仿宋_GB2312" w:hAnsi="仿宋_GB2312" w:cs="仿宋_GB2312" w:eastAsia="仿宋_GB2312"/>
              </w:rPr>
              <w:t>7.0</w:t>
            </w:r>
            <w:r>
              <w:rPr>
                <w:rFonts w:ascii="仿宋_GB2312" w:hAnsi="仿宋_GB2312" w:cs="仿宋_GB2312" w:eastAsia="仿宋_GB2312"/>
              </w:rPr>
              <w:t>；气味、滋味：具有食用油固有的气味和滋味，无异味；水分及挥发物：</w:t>
            </w:r>
            <w:r>
              <w:rPr>
                <w:rFonts w:ascii="仿宋_GB2312" w:hAnsi="仿宋_GB2312" w:cs="仿宋_GB2312" w:eastAsia="仿宋_GB2312"/>
              </w:rPr>
              <w:t>≤</w:t>
            </w:r>
            <w:r>
              <w:rPr>
                <w:rFonts w:ascii="仿宋_GB2312" w:hAnsi="仿宋_GB2312" w:cs="仿宋_GB2312" w:eastAsia="仿宋_GB2312"/>
              </w:rPr>
              <w:t>0.2%</w:t>
            </w:r>
            <w:r>
              <w:rPr>
                <w:rFonts w:ascii="仿宋_GB2312" w:hAnsi="仿宋_GB2312" w:cs="仿宋_GB2312" w:eastAsia="仿宋_GB2312"/>
              </w:rPr>
              <w:t>；不溶性杂质：</w:t>
            </w:r>
            <w:r>
              <w:rPr>
                <w:rFonts w:ascii="仿宋_GB2312" w:hAnsi="仿宋_GB2312" w:cs="仿宋_GB2312" w:eastAsia="仿宋_GB2312"/>
              </w:rPr>
              <w:t>≤</w:t>
            </w:r>
            <w:r>
              <w:rPr>
                <w:rFonts w:ascii="仿宋_GB2312" w:hAnsi="仿宋_GB2312" w:cs="仿宋_GB2312" w:eastAsia="仿宋_GB2312"/>
              </w:rPr>
              <w:t>0.05%</w:t>
            </w:r>
            <w:r>
              <w:rPr>
                <w:rFonts w:ascii="仿宋_GB2312" w:hAnsi="仿宋_GB2312" w:cs="仿宋_GB2312" w:eastAsia="仿宋_GB2312"/>
              </w:rPr>
              <w:t>；酸值：</w:t>
            </w:r>
            <w:r>
              <w:rPr>
                <w:rFonts w:ascii="仿宋_GB2312" w:hAnsi="仿宋_GB2312" w:cs="仿宋_GB2312" w:eastAsia="仿宋_GB2312"/>
              </w:rPr>
              <w:t>≤</w:t>
            </w:r>
            <w:r>
              <w:rPr>
                <w:rFonts w:ascii="仿宋_GB2312" w:hAnsi="仿宋_GB2312" w:cs="仿宋_GB2312" w:eastAsia="仿宋_GB2312"/>
              </w:rPr>
              <w:t>3mg</w:t>
            </w:r>
            <w:r>
              <w:rPr>
                <w:rFonts w:ascii="仿宋_GB2312" w:hAnsi="仿宋_GB2312" w:cs="仿宋_GB2312" w:eastAsia="仿宋_GB2312"/>
              </w:rPr>
              <w:t>∕</w:t>
            </w:r>
            <w:r>
              <w:rPr>
                <w:rFonts w:ascii="仿宋_GB2312" w:hAnsi="仿宋_GB2312" w:cs="仿宋_GB2312" w:eastAsia="仿宋_GB2312"/>
              </w:rPr>
              <w:t>g</w:t>
            </w:r>
            <w:r>
              <w:rPr>
                <w:rFonts w:ascii="仿宋_GB2312" w:hAnsi="仿宋_GB2312" w:cs="仿宋_GB2312" w:eastAsia="仿宋_GB2312"/>
              </w:rPr>
              <w:t>；过氧化值：</w:t>
            </w:r>
            <w:r>
              <w:rPr>
                <w:rFonts w:ascii="仿宋_GB2312" w:hAnsi="仿宋_GB2312" w:cs="仿宋_GB2312" w:eastAsia="仿宋_GB2312"/>
              </w:rPr>
              <w:t>6mmol</w:t>
            </w:r>
            <w:r>
              <w:rPr>
                <w:rFonts w:ascii="仿宋_GB2312" w:hAnsi="仿宋_GB2312" w:cs="仿宋_GB2312" w:eastAsia="仿宋_GB2312"/>
              </w:rPr>
              <w:t>∕</w:t>
            </w:r>
            <w:r>
              <w:rPr>
                <w:rFonts w:ascii="仿宋_GB2312" w:hAnsi="仿宋_GB2312" w:cs="仿宋_GB2312" w:eastAsia="仿宋_GB2312"/>
              </w:rPr>
              <w:t>kg</w:t>
            </w:r>
            <w:r>
              <w:rPr>
                <w:rFonts w:ascii="仿宋_GB2312" w:hAnsi="仿宋_GB2312" w:cs="仿宋_GB2312" w:eastAsia="仿宋_GB2312"/>
              </w:rPr>
              <w:t>；加热实验（</w:t>
            </w:r>
            <w:r>
              <w:rPr>
                <w:rFonts w:ascii="仿宋_GB2312" w:hAnsi="仿宋_GB2312" w:cs="仿宋_GB2312" w:eastAsia="仿宋_GB2312"/>
              </w:rPr>
              <w:t>280</w:t>
            </w:r>
            <w:r>
              <w:rPr>
                <w:rFonts w:ascii="仿宋_GB2312" w:hAnsi="仿宋_GB2312" w:cs="仿宋_GB2312" w:eastAsia="仿宋_GB2312"/>
              </w:rPr>
              <w:t>℃）：微量析出物，罗维朋比色：黄色值不变，红色值增小于</w:t>
            </w:r>
            <w:r>
              <w:rPr>
                <w:rFonts w:ascii="仿宋_GB2312" w:hAnsi="仿宋_GB2312" w:cs="仿宋_GB2312" w:eastAsia="仿宋_GB2312"/>
              </w:rPr>
              <w:t>4.0</w:t>
            </w:r>
            <w:r>
              <w:rPr>
                <w:rFonts w:ascii="仿宋_GB2312" w:hAnsi="仿宋_GB2312" w:cs="仿宋_GB2312" w:eastAsia="仿宋_GB2312"/>
              </w:rPr>
              <w:t>，</w:t>
            </w:r>
            <w:r>
              <w:rPr>
                <w:rFonts w:ascii="仿宋_GB2312" w:hAnsi="仿宋_GB2312" w:cs="仿宋_GB2312" w:eastAsia="仿宋_GB2312"/>
              </w:rPr>
              <w:t>0.5</w:t>
            </w:r>
            <w:r>
              <w:rPr>
                <w:rFonts w:ascii="仿宋_GB2312" w:hAnsi="仿宋_GB2312" w:cs="仿宋_GB2312" w:eastAsia="仿宋_GB2312"/>
              </w:rPr>
              <w:t>；溶剂残留量：不得检出。颜色清澈，透明度高，无沉淀物，无分层现象；须独立包装，包装上须带有生产日期、保质期及国家生产许可信息标识</w:t>
            </w:r>
            <w:r>
              <w:rPr>
                <w:rFonts w:ascii="仿宋_GB2312" w:hAnsi="仿宋_GB2312" w:cs="仿宋_GB2312" w:eastAsia="仿宋_GB2312"/>
              </w:rPr>
              <w:t>.</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其他要求：</w:t>
            </w:r>
          </w:p>
          <w:p>
            <w:pPr>
              <w:pStyle w:val="null3"/>
              <w:jc w:val="both"/>
            </w:pPr>
            <w:r>
              <w:rPr>
                <w:rFonts w:ascii="仿宋_GB2312" w:hAnsi="仿宋_GB2312" w:cs="仿宋_GB2312" w:eastAsia="仿宋_GB2312"/>
              </w:rPr>
              <w:t>（一）大米</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品种、产地规格要求：粳米（东北产、</w:t>
            </w:r>
            <w:r>
              <w:rPr>
                <w:rFonts w:ascii="仿宋_GB2312" w:hAnsi="仿宋_GB2312" w:cs="仿宋_GB2312" w:eastAsia="仿宋_GB2312"/>
              </w:rPr>
              <w:t>25kg/</w:t>
            </w:r>
            <w:r>
              <w:rPr>
                <w:rFonts w:ascii="仿宋_GB2312" w:hAnsi="仿宋_GB2312" w:cs="仿宋_GB2312" w:eastAsia="仿宋_GB2312"/>
              </w:rPr>
              <w:t>袋）、圆糯米（东北产，</w:t>
            </w:r>
            <w:r>
              <w:rPr>
                <w:rFonts w:ascii="仿宋_GB2312" w:hAnsi="仿宋_GB2312" w:cs="仿宋_GB2312" w:eastAsia="仿宋_GB2312"/>
              </w:rPr>
              <w:t>50kg/</w:t>
            </w:r>
            <w:r>
              <w:rPr>
                <w:rFonts w:ascii="仿宋_GB2312" w:hAnsi="仿宋_GB2312" w:cs="仿宋_GB2312" w:eastAsia="仿宋_GB2312"/>
              </w:rPr>
              <w:t>袋）。</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质量标准：</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）大米执行标准：</w:t>
            </w:r>
            <w:r>
              <w:rPr>
                <w:rFonts w:ascii="仿宋_GB2312" w:hAnsi="仿宋_GB2312" w:cs="仿宋_GB2312" w:eastAsia="仿宋_GB2312"/>
              </w:rPr>
              <w:t>GB1354</w:t>
            </w:r>
            <w:r>
              <w:rPr>
                <w:rFonts w:ascii="仿宋_GB2312" w:hAnsi="仿宋_GB2312" w:cs="仿宋_GB2312" w:eastAsia="仿宋_GB2312"/>
              </w:rPr>
              <w:t>标准一级米。</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）质量要求：具有大米固有色泽与香味，无污染、虫害，色泽、气味、口味正常；无异味、霉味；无虫蛀、结块、挂丝或杂质等，符合国家粮食卫生标准。</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）包装要求：粳米</w:t>
            </w:r>
            <w:r>
              <w:rPr>
                <w:rFonts w:ascii="仿宋_GB2312" w:hAnsi="仿宋_GB2312" w:cs="仿宋_GB2312" w:eastAsia="仿宋_GB2312"/>
              </w:rPr>
              <w:t>25kg/</w:t>
            </w:r>
            <w:r>
              <w:rPr>
                <w:rFonts w:ascii="仿宋_GB2312" w:hAnsi="仿宋_GB2312" w:cs="仿宋_GB2312" w:eastAsia="仿宋_GB2312"/>
              </w:rPr>
              <w:t>袋，圆糯米</w:t>
            </w:r>
            <w:r>
              <w:rPr>
                <w:rFonts w:ascii="仿宋_GB2312" w:hAnsi="仿宋_GB2312" w:cs="仿宋_GB2312" w:eastAsia="仿宋_GB2312"/>
              </w:rPr>
              <w:t>50kg/</w:t>
            </w:r>
            <w:r>
              <w:rPr>
                <w:rFonts w:ascii="仿宋_GB2312" w:hAnsi="仿宋_GB2312" w:cs="仿宋_GB2312" w:eastAsia="仿宋_GB2312"/>
              </w:rPr>
              <w:t>袋，应符合《粮食销售包装》（</w:t>
            </w:r>
            <w:r>
              <w:rPr>
                <w:rFonts w:ascii="仿宋_GB2312" w:hAnsi="仿宋_GB2312" w:cs="仿宋_GB2312" w:eastAsia="仿宋_GB2312"/>
              </w:rPr>
              <w:t>GB/T17109</w:t>
            </w:r>
            <w:r>
              <w:rPr>
                <w:rFonts w:ascii="仿宋_GB2312" w:hAnsi="仿宋_GB2312" w:cs="仿宋_GB2312" w:eastAsia="仿宋_GB2312"/>
              </w:rPr>
              <w:t>）要求，包装袋清洁无污渍、无破损、无渗漏。</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）标识要求：有生产许可证号，执行标准；标明产品名称、净含量、质量等级、生产企业名称、电话、地址、生产日期、保质期及营养成分表。</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）供货时剩余保质期不少于标注保质期三分之二。</w:t>
            </w:r>
          </w:p>
          <w:p>
            <w:pPr>
              <w:pStyle w:val="null3"/>
            </w:pPr>
            <w:r>
              <w:rPr>
                <w:rFonts w:ascii="仿宋_GB2312" w:hAnsi="仿宋_GB2312" w:cs="仿宋_GB2312" w:eastAsia="仿宋_GB2312"/>
              </w:rPr>
              <w:t>（二）面粉</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品种要求：馒头小麦粉、高筋小麦粉、全麦粉。</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质量标准：</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）馒头粉执行标准：</w:t>
            </w:r>
            <w:r>
              <w:rPr>
                <w:rFonts w:ascii="仿宋_GB2312" w:hAnsi="仿宋_GB2312" w:cs="仿宋_GB2312" w:eastAsia="仿宋_GB2312"/>
              </w:rPr>
              <w:t>LS/T3204</w:t>
            </w:r>
            <w:r>
              <w:rPr>
                <w:rFonts w:ascii="仿宋_GB2312" w:hAnsi="仿宋_GB2312" w:cs="仿宋_GB2312" w:eastAsia="仿宋_GB2312"/>
              </w:rPr>
              <w:t>、高筋粉执行标准：</w:t>
            </w:r>
            <w:r>
              <w:rPr>
                <w:rFonts w:ascii="仿宋_GB2312" w:hAnsi="仿宋_GB2312" w:cs="仿宋_GB2312" w:eastAsia="仿宋_GB2312"/>
              </w:rPr>
              <w:t>GB/T8607</w:t>
            </w:r>
            <w:r>
              <w:rPr>
                <w:rFonts w:ascii="仿宋_GB2312" w:hAnsi="仿宋_GB2312" w:cs="仿宋_GB2312" w:eastAsia="仿宋_GB2312"/>
              </w:rPr>
              <w:t>、全麦粉执行标准：</w:t>
            </w:r>
            <w:r>
              <w:rPr>
                <w:rFonts w:ascii="仿宋_GB2312" w:hAnsi="仿宋_GB2312" w:cs="仿宋_GB2312" w:eastAsia="仿宋_GB2312"/>
              </w:rPr>
              <w:t>LS/T3244</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质量要求：无污染、虫害，色泽、气味、口味正常；无异味、霉味；无虫蛀、结块、挂丝或杂质异物；色泽呈白色或微黄色；外观呈细粉末状，无杂质，手指捻捏时无粗粒感，放开后不成团；具有面粉正常气味，无异味。符合食品安全国家粮食标准</w:t>
            </w:r>
            <w:r>
              <w:rPr>
                <w:rFonts w:ascii="仿宋_GB2312" w:hAnsi="仿宋_GB2312" w:cs="仿宋_GB2312" w:eastAsia="仿宋_GB2312"/>
              </w:rPr>
              <w:t>GB2715</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）包装要求：</w:t>
            </w:r>
            <w:r>
              <w:rPr>
                <w:rFonts w:ascii="仿宋_GB2312" w:hAnsi="仿宋_GB2312" w:cs="仿宋_GB2312" w:eastAsia="仿宋_GB2312"/>
              </w:rPr>
              <w:t>25kg/</w:t>
            </w:r>
            <w:r>
              <w:rPr>
                <w:rFonts w:ascii="仿宋_GB2312" w:hAnsi="仿宋_GB2312" w:cs="仿宋_GB2312" w:eastAsia="仿宋_GB2312"/>
              </w:rPr>
              <w:t>袋，应符合《粮食销售包装》（</w:t>
            </w:r>
            <w:r>
              <w:rPr>
                <w:rFonts w:ascii="仿宋_GB2312" w:hAnsi="仿宋_GB2312" w:cs="仿宋_GB2312" w:eastAsia="仿宋_GB2312"/>
              </w:rPr>
              <w:t>GB/T17109</w:t>
            </w:r>
            <w:r>
              <w:rPr>
                <w:rFonts w:ascii="仿宋_GB2312" w:hAnsi="仿宋_GB2312" w:cs="仿宋_GB2312" w:eastAsia="仿宋_GB2312"/>
              </w:rPr>
              <w:t>）要求，包装袋清洁无污渍，无破损、无渗漏。</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）标识要求：有生产许可证号，执行标准；标明产品名称、净含量、质量等级、生产企业名称、电话、地址、生产日期、保质期及营养成分表。</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）供货时剩余保质期不少于标注保质期三分之二。</w:t>
            </w:r>
          </w:p>
          <w:p>
            <w:pPr>
              <w:pStyle w:val="null3"/>
            </w:pPr>
            <w:r>
              <w:rPr>
                <w:rFonts w:ascii="仿宋_GB2312" w:hAnsi="仿宋_GB2312" w:cs="仿宋_GB2312" w:eastAsia="仿宋_GB2312"/>
              </w:rPr>
              <w:t>（三）食用油</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品种要求：大豆油（非转基因原料生产）、菜籽油（非转基因原料生产）</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质量标准：</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）大豆油执行</w:t>
            </w:r>
            <w:r>
              <w:rPr>
                <w:rFonts w:ascii="仿宋_GB2312" w:hAnsi="仿宋_GB2312" w:cs="仿宋_GB2312" w:eastAsia="仿宋_GB2312"/>
              </w:rPr>
              <w:t>GB1535</w:t>
            </w:r>
            <w:r>
              <w:rPr>
                <w:rFonts w:ascii="仿宋_GB2312" w:hAnsi="仿宋_GB2312" w:cs="仿宋_GB2312" w:eastAsia="仿宋_GB2312"/>
              </w:rPr>
              <w:t>（一级）标准；菜籽油执行</w:t>
            </w:r>
            <w:r>
              <w:rPr>
                <w:rFonts w:ascii="仿宋_GB2312" w:hAnsi="仿宋_GB2312" w:cs="仿宋_GB2312" w:eastAsia="仿宋_GB2312"/>
              </w:rPr>
              <w:t>GB1536</w:t>
            </w:r>
            <w:r>
              <w:rPr>
                <w:rFonts w:ascii="仿宋_GB2312" w:hAnsi="仿宋_GB2312" w:cs="仿宋_GB2312" w:eastAsia="仿宋_GB2312"/>
              </w:rPr>
              <w:t>（三级及以上）标准。</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）质量标准：具有正常植物油的色泽、透明度、气味和滋味，无焦臭、酸败及其它异味。</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包装要求：应符合</w:t>
            </w:r>
            <w:r>
              <w:rPr>
                <w:rFonts w:ascii="仿宋_GB2312" w:hAnsi="仿宋_GB2312" w:cs="仿宋_GB2312" w:eastAsia="仿宋_GB2312"/>
              </w:rPr>
              <w:t>GB7718\GB28050</w:t>
            </w:r>
            <w:r>
              <w:rPr>
                <w:rFonts w:ascii="仿宋_GB2312" w:hAnsi="仿宋_GB2312" w:cs="仿宋_GB2312" w:eastAsia="仿宋_GB2312"/>
              </w:rPr>
              <w:t>要求，包装桶清洁透明、无污渍，无破损、无渗漏，符合国家食品卫生标准的规定。</w:t>
            </w:r>
          </w:p>
          <w:p>
            <w:pPr>
              <w:pStyle w:val="null3"/>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标识要求：有生产许可证号，执行标准；标明产品名称、净含量、生产企业名称、电话、地址、生产日期、保质期及营养成分表。</w:t>
            </w:r>
          </w:p>
          <w:p>
            <w:pPr>
              <w:pStyle w:val="null3"/>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供货时剩余保质期不少于标注保质期三分之二。</w:t>
            </w:r>
          </w:p>
          <w:p>
            <w:pPr>
              <w:pStyle w:val="null3"/>
            </w:pPr>
            <w:r>
              <w:rPr>
                <w:rFonts w:ascii="仿宋_GB2312" w:hAnsi="仿宋_GB2312" w:cs="仿宋_GB2312" w:eastAsia="仿宋_GB2312"/>
                <w:sz w:val="21"/>
              </w:rPr>
              <w:t>3.</w:t>
            </w:r>
            <w:r>
              <w:rPr>
                <w:rFonts w:ascii="仿宋_GB2312" w:hAnsi="仿宋_GB2312" w:cs="仿宋_GB2312" w:eastAsia="仿宋_GB2312"/>
                <w:sz w:val="21"/>
              </w:rPr>
              <w:t>首次配送时，应向甲方提供所有参与配送人员有效健康证；更换人员时需另附有效健康证。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省临潼疗养院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省临潼疗养院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食材配送费用按月结算。结算前，由中标人于每月与采购人就供应数量进行核对，无误后由中标人出具全额发票，否则，采购人有权拒绝付款，无需承担任何责任，且中标人不得以此为由拒绝履行协议义务 ，达到付款条件起60个工作日内，支付合同总金额的100.0%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食材配送费用按月结算。结算前，由中标人于每月与采购人就供应数量进行核对，无误后由中标人出具全额发票，否则，采购人有权拒绝付款，无需承担任何责任，且中标人不得以此为由拒绝履行协议义务 ，达到付款条件起60个工作日内，支付合同总金额的100.0%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本项目每个投标供应商最多只能中两个包。若同一投标供应商在不同标包中综合得分排名第一时，确定其为包号顺序靠前一包的中标供应商，如两个包被推荐为第一中标候选人后，其他相关包推荐综合得分排名第二的投标供应商为该包的中标供应商。本项目标包号作为评标的先后顺序。 3.5.2基准价格确定流程 1)、每个自然周为一个询价周期，采购人派员组成3人以上单数询价小组进行市场询价确定下周基准价格；2)、询价对象：临潼区大型超市（华润万家、全都超市、大可超市）；3)、询价流程：由采购人根据实际需求制定询价表，至少询价3个不同品牌超市，选取同品牌型号同等质量前提下的最低价作为基准价，询价结束后询价小组成员签字确认。 4)、其他没有参考价格的特殊原材料产品本着互利共赢的原则，由双方议价确定供应价格；5)、遇大型活动、突发公共事件、不可抗力等特殊情况无法按期询价的，暂按上一期基准价执行，待询价完成，再执行新基准价。3.5.3结算价格 餐料结算价格=基准价格*（1-优惠率）。 实际结算费用=餐料结算价格×该价格餐料供应数量。 各供应商自行承担每期内的价格波动风险，合理报价，不接受调价申请。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供应商参加政府采购活动承诺书.docx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供应商参加政府采购活动承诺书.docx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提供2025年12月至今已缴存的至少一个月的社会保障资金缴存单据或社保机构开具的社会保险参保缴费情况证明，依法不需要缴纳社会保障资金的单位应提供相关证明材料；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供应商为生产厂家的须具有《食品生产许可证》、《食品经营许可证》；供应商为代理商的须提供《食品经营许可证》；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提供2025年12月至今已缴存的至少一个月的社会保障资金缴存单据或社保机构开具的社会保险参保缴费情况证明，依法不需要缴纳社会保障资金的单位应提供相关证明材料；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供应商为生产厂家的须具有《食品生产许可证》、《食品经营许可证》；供应商为代理商的须提供《食品经营许可证》；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供应商参加政府采购活动承诺书.docx 技术要求偏离表.pdf 投标方案.docx 投标人应提交的相关资格证明材料.docx 投标函 残疾人福利性单位声明函 中小企业声明函 标的清单 优惠率确认表.pdf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供应商参加政府采购活动承诺书.docx 技术要求偏离表.pdf 投标方案.docx 投标人应提交的相关资格证明材料.docx 投标函 中小企业声明函 残疾人福利性单位声明函 标的清单 投标文件封面 优惠率确认表.pdf 商务条款偏离表.docx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供应商参加政府采购活动承诺书.docx 技术要求偏离表.pdf 投标方案.docx 投标人应提交的相关资格证明材料.docx 投标函 残疾人福利性单位声明函 中小企业声明函 标的清单 投标文件封面 优惠率确认表.pdf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技术要求偏离表.pdf 供应商参加政府采购活动承诺书.docx 投标方案.docx 投标人应提交的相关资格证明材料.docx 投标函 中小企业声明函 残疾人福利性单位声明函 标的清单 优惠率确认表.pdf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评审内容：供应商提供的配送服务方案内容包括①供货保障、②管理制度、③运行模式。 以上内容全面详细配送服务方案详细全面、思路清晰、科学合理、切实可行，完全满足采购人需求计6分。 评审内容缺每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评审内容：供应商提供的质量保证方案内容包括①质量安全保证具体措施、②卫生安全、③货物的来源（提供必要的证明材料复印件或扫描件包括但不限于销售协议、代理商授权、检测报告等）、④采购环节控制、⑤加工包装保存运输等环节。以上内容全面详细、目标明确、科学合理 质量保证方案完整、详尽，证明文件齐全计5分； 评审内容缺每一项扣1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评审内容：供应商针对本项目的应急配送方案内容包括①采购人临时需求、②恶劣天气影响、③食材短缺。以上内容全面详细、阐述条理清晰详尽，符合本项目需求得6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货源保障</w:t>
            </w:r>
          </w:p>
        </w:tc>
        <w:tc>
          <w:tcPr>
            <w:tcW w:type="dxa" w:w="2492"/>
          </w:tcPr>
          <w:p>
            <w:pPr>
              <w:pStyle w:val="null3"/>
            </w:pPr>
            <w:r>
              <w:rPr>
                <w:rFonts w:ascii="仿宋_GB2312" w:hAnsi="仿宋_GB2312" w:cs="仿宋_GB2312" w:eastAsia="仿宋_GB2312"/>
              </w:rPr>
              <w:t>提供货源保障的承诺书，内容包括但不限于若后续中标，可完全满足采购人的日常供货需求，若无法满足的自愿接受罚款等处理。提供的承诺内容满足上述要求的得3分，不满足或未提供的不得分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提供售后服务的承诺书，内容包括但不限于因产品质量(过期等)或配送造成一切安全问题(运输途中产生的破损、胀袋等)和后果承担全部责任等。提供的承诺内容满足上述要求的得3分，不满足或未提供的不得分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仓储能力满足本项目需求，包括但不限于配送车间、保鲜仓库冷藏及冷冻仓库仓储等。(提供库房产权证明或租赁合同，附场地彩图)。库房面积≥100平方米得3分;库房面积≥200平方米得6分;库房面积≥500平方米得10分。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供应商应具有符合食品安全要求的运输车辆。如是企业名下或企业负责人名下车辆提供一辆合格车辆得5分，满分10分;(提供购车发票、车辆行驶证、车辆保险；如是租赁车辆提供一辆合格车辆得3分，满分6分;(提供车辆租赁合同、车辆行驶证、车辆保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配备人员</w:t>
            </w:r>
          </w:p>
        </w:tc>
        <w:tc>
          <w:tcPr>
            <w:tcW w:type="dxa" w:w="2492"/>
          </w:tcPr>
          <w:p>
            <w:pPr>
              <w:pStyle w:val="null3"/>
            </w:pPr>
            <w:r>
              <w:rPr>
                <w:rFonts w:ascii="仿宋_GB2312" w:hAnsi="仿宋_GB2312" w:cs="仿宋_GB2312" w:eastAsia="仿宋_GB2312"/>
              </w:rPr>
              <w:t>提供为本项目组建的服务团队(配送及分拣人员2人、司机2人等)人员共计4人，计8分。配备不齐不得分。每增加一人计2分，最高得6分。本项共计12分。(需提供人员健康证、劳动合同;司机还需提供驾驶证复印件)。</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评审内容：所供产品出现不合格、运输途中破损等问题时，供应商接到采购人通知后的响应时间及退换货方案评审。 以上内容全面详细、阐述条理清晰详尽，符合本项目需求得3分； 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提供投标人2023年7月至今的类似项目业绩（业绩证明材料以甲乙双方签订的合同为依据），每提供一份计2分，满分10分,未提供的或内容、时间不符合要求的不得分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价格分统一采用低价优先法计算，即满足招标文件要求且优惠率最大的投标报价为评标基准价（即评标基准价=1-优惠率），其价格分为满分。其他投标人的价格分统一按照下列公式计算： 投标报价得分=(评标基准价／（1-其他投标人的优惠率）)×30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评审内容：供应商提供的配送服务方案内容包括①供货保障、②管理制度、③运行模式。 以上内容全面详细配送服务方案详细全面、思路清晰、科学合理、切实可行，完全满足采购人需求计6分。 评审内容缺每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评审内容：供应商提供的质量保证方案内容包括①质量安全保证具体措施、②卫生安全、③货物的来源（提供必要的证明材料复印件或扫描件包括但不限于销售协议、代理商授权、检测报告等）、④采购环节控制、⑤加工包装保存运输等环节。以上内容全面详细、目标明确、科学合理 质量保证方案完整、详尽，证明文件齐全计5分； 评审内容缺每一项扣1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评审内容：供应商针对本项目的应急配送方案内容包括①采购人临时需求、②恶劣天气影响、③食材短缺。以上内容全面详细、阐述条理清晰详尽，符合本项目需求得6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货源保障</w:t>
            </w:r>
          </w:p>
        </w:tc>
        <w:tc>
          <w:tcPr>
            <w:tcW w:type="dxa" w:w="2492"/>
          </w:tcPr>
          <w:p>
            <w:pPr>
              <w:pStyle w:val="null3"/>
            </w:pPr>
            <w:r>
              <w:rPr>
                <w:rFonts w:ascii="仿宋_GB2312" w:hAnsi="仿宋_GB2312" w:cs="仿宋_GB2312" w:eastAsia="仿宋_GB2312"/>
              </w:rPr>
              <w:t>提供货源保障的承诺书，内容包括但不限于若后续中标，可完全满足采购人的日常供货需求，若无法满足的自愿接受罚款等处理。提供的承诺内容满足上述要求的得3分，不满足或未提供的不得分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提供售后服务的承诺书，内容包括但不限于因产品质量(过期等)或配送造成一切安全问题(运输途中产生的破损、胀袋等)和后果承担全部责任等。提供的承诺内容满足上述要求的得3分，不满足或未提供的不得分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仓储能力满足本项目需求，包括但不限于配送车间、保鲜仓库冷藏及冷冻仓库仓储等。(提供库房产权证明或租赁合同，附场地彩图)。库房面积≥100平方米得3分;库房面积≥200平方米得6分;库房面积≥500平方米得10分。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供应商应具有符合食品安全要求的运输车辆。如是企业名下或企业负责人名下车辆提供一辆合格车辆得5分，满分10分;(提供购车发票、车辆行驶证、车辆保险；如是租赁车辆提供一辆合格车辆得3分，满分6分;(提供车辆租赁合同、车辆行驶证、车辆保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配备人员</w:t>
            </w:r>
          </w:p>
        </w:tc>
        <w:tc>
          <w:tcPr>
            <w:tcW w:type="dxa" w:w="2492"/>
          </w:tcPr>
          <w:p>
            <w:pPr>
              <w:pStyle w:val="null3"/>
            </w:pPr>
            <w:r>
              <w:rPr>
                <w:rFonts w:ascii="仿宋_GB2312" w:hAnsi="仿宋_GB2312" w:cs="仿宋_GB2312" w:eastAsia="仿宋_GB2312"/>
              </w:rPr>
              <w:t>提供为本项目组建的服务团队(配送及分拣人员2人、司机2人等)人员共计4人，计8分。配备不齐不得分。每增加一人计2分，最高得6分。本项共计12分。(需提供人员健康证、劳动合同;司机还需提供驾驶证复印件)。</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评审内容：所供产品出现不合格、运输途中破损等问题时，供应商接到采购人通知后的响应时间及退换货方案评审。 以上内容全面详细、阐述条理清晰详尽，符合本项目需求得3分； 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提供投标人2023年7月至今的类似项目业绩（业绩证明材料以甲乙双方签订的合同为依据），每提供一份计2分，满分10分,未提供的或内容、时间不符合要求的不得分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价格分统一采用低价优先法计算，即满足招标文件要求且优惠率最大的投标报价为评标基准价（即评标基准价=1-优惠率），其价格分为满分。其他投标人的价格分统一按照下列公式计算： 投标报价得分=(评标基准价／（1-其他投标人的优惠率）)×30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详见附件：优惠率确认表.pdf</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详见附件：技术要求偏离表.pdf</w:t>
      </w:r>
    </w:p>
    <w:p>
      <w:pPr>
        <w:pStyle w:val="null3"/>
        <w:ind w:firstLine="960"/>
      </w:pPr>
      <w:r>
        <w:rPr>
          <w:rFonts w:ascii="仿宋_GB2312" w:hAnsi="仿宋_GB2312" w:cs="仿宋_GB2312" w:eastAsia="仿宋_GB2312"/>
        </w:rPr>
        <w:t>详见附件：供应商参加政府采购活动承诺书.docx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详见附件：优惠率确认表.pdf</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详见附件：技术要求偏离表.pdf</w:t>
      </w:r>
    </w:p>
    <w:p>
      <w:pPr>
        <w:pStyle w:val="null3"/>
        <w:ind w:firstLine="960"/>
      </w:pPr>
      <w:r>
        <w:rPr>
          <w:rFonts w:ascii="仿宋_GB2312" w:hAnsi="仿宋_GB2312" w:cs="仿宋_GB2312" w:eastAsia="仿宋_GB2312"/>
        </w:rPr>
        <w:t>详见附件：供应商参加政府采购活动承诺书.docx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