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FBBB7">
      <w:pPr>
        <w:pStyle w:val="11"/>
        <w:jc w:val="center"/>
        <w:outlineLvl w:val="1"/>
        <w:rPr>
          <w:rFonts w:hint="default"/>
        </w:rPr>
      </w:pPr>
      <w:r>
        <w:rPr>
          <w:rFonts w:ascii="仿宋_GB2312" w:hAnsi="仿宋_GB2312" w:eastAsia="仿宋_GB2312" w:cs="仿宋_GB2312"/>
          <w:b/>
          <w:sz w:val="36"/>
        </w:rPr>
        <w:t>拟签订采购合同文本</w:t>
      </w:r>
    </w:p>
    <w:p w14:paraId="506F1D47">
      <w:pPr>
        <w:jc w:val="left"/>
        <w:rPr>
          <w:rFonts w:ascii="黑体" w:eastAsia="黑体"/>
          <w:b/>
          <w:sz w:val="32"/>
          <w:szCs w:val="32"/>
        </w:rPr>
      </w:pPr>
      <w:r>
        <w:rPr>
          <w:rFonts w:hint="eastAsia" w:ascii="宋体" w:hAnsi="宋体" w:cs="宋体"/>
          <w:bCs/>
          <w:szCs w:val="21"/>
        </w:rPr>
        <w:t>合同编号：</w:t>
      </w:r>
    </w:p>
    <w:p w14:paraId="2E050EAA">
      <w:pPr>
        <w:jc w:val="center"/>
        <w:rPr>
          <w:rFonts w:ascii="黑体" w:eastAsia="黑体"/>
          <w:sz w:val="52"/>
          <w:szCs w:val="52"/>
        </w:rPr>
      </w:pPr>
    </w:p>
    <w:p w14:paraId="236D6326">
      <w:pPr>
        <w:jc w:val="center"/>
        <w:rPr>
          <w:rFonts w:ascii="黑体" w:eastAsia="黑体"/>
          <w:sz w:val="52"/>
          <w:szCs w:val="52"/>
        </w:rPr>
      </w:pPr>
    </w:p>
    <w:p w14:paraId="6EDAC96B">
      <w:pPr>
        <w:tabs>
          <w:tab w:val="left" w:pos="5670"/>
        </w:tabs>
        <w:autoSpaceDE w:val="0"/>
        <w:autoSpaceDN w:val="0"/>
        <w:adjustRightInd w:val="0"/>
        <w:snapToGrid w:val="0"/>
        <w:spacing w:line="360" w:lineRule="auto"/>
        <w:jc w:val="center"/>
        <w:rPr>
          <w:rFonts w:ascii="宋体"/>
          <w:b/>
          <w:spacing w:val="-20"/>
          <w:sz w:val="52"/>
          <w:szCs w:val="52"/>
        </w:rPr>
      </w:pPr>
      <w:r>
        <w:rPr>
          <w:rFonts w:hint="eastAsia" w:ascii="宋体" w:hAnsi="宋体"/>
          <w:b/>
          <w:spacing w:val="-20"/>
          <w:sz w:val="52"/>
          <w:szCs w:val="52"/>
        </w:rPr>
        <w:t>西安外国语大学            项目</w:t>
      </w:r>
    </w:p>
    <w:p w14:paraId="28807F4F">
      <w:pPr>
        <w:ind w:firstLine="705" w:firstLineChars="147"/>
        <w:jc w:val="center"/>
        <w:outlineLvl w:val="0"/>
        <w:rPr>
          <w:rFonts w:ascii="宋体"/>
          <w:b/>
          <w:spacing w:val="-20"/>
          <w:sz w:val="52"/>
          <w:szCs w:val="52"/>
        </w:rPr>
      </w:pPr>
      <w:bookmarkStart w:id="0" w:name="_Toc4766"/>
      <w:bookmarkStart w:id="1" w:name="_Toc15229"/>
      <w:bookmarkStart w:id="2" w:name="_Toc21010"/>
      <w:bookmarkStart w:id="3" w:name="_Toc27654"/>
      <w:bookmarkStart w:id="4" w:name="_Toc6447"/>
      <w:bookmarkStart w:id="5" w:name="_Toc12015"/>
      <w:bookmarkStart w:id="6" w:name="_Toc4800"/>
      <w:bookmarkStart w:id="7" w:name="_Toc7449"/>
      <w:bookmarkStart w:id="8" w:name="_Toc28338"/>
      <w:bookmarkStart w:id="9" w:name="_Toc23726"/>
      <w:bookmarkStart w:id="10" w:name="_Toc9247"/>
      <w:bookmarkStart w:id="11" w:name="_Toc2063"/>
      <w:bookmarkStart w:id="12" w:name="_Toc1453"/>
      <w:bookmarkStart w:id="13" w:name="_Toc21471"/>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6823C30F">
      <w:pPr>
        <w:jc w:val="center"/>
        <w:rPr>
          <w:rFonts w:ascii="黑体" w:eastAsia="黑体"/>
          <w:sz w:val="30"/>
          <w:szCs w:val="30"/>
        </w:rPr>
      </w:pPr>
    </w:p>
    <w:p w14:paraId="1A65B71E">
      <w:pPr>
        <w:rPr>
          <w:rFonts w:ascii="黑体" w:eastAsia="黑体"/>
          <w:sz w:val="30"/>
          <w:szCs w:val="30"/>
        </w:rPr>
      </w:pPr>
    </w:p>
    <w:p w14:paraId="1FD679B0">
      <w:pPr>
        <w:rPr>
          <w:rFonts w:ascii="黑体" w:eastAsia="黑体"/>
          <w:sz w:val="30"/>
          <w:szCs w:val="30"/>
        </w:rPr>
      </w:pPr>
    </w:p>
    <w:p w14:paraId="46E66E6D">
      <w:pPr>
        <w:pStyle w:val="4"/>
      </w:pPr>
    </w:p>
    <w:p w14:paraId="253B6092">
      <w:pPr>
        <w:pStyle w:val="4"/>
      </w:pPr>
    </w:p>
    <w:p w14:paraId="7F174CE3">
      <w:pPr>
        <w:pStyle w:val="4"/>
      </w:pPr>
    </w:p>
    <w:p w14:paraId="3FCBA170">
      <w:pPr>
        <w:pStyle w:val="4"/>
      </w:pPr>
    </w:p>
    <w:p w14:paraId="30283F43">
      <w:pPr>
        <w:pStyle w:val="4"/>
      </w:pPr>
    </w:p>
    <w:p w14:paraId="308A8D36">
      <w:pPr>
        <w:rPr>
          <w:rFonts w:ascii="黑体" w:eastAsia="黑体"/>
          <w:sz w:val="30"/>
          <w:szCs w:val="30"/>
        </w:rPr>
      </w:pPr>
    </w:p>
    <w:p w14:paraId="60C3A69A">
      <w:pPr>
        <w:ind w:firstLine="2080" w:firstLineChars="650"/>
        <w:rPr>
          <w:rFonts w:ascii="宋体"/>
          <w:sz w:val="32"/>
          <w:szCs w:val="32"/>
        </w:rPr>
      </w:pPr>
      <w:r>
        <w:rPr>
          <w:rFonts w:hint="eastAsia" w:ascii="宋体" w:hAnsi="宋体"/>
          <w:sz w:val="32"/>
          <w:szCs w:val="32"/>
        </w:rPr>
        <w:t>甲方：西安外国语大学</w:t>
      </w:r>
    </w:p>
    <w:p w14:paraId="76AC5060">
      <w:pPr>
        <w:tabs>
          <w:tab w:val="left" w:pos="480"/>
        </w:tabs>
        <w:ind w:firstLine="2080" w:firstLineChars="650"/>
        <w:rPr>
          <w:rFonts w:ascii="宋体"/>
          <w:sz w:val="32"/>
          <w:szCs w:val="32"/>
        </w:rPr>
      </w:pPr>
      <w:r>
        <w:rPr>
          <w:rFonts w:hint="eastAsia" w:ascii="宋体" w:hAnsi="宋体"/>
          <w:sz w:val="32"/>
          <w:szCs w:val="32"/>
        </w:rPr>
        <w:t>乙方：</w:t>
      </w:r>
    </w:p>
    <w:p w14:paraId="3450E458">
      <w:pPr>
        <w:pStyle w:val="12"/>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5F5EC1F1">
      <w:pPr>
        <w:jc w:val="center"/>
        <w:rPr>
          <w:rFonts w:ascii="黑体" w:eastAsia="黑体"/>
          <w:sz w:val="30"/>
          <w:szCs w:val="30"/>
        </w:rPr>
      </w:pPr>
    </w:p>
    <w:p w14:paraId="61F58F36">
      <w:pPr>
        <w:pStyle w:val="4"/>
      </w:pPr>
    </w:p>
    <w:p w14:paraId="7D099579">
      <w:pPr>
        <w:pStyle w:val="4"/>
      </w:pPr>
    </w:p>
    <w:p w14:paraId="65AA841C">
      <w:pPr>
        <w:jc w:val="center"/>
        <w:outlineLvl w:val="0"/>
        <w:rPr>
          <w:rFonts w:ascii="黑体" w:eastAsia="黑体"/>
          <w:sz w:val="32"/>
          <w:szCs w:val="32"/>
        </w:rPr>
      </w:pPr>
      <w:bookmarkStart w:id="14" w:name="_Toc16696"/>
      <w:bookmarkStart w:id="15" w:name="_Toc21769"/>
      <w:bookmarkStart w:id="16" w:name="_Toc25053"/>
      <w:bookmarkStart w:id="17" w:name="_Toc27214"/>
      <w:bookmarkStart w:id="18" w:name="_Toc1075"/>
      <w:bookmarkStart w:id="19" w:name="_Toc15790"/>
      <w:bookmarkStart w:id="20" w:name="_Toc14444"/>
      <w:bookmarkStart w:id="21" w:name="_Toc21875"/>
      <w:bookmarkStart w:id="22" w:name="_Toc29335"/>
      <w:bookmarkStart w:id="23" w:name="_Toc22798"/>
      <w:bookmarkStart w:id="24" w:name="_Toc30907"/>
      <w:bookmarkStart w:id="25" w:name="_Toc4189"/>
      <w:bookmarkStart w:id="26" w:name="_Toc13740"/>
      <w:bookmarkStart w:id="27" w:name="_Toc7714"/>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966CDC7">
      <w:pPr>
        <w:jc w:val="center"/>
        <w:rPr>
          <w:rFonts w:ascii="黑体" w:eastAsia="黑体"/>
          <w:sz w:val="32"/>
          <w:szCs w:val="32"/>
        </w:rPr>
      </w:pPr>
      <w:r>
        <w:rPr>
          <w:rFonts w:hint="eastAsia" w:ascii="黑体" w:eastAsia="黑体"/>
          <w:sz w:val="32"/>
          <w:szCs w:val="32"/>
        </w:rPr>
        <w:t>中国西安</w:t>
      </w:r>
    </w:p>
    <w:p w14:paraId="6E573557">
      <w:pPr>
        <w:spacing w:line="520" w:lineRule="exact"/>
        <w:jc w:val="center"/>
        <w:rPr>
          <w:rFonts w:ascii="宋体"/>
          <w:b/>
          <w:sz w:val="44"/>
          <w:szCs w:val="44"/>
        </w:rPr>
      </w:pPr>
      <w:r>
        <w:rPr>
          <w:rFonts w:ascii="黑体" w:eastAsia="黑体"/>
          <w:sz w:val="32"/>
          <w:szCs w:val="32"/>
        </w:rPr>
        <w:br w:type="page"/>
      </w:r>
      <w:r>
        <w:rPr>
          <w:rFonts w:hint="eastAsia" w:ascii="宋体" w:hAnsi="宋体"/>
          <w:b/>
          <w:sz w:val="44"/>
          <w:szCs w:val="44"/>
        </w:rPr>
        <w:t>供货合同</w:t>
      </w:r>
    </w:p>
    <w:p w14:paraId="25ABC34B">
      <w:pPr>
        <w:tabs>
          <w:tab w:val="left" w:pos="5670"/>
        </w:tabs>
        <w:autoSpaceDE w:val="0"/>
        <w:autoSpaceDN w:val="0"/>
        <w:adjustRightInd w:val="0"/>
        <w:snapToGrid w:val="0"/>
        <w:spacing w:line="520" w:lineRule="exact"/>
        <w:ind w:firstLine="140" w:firstLineChars="50"/>
        <w:jc w:val="left"/>
        <w:rPr>
          <w:rFonts w:ascii="宋体"/>
          <w:sz w:val="28"/>
          <w:szCs w:val="28"/>
        </w:rPr>
      </w:pPr>
    </w:p>
    <w:p w14:paraId="6E66817F">
      <w:pPr>
        <w:spacing w:line="520" w:lineRule="exact"/>
        <w:ind w:firstLine="560"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0C251B05">
      <w:pPr>
        <w:spacing w:line="520" w:lineRule="exact"/>
        <w:ind w:firstLine="560" w:firstLineChars="200"/>
        <w:rPr>
          <w:rFonts w:ascii="宋体"/>
          <w:sz w:val="28"/>
          <w:szCs w:val="28"/>
        </w:rPr>
      </w:pPr>
      <w:r>
        <w:rPr>
          <w:rFonts w:hint="eastAsia" w:ascii="宋体" w:hAnsi="宋体"/>
          <w:b/>
          <w:sz w:val="28"/>
          <w:szCs w:val="28"/>
        </w:rPr>
        <w:t>乙方：</w:t>
      </w:r>
    </w:p>
    <w:p w14:paraId="4E2F83FC">
      <w:pPr>
        <w:spacing w:line="520" w:lineRule="exact"/>
        <w:ind w:firstLine="560" w:firstLineChars="200"/>
        <w:rPr>
          <w:rFonts w:ascii="宋体"/>
          <w:sz w:val="28"/>
          <w:szCs w:val="28"/>
        </w:rPr>
      </w:pPr>
      <w:r>
        <w:rPr>
          <w:rFonts w:hint="eastAsia" w:ascii="宋体" w:hAnsi="宋体"/>
          <w:b/>
          <w:sz w:val="28"/>
          <w:szCs w:val="28"/>
        </w:rPr>
        <w:t>鉴证方：</w:t>
      </w:r>
    </w:p>
    <w:p w14:paraId="08AB41B1">
      <w:pPr>
        <w:tabs>
          <w:tab w:val="left" w:pos="5670"/>
        </w:tabs>
        <w:autoSpaceDE w:val="0"/>
        <w:autoSpaceDN w:val="0"/>
        <w:adjustRightInd w:val="0"/>
        <w:snapToGrid w:val="0"/>
        <w:spacing w:line="520" w:lineRule="exact"/>
        <w:ind w:firstLine="280" w:firstLineChars="100"/>
        <w:jc w:val="left"/>
        <w:rPr>
          <w:rFonts w:ascii="宋体"/>
          <w:sz w:val="28"/>
          <w:szCs w:val="28"/>
        </w:rPr>
      </w:pPr>
    </w:p>
    <w:p w14:paraId="2D2B4010">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                           项目招标文件，由</w:t>
      </w:r>
      <w:r>
        <w:rPr>
          <w:rFonts w:hint="eastAsia" w:ascii="宋体" w:hAnsi="宋体"/>
          <w:sz w:val="28"/>
          <w:szCs w:val="28"/>
          <w:u w:val="single"/>
        </w:rPr>
        <w:t>XXXXXXXXXXXX</w:t>
      </w:r>
      <w:r>
        <w:rPr>
          <w:rFonts w:hint="eastAsia" w:ascii="宋体" w:hAnsi="宋体"/>
          <w:sz w:val="28"/>
          <w:szCs w:val="28"/>
        </w:rPr>
        <w:t>组织            (采购方式)，经甲方确认，选定乙方为                   项目的成交单位。甲、乙双方经平等协商，自愿达成如下合同条款。</w:t>
      </w:r>
    </w:p>
    <w:p w14:paraId="2B32F618">
      <w:pPr>
        <w:numPr>
          <w:ilvl w:val="0"/>
          <w:numId w:val="1"/>
        </w:numPr>
        <w:tabs>
          <w:tab w:val="left" w:pos="320"/>
          <w:tab w:val="left" w:pos="480"/>
          <w:tab w:val="left" w:pos="846"/>
        </w:tabs>
        <w:spacing w:line="520" w:lineRule="exact"/>
        <w:ind w:firstLine="560" w:firstLineChars="200"/>
        <w:rPr>
          <w:rStyle w:val="13"/>
          <w:rFonts w:hint="eastAsia" w:ascii="宋体" w:hAnsi="宋体" w:eastAsia="宋体"/>
          <w:sz w:val="28"/>
          <w:szCs w:val="28"/>
        </w:rPr>
      </w:pPr>
      <w:bookmarkStart w:id="28" w:name="_Toc3969"/>
      <w:bookmarkStart w:id="29" w:name="_Toc12808"/>
      <w:bookmarkStart w:id="30" w:name="_Toc22380"/>
      <w:bookmarkStart w:id="31" w:name="_Toc4508"/>
      <w:bookmarkStart w:id="32" w:name="_Toc20980"/>
      <w:bookmarkStart w:id="33" w:name="_Toc19329"/>
      <w:bookmarkStart w:id="34" w:name="_Toc6404"/>
      <w:r>
        <w:rPr>
          <w:rStyle w:val="13"/>
          <w:rFonts w:hint="eastAsia" w:ascii="宋体" w:hAnsi="宋体" w:eastAsia="宋体"/>
          <w:sz w:val="28"/>
          <w:szCs w:val="28"/>
        </w:rPr>
        <w:t>合同标的物内容及数量（详见附件</w:t>
      </w:r>
      <w:r>
        <w:rPr>
          <w:rStyle w:val="13"/>
          <w:rFonts w:ascii="宋体" w:hAnsi="宋体" w:eastAsia="宋体"/>
          <w:sz w:val="28"/>
          <w:szCs w:val="28"/>
        </w:rPr>
        <w:t>1</w:t>
      </w:r>
      <w:r>
        <w:rPr>
          <w:rStyle w:val="13"/>
          <w:rFonts w:hint="eastAsia" w:ascii="宋体" w:hAnsi="宋体" w:eastAsia="宋体"/>
          <w:sz w:val="28"/>
          <w:szCs w:val="28"/>
        </w:rPr>
        <w:t>）</w:t>
      </w:r>
      <w:bookmarkEnd w:id="28"/>
      <w:bookmarkEnd w:id="29"/>
      <w:bookmarkEnd w:id="30"/>
      <w:bookmarkEnd w:id="31"/>
      <w:bookmarkEnd w:id="32"/>
    </w:p>
    <w:bookmarkEnd w:id="33"/>
    <w:bookmarkEnd w:id="34"/>
    <w:p w14:paraId="4645AD31">
      <w:pPr>
        <w:kinsoku w:val="0"/>
        <w:spacing w:line="520" w:lineRule="exact"/>
        <w:ind w:firstLine="700" w:firstLineChars="250"/>
        <w:rPr>
          <w:rFonts w:hint="eastAsia"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5989B596">
      <w:pPr>
        <w:numPr>
          <w:ilvl w:val="0"/>
          <w:numId w:val="1"/>
        </w:numPr>
        <w:tabs>
          <w:tab w:val="left" w:pos="320"/>
          <w:tab w:val="left" w:pos="480"/>
          <w:tab w:val="left" w:pos="846"/>
        </w:tabs>
        <w:spacing w:line="520" w:lineRule="exact"/>
        <w:ind w:firstLine="560" w:firstLineChars="200"/>
        <w:rPr>
          <w:rStyle w:val="13"/>
          <w:rFonts w:ascii="宋体" w:hAnsi="Calibri" w:eastAsia="宋体"/>
          <w:sz w:val="28"/>
          <w:szCs w:val="28"/>
        </w:rPr>
      </w:pPr>
      <w:bookmarkStart w:id="35" w:name="_Toc2435"/>
      <w:bookmarkStart w:id="36" w:name="_Toc11184"/>
      <w:bookmarkStart w:id="37" w:name="_Toc5897"/>
      <w:bookmarkStart w:id="38" w:name="_Toc31945"/>
      <w:bookmarkStart w:id="39" w:name="_Toc4336"/>
      <w:bookmarkStart w:id="40" w:name="_Toc12848"/>
      <w:bookmarkStart w:id="41" w:name="_Toc29232"/>
      <w:r>
        <w:rPr>
          <w:rStyle w:val="13"/>
          <w:rFonts w:hint="eastAsia" w:ascii="宋体" w:hAnsi="宋体" w:eastAsia="宋体"/>
          <w:sz w:val="28"/>
          <w:szCs w:val="28"/>
        </w:rPr>
        <w:t>合同价款</w:t>
      </w:r>
      <w:bookmarkEnd w:id="35"/>
      <w:bookmarkEnd w:id="36"/>
      <w:bookmarkEnd w:id="37"/>
      <w:bookmarkEnd w:id="38"/>
      <w:bookmarkEnd w:id="39"/>
    </w:p>
    <w:bookmarkEnd w:id="40"/>
    <w:bookmarkEnd w:id="41"/>
    <w:p w14:paraId="50DF6174">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0A7AF7A3">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5A1DA78F">
      <w:pPr>
        <w:spacing w:line="520" w:lineRule="exact"/>
        <w:ind w:firstLine="490" w:firstLineChars="175"/>
        <w:rPr>
          <w:rFonts w:hint="eastAsia"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125E233F">
      <w:pPr>
        <w:spacing w:line="520" w:lineRule="exact"/>
        <w:ind w:firstLine="490" w:firstLineChars="175"/>
        <w:rPr>
          <w:rFonts w:hint="eastAsia" w:ascii="宋体" w:hAnsi="宋体"/>
          <w:sz w:val="28"/>
          <w:szCs w:val="28"/>
        </w:rPr>
      </w:pPr>
      <w:r>
        <w:rPr>
          <w:rFonts w:hint="eastAsia" w:ascii="宋体" w:hAnsi="宋体"/>
          <w:sz w:val="28"/>
          <w:szCs w:val="28"/>
        </w:rPr>
        <w:t>(四)乙方在签合同前须向甲方支付合同总价的5%作为履约保证金。</w:t>
      </w:r>
    </w:p>
    <w:p w14:paraId="7385AF59">
      <w:pPr>
        <w:numPr>
          <w:ilvl w:val="0"/>
          <w:numId w:val="1"/>
        </w:numPr>
        <w:tabs>
          <w:tab w:val="left" w:pos="320"/>
          <w:tab w:val="left" w:pos="480"/>
          <w:tab w:val="left" w:pos="846"/>
        </w:tabs>
        <w:spacing w:line="520" w:lineRule="exact"/>
        <w:ind w:firstLine="560" w:firstLineChars="200"/>
        <w:rPr>
          <w:rStyle w:val="13"/>
          <w:rFonts w:ascii="宋体" w:hAnsi="Calibri" w:eastAsia="宋体"/>
          <w:sz w:val="28"/>
          <w:szCs w:val="28"/>
        </w:rPr>
      </w:pPr>
      <w:bookmarkStart w:id="42" w:name="_Toc32210"/>
      <w:bookmarkStart w:id="43" w:name="_Toc2457"/>
      <w:bookmarkStart w:id="44" w:name="_Toc15256"/>
      <w:bookmarkStart w:id="45" w:name="_Toc22027"/>
      <w:bookmarkStart w:id="46" w:name="_Toc23736"/>
      <w:r>
        <w:rPr>
          <w:rStyle w:val="13"/>
          <w:rFonts w:hint="eastAsia" w:ascii="宋体" w:hAnsi="宋体" w:eastAsia="宋体"/>
          <w:sz w:val="28"/>
          <w:szCs w:val="28"/>
        </w:rPr>
        <w:t>款项结算</w:t>
      </w:r>
    </w:p>
    <w:bookmarkEnd w:id="42"/>
    <w:bookmarkEnd w:id="43"/>
    <w:bookmarkEnd w:id="44"/>
    <w:bookmarkEnd w:id="45"/>
    <w:bookmarkEnd w:id="46"/>
    <w:p w14:paraId="3FA643CE">
      <w:pPr>
        <w:spacing w:line="520" w:lineRule="exact"/>
        <w:ind w:firstLine="490" w:firstLineChars="175"/>
        <w:rPr>
          <w:rFonts w:ascii="宋体"/>
          <w:sz w:val="28"/>
          <w:szCs w:val="28"/>
        </w:rPr>
      </w:pPr>
      <w:r>
        <w:rPr>
          <w:rFonts w:ascii="宋体" w:hAnsi="宋体"/>
          <w:sz w:val="28"/>
          <w:szCs w:val="28"/>
        </w:rPr>
        <w:t xml:space="preserve"> (</w:t>
      </w:r>
      <w:r>
        <w:rPr>
          <w:rFonts w:hint="eastAsia" w:ascii="宋体" w:hAnsi="宋体"/>
          <w:sz w:val="28"/>
          <w:szCs w:val="28"/>
        </w:rPr>
        <w:t>一</w:t>
      </w:r>
      <w:r>
        <w:rPr>
          <w:rFonts w:ascii="宋体" w:hAnsi="宋体"/>
          <w:sz w:val="28"/>
          <w:szCs w:val="28"/>
        </w:rPr>
        <w:t>)</w:t>
      </w:r>
      <w:r>
        <w:rPr>
          <w:rFonts w:hint="eastAsia" w:ascii="宋体" w:hAnsi="宋体"/>
          <w:sz w:val="28"/>
          <w:szCs w:val="28"/>
        </w:rPr>
        <w:t>所有货物安装集成调试完毕且经甲方初验合格后，甲方支付合同总价的</w:t>
      </w:r>
      <w:r>
        <w:rPr>
          <w:rFonts w:hint="eastAsia" w:ascii="宋体" w:hAnsi="宋体"/>
          <w:b/>
          <w:bCs/>
          <w:sz w:val="28"/>
          <w:szCs w:val="28"/>
          <w:u w:val="single"/>
        </w:rPr>
        <w:t>XX</w:t>
      </w:r>
      <w:r>
        <w:rPr>
          <w:rFonts w:ascii="宋体" w:hAnsi="宋体"/>
          <w:b/>
          <w:bCs/>
          <w:sz w:val="28"/>
          <w:szCs w:val="28"/>
          <w:u w:val="single"/>
        </w:rPr>
        <w:t xml:space="preserve"> %</w:t>
      </w:r>
      <w:r>
        <w:rPr>
          <w:rFonts w:hint="eastAsia" w:ascii="宋体" w:hAnsi="宋体"/>
          <w:sz w:val="28"/>
          <w:szCs w:val="28"/>
        </w:rPr>
        <w:t>，即（大写）：人民币</w:t>
      </w:r>
      <w:r>
        <w:rPr>
          <w:rFonts w:hint="eastAsia" w:ascii="宋体" w:hAnsi="宋体"/>
          <w:b/>
          <w:sz w:val="28"/>
          <w:szCs w:val="28"/>
          <w:u w:val="single"/>
        </w:rPr>
        <w:t>XXXXX（￥    .00元）</w:t>
      </w:r>
      <w:r>
        <w:rPr>
          <w:rFonts w:hint="eastAsia" w:ascii="宋体" w:hAnsi="宋体"/>
          <w:sz w:val="28"/>
          <w:szCs w:val="28"/>
        </w:rPr>
        <w:t>；</w:t>
      </w:r>
    </w:p>
    <w:p w14:paraId="5EC6AD01">
      <w:pPr>
        <w:spacing w:line="520" w:lineRule="exact"/>
        <w:ind w:firstLine="490" w:firstLineChars="175"/>
        <w:rPr>
          <w:rFonts w:ascii="宋体"/>
          <w:sz w:val="28"/>
          <w:szCs w:val="28"/>
        </w:rPr>
      </w:pPr>
      <w:r>
        <w:rPr>
          <w:rFonts w:hint="eastAsia" w:ascii="宋体" w:hAnsi="宋体"/>
          <w:sz w:val="28"/>
          <w:szCs w:val="28"/>
        </w:rPr>
        <w:t>（二）项目经甲方终验合格后，甲方支付合同总价的</w:t>
      </w:r>
      <w:r>
        <w:rPr>
          <w:rFonts w:hint="eastAsia" w:ascii="宋体" w:hAnsi="宋体"/>
          <w:sz w:val="28"/>
          <w:szCs w:val="28"/>
          <w:u w:val="single"/>
        </w:rPr>
        <w:t>XX</w:t>
      </w:r>
      <w:r>
        <w:rPr>
          <w:rFonts w:ascii="宋体" w:hAnsi="宋体"/>
          <w:b/>
          <w:bCs/>
          <w:sz w:val="28"/>
          <w:szCs w:val="28"/>
          <w:u w:val="single"/>
        </w:rPr>
        <w:t>%</w:t>
      </w:r>
      <w:r>
        <w:rPr>
          <w:rFonts w:hint="eastAsia" w:ascii="宋体" w:hAnsi="宋体"/>
          <w:sz w:val="28"/>
          <w:szCs w:val="28"/>
        </w:rPr>
        <w:t>，即（大写）：人民币XXXXX</w:t>
      </w:r>
      <w:r>
        <w:rPr>
          <w:rFonts w:hint="eastAsia" w:ascii="宋体" w:hAnsi="宋体"/>
          <w:b/>
          <w:sz w:val="28"/>
          <w:szCs w:val="28"/>
          <w:u w:val="single"/>
        </w:rPr>
        <w:t>整（￥    .00元）</w:t>
      </w:r>
      <w:r>
        <w:rPr>
          <w:rFonts w:hint="eastAsia" w:ascii="宋体" w:hAnsi="宋体"/>
          <w:sz w:val="28"/>
          <w:szCs w:val="28"/>
        </w:rPr>
        <w:t>；</w:t>
      </w:r>
    </w:p>
    <w:p w14:paraId="16B4E937">
      <w:pPr>
        <w:spacing w:line="520" w:lineRule="exact"/>
        <w:ind w:firstLine="490" w:firstLineChars="175"/>
        <w:rPr>
          <w:rFonts w:hint="eastAsia" w:ascii="宋体" w:hAnsi="宋体"/>
          <w:sz w:val="28"/>
          <w:szCs w:val="28"/>
        </w:rPr>
      </w:pPr>
      <w:r>
        <w:rPr>
          <w:rFonts w:hint="eastAsia" w:ascii="宋体" w:hAnsi="宋体"/>
          <w:sz w:val="28"/>
          <w:szCs w:val="28"/>
        </w:rPr>
        <w:t>（三）合同总价的</w:t>
      </w:r>
      <w:r>
        <w:rPr>
          <w:rFonts w:hint="eastAsia" w:ascii="宋体" w:hAnsi="宋体"/>
          <w:sz w:val="28"/>
          <w:szCs w:val="28"/>
          <w:u w:val="single"/>
        </w:rPr>
        <w:t>5</w:t>
      </w:r>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15C9BCEF">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61F1053F">
      <w:pPr>
        <w:pStyle w:val="5"/>
        <w:adjustRightInd w:val="0"/>
        <w:snapToGrid w:val="0"/>
        <w:spacing w:line="520" w:lineRule="exact"/>
        <w:ind w:firstLine="560" w:firstLineChars="200"/>
        <w:rPr>
          <w:rFonts w:hint="eastAsia" w:hAnsi="宋体"/>
          <w:sz w:val="28"/>
          <w:szCs w:val="28"/>
        </w:rPr>
      </w:pPr>
      <w:r>
        <w:rPr>
          <w:rFonts w:hint="eastAsia" w:hAnsi="宋体"/>
          <w:sz w:val="28"/>
          <w:szCs w:val="28"/>
        </w:rPr>
        <w:t>货款支付单位为：西安外国语大学</w:t>
      </w:r>
    </w:p>
    <w:p w14:paraId="7723119F">
      <w:pPr>
        <w:spacing w:line="520" w:lineRule="exact"/>
        <w:ind w:firstLine="560" w:firstLineChars="200"/>
        <w:rPr>
          <w:rFonts w:hint="eastAsia" w:ascii="宋体" w:hAnsi="宋体"/>
          <w:sz w:val="28"/>
          <w:szCs w:val="28"/>
        </w:rPr>
      </w:pPr>
      <w:r>
        <w:rPr>
          <w:rFonts w:hint="eastAsia" w:ascii="宋体" w:hAnsi="宋体"/>
          <w:sz w:val="28"/>
          <w:szCs w:val="28"/>
        </w:rPr>
        <w:t>发票开具的“购货单位（人）名称”为：西安外国语大学</w:t>
      </w:r>
    </w:p>
    <w:p w14:paraId="20A08BA4">
      <w:pPr>
        <w:pStyle w:val="12"/>
        <w:spacing w:line="520" w:lineRule="exact"/>
        <w:ind w:firstLine="560"/>
        <w:rPr>
          <w:rFonts w:hint="eastAsia" w:hAnsi="宋体"/>
          <w:kern w:val="2"/>
          <w:sz w:val="28"/>
          <w:szCs w:val="28"/>
        </w:rPr>
      </w:pPr>
      <w:r>
        <w:rPr>
          <w:rFonts w:hint="eastAsia" w:hAnsi="宋体"/>
          <w:kern w:val="2"/>
          <w:sz w:val="28"/>
          <w:szCs w:val="28"/>
        </w:rPr>
        <w:t>乙方收款信息如下：</w:t>
      </w:r>
    </w:p>
    <w:p w14:paraId="17CD4151">
      <w:pPr>
        <w:spacing w:line="520" w:lineRule="exact"/>
        <w:ind w:firstLine="560" w:firstLineChars="200"/>
        <w:rPr>
          <w:rFonts w:hint="eastAsia" w:hAnsi="宋体"/>
          <w:sz w:val="28"/>
          <w:szCs w:val="28"/>
        </w:rPr>
      </w:pPr>
      <w:r>
        <w:rPr>
          <w:rFonts w:hint="eastAsia" w:hAnsi="宋体"/>
          <w:sz w:val="28"/>
          <w:szCs w:val="28"/>
        </w:rPr>
        <w:t>单位名称：</w:t>
      </w:r>
    </w:p>
    <w:p w14:paraId="3319FC94">
      <w:pPr>
        <w:spacing w:line="520" w:lineRule="exact"/>
        <w:ind w:firstLine="560" w:firstLineChars="200"/>
        <w:rPr>
          <w:rFonts w:hint="eastAsia" w:ascii="宋体" w:hAnsi="宋体"/>
          <w:sz w:val="28"/>
          <w:szCs w:val="28"/>
        </w:rPr>
      </w:pPr>
      <w:r>
        <w:rPr>
          <w:rFonts w:hint="eastAsia" w:ascii="宋体" w:hAnsi="宋体"/>
          <w:sz w:val="28"/>
          <w:szCs w:val="28"/>
        </w:rPr>
        <w:t>开户行：</w:t>
      </w:r>
    </w:p>
    <w:p w14:paraId="0AB6A11E">
      <w:pPr>
        <w:spacing w:line="520" w:lineRule="exact"/>
        <w:ind w:firstLine="560" w:firstLineChars="200"/>
        <w:rPr>
          <w:rFonts w:hint="eastAsia" w:ascii="宋体" w:hAnsi="宋体"/>
          <w:sz w:val="28"/>
          <w:szCs w:val="28"/>
        </w:rPr>
      </w:pPr>
      <w:r>
        <w:rPr>
          <w:rFonts w:hint="eastAsia" w:ascii="宋体" w:hAnsi="宋体"/>
          <w:sz w:val="28"/>
          <w:szCs w:val="28"/>
        </w:rPr>
        <w:t>银行账号：</w:t>
      </w:r>
    </w:p>
    <w:p w14:paraId="0F8223A4">
      <w:pPr>
        <w:numPr>
          <w:ilvl w:val="0"/>
          <w:numId w:val="1"/>
        </w:numPr>
        <w:tabs>
          <w:tab w:val="left" w:pos="320"/>
          <w:tab w:val="left" w:pos="480"/>
          <w:tab w:val="left" w:pos="846"/>
        </w:tabs>
        <w:spacing w:line="520" w:lineRule="exact"/>
        <w:ind w:firstLine="560" w:firstLineChars="200"/>
        <w:rPr>
          <w:rStyle w:val="13"/>
          <w:rFonts w:ascii="宋体" w:hAnsi="Calibri" w:eastAsia="宋体"/>
          <w:sz w:val="28"/>
          <w:szCs w:val="28"/>
        </w:rPr>
      </w:pPr>
      <w:bookmarkStart w:id="47" w:name="_Toc12099"/>
      <w:bookmarkStart w:id="48" w:name="_Toc21065"/>
      <w:bookmarkStart w:id="49" w:name="_Toc14402"/>
      <w:bookmarkStart w:id="50" w:name="_Toc13373"/>
      <w:bookmarkStart w:id="51" w:name="_Toc2489"/>
      <w:r>
        <w:rPr>
          <w:rStyle w:val="13"/>
          <w:rFonts w:hint="eastAsia" w:ascii="宋体" w:hAnsi="宋体" w:eastAsia="宋体"/>
          <w:sz w:val="28"/>
          <w:szCs w:val="28"/>
        </w:rPr>
        <w:t>交货</w:t>
      </w:r>
    </w:p>
    <w:bookmarkEnd w:id="47"/>
    <w:bookmarkEnd w:id="48"/>
    <w:bookmarkEnd w:id="49"/>
    <w:bookmarkEnd w:id="50"/>
    <w:bookmarkEnd w:id="51"/>
    <w:p w14:paraId="01384A16">
      <w:pPr>
        <w:spacing w:line="520" w:lineRule="exact"/>
        <w:ind w:firstLine="490" w:firstLineChars="175"/>
        <w:rPr>
          <w:rFonts w:ascii="宋体"/>
          <w:sz w:val="28"/>
          <w:szCs w:val="28"/>
        </w:rPr>
      </w:pPr>
      <w:r>
        <w:rPr>
          <w:rFonts w:hint="eastAsia" w:ascii="宋体" w:hAnsi="宋体"/>
          <w:sz w:val="28"/>
          <w:szCs w:val="28"/>
        </w:rPr>
        <w:t>（一）交货地点：甲方指定地点。</w:t>
      </w:r>
    </w:p>
    <w:p w14:paraId="7271B90C">
      <w:pPr>
        <w:spacing w:line="520" w:lineRule="exact"/>
        <w:ind w:firstLine="490" w:firstLineChars="175"/>
        <w:rPr>
          <w:rFonts w:hint="eastAsia" w:ascii="宋体" w:hAnsi="宋体"/>
          <w:sz w:val="28"/>
          <w:szCs w:val="28"/>
        </w:rPr>
      </w:pPr>
      <w:r>
        <w:rPr>
          <w:rFonts w:hint="eastAsia" w:ascii="宋体" w:hAnsi="宋体"/>
          <w:sz w:val="28"/>
          <w:szCs w:val="28"/>
        </w:rPr>
        <w:t>（二）交货期：自合同签订之日起120日历天内完成交付、安装及调试。</w:t>
      </w:r>
    </w:p>
    <w:p w14:paraId="36E1F3F7">
      <w:pPr>
        <w:spacing w:line="520" w:lineRule="exact"/>
        <w:ind w:firstLine="490" w:firstLineChars="175"/>
        <w:rPr>
          <w:rFonts w:hint="eastAsia" w:ascii="宋体" w:hAnsi="宋体"/>
          <w:sz w:val="28"/>
          <w:szCs w:val="28"/>
        </w:rPr>
      </w:pPr>
      <w:r>
        <w:rPr>
          <w:rFonts w:hint="eastAsia" w:ascii="宋体" w:hAnsi="宋体"/>
          <w:sz w:val="28"/>
          <w:szCs w:val="28"/>
        </w:rPr>
        <w:t>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14:paraId="51D8701F">
      <w:pPr>
        <w:spacing w:line="520" w:lineRule="exact"/>
        <w:ind w:firstLine="490" w:firstLineChars="175"/>
        <w:rPr>
          <w:rFonts w:hint="eastAsia" w:ascii="宋体" w:hAnsi="宋体"/>
          <w:sz w:val="28"/>
          <w:szCs w:val="28"/>
        </w:rPr>
      </w:pPr>
      <w:r>
        <w:rPr>
          <w:rFonts w:hint="eastAsia" w:ascii="宋体" w:hAnsi="宋体"/>
          <w:sz w:val="28"/>
          <w:szCs w:val="28"/>
        </w:rPr>
        <w:t>供货安装要求</w:t>
      </w:r>
    </w:p>
    <w:p w14:paraId="61D181FA">
      <w:pPr>
        <w:spacing w:line="520" w:lineRule="exact"/>
        <w:ind w:firstLine="490" w:firstLineChars="175"/>
        <w:rPr>
          <w:rFonts w:hint="eastAsia" w:ascii="宋体" w:hAnsi="宋体"/>
          <w:sz w:val="28"/>
          <w:szCs w:val="28"/>
        </w:rPr>
      </w:pPr>
      <w:r>
        <w:rPr>
          <w:rFonts w:hint="eastAsia" w:ascii="宋体" w:hAnsi="宋体"/>
          <w:sz w:val="28"/>
          <w:szCs w:val="28"/>
        </w:rPr>
        <w:t>中标人应按照合同约定、采购文件及投标（响应）文件的承诺，向采购人提供完整的货物、技术资料（包括但不限于产品说明书、合格证、保修卡、安装图纸、操作手册等）、专用工具及备品备件。</w:t>
      </w:r>
    </w:p>
    <w:p w14:paraId="48D2881C">
      <w:pPr>
        <w:spacing w:line="520" w:lineRule="exact"/>
        <w:ind w:firstLine="490" w:firstLineChars="175"/>
        <w:rPr>
          <w:rFonts w:hint="eastAsia" w:ascii="宋体" w:hAnsi="宋体"/>
          <w:sz w:val="28"/>
          <w:szCs w:val="28"/>
        </w:rPr>
      </w:pPr>
      <w:r>
        <w:rPr>
          <w:rFonts w:hint="eastAsia" w:ascii="宋体" w:hAnsi="宋体"/>
          <w:sz w:val="28"/>
          <w:szCs w:val="28"/>
        </w:rPr>
        <w:t>1.现场条件确认</w:t>
      </w:r>
    </w:p>
    <w:p w14:paraId="4CB36140">
      <w:pPr>
        <w:spacing w:line="520" w:lineRule="exact"/>
        <w:ind w:firstLine="490" w:firstLineChars="175"/>
        <w:rPr>
          <w:rFonts w:hint="eastAsia" w:ascii="宋体" w:hAnsi="宋体"/>
          <w:sz w:val="28"/>
          <w:szCs w:val="28"/>
        </w:rPr>
      </w:pPr>
      <w:r>
        <w:rPr>
          <w:rFonts w:hint="eastAsia" w:ascii="宋体" w:hAnsi="宋体"/>
          <w:sz w:val="28"/>
          <w:szCs w:val="28"/>
        </w:rPr>
        <w:t>中标人在安装前，应与采购人共同勘查现场，确认水、电、场地等基础条件满足安装要求。</w:t>
      </w:r>
    </w:p>
    <w:p w14:paraId="368E624D">
      <w:pPr>
        <w:spacing w:line="520" w:lineRule="exact"/>
        <w:ind w:firstLine="490" w:firstLineChars="175"/>
        <w:rPr>
          <w:rFonts w:hint="eastAsia" w:ascii="宋体" w:hAnsi="宋体"/>
          <w:sz w:val="28"/>
          <w:szCs w:val="28"/>
        </w:rPr>
      </w:pPr>
      <w:r>
        <w:rPr>
          <w:rFonts w:hint="eastAsia" w:ascii="宋体" w:hAnsi="宋体"/>
          <w:sz w:val="28"/>
          <w:szCs w:val="28"/>
        </w:rPr>
        <w:t>2.安装人员资质</w:t>
      </w:r>
    </w:p>
    <w:p w14:paraId="39F365FD">
      <w:pPr>
        <w:spacing w:line="520" w:lineRule="exact"/>
        <w:ind w:firstLine="490" w:firstLineChars="175"/>
        <w:rPr>
          <w:rFonts w:hint="eastAsia" w:ascii="宋体" w:hAnsi="宋体"/>
          <w:sz w:val="28"/>
          <w:szCs w:val="28"/>
        </w:rPr>
      </w:pPr>
      <w:r>
        <w:rPr>
          <w:rFonts w:hint="eastAsia" w:ascii="宋体" w:hAnsi="宋体"/>
          <w:sz w:val="28"/>
          <w:szCs w:val="28"/>
        </w:rPr>
        <w:t>中标人应派具备相应技术能力的人员进行安装。如设备属于国家规定的特种设备，安装人员须持有国家规定从业资格（如特种设备作业、电工、焊工等强制性证书）。</w:t>
      </w:r>
    </w:p>
    <w:p w14:paraId="071E490C">
      <w:pPr>
        <w:spacing w:line="520" w:lineRule="exact"/>
        <w:ind w:firstLine="490" w:firstLineChars="175"/>
        <w:rPr>
          <w:rFonts w:hint="eastAsia" w:ascii="宋体" w:hAnsi="宋体"/>
          <w:sz w:val="28"/>
          <w:szCs w:val="28"/>
        </w:rPr>
      </w:pPr>
      <w:r>
        <w:rPr>
          <w:rFonts w:hint="eastAsia" w:ascii="宋体" w:hAnsi="宋体"/>
          <w:sz w:val="28"/>
          <w:szCs w:val="28"/>
        </w:rPr>
        <w:t>安装人员在施工期间应遵守采购人现场管理规定，佩戴工作证件，做到文明施工、安全施工。</w:t>
      </w:r>
    </w:p>
    <w:p w14:paraId="48C284AA">
      <w:pPr>
        <w:spacing w:line="520" w:lineRule="exact"/>
        <w:ind w:firstLine="490" w:firstLineChars="175"/>
        <w:rPr>
          <w:rFonts w:hint="eastAsia" w:ascii="宋体" w:hAnsi="宋体"/>
          <w:sz w:val="28"/>
          <w:szCs w:val="28"/>
        </w:rPr>
      </w:pPr>
      <w:r>
        <w:rPr>
          <w:rFonts w:hint="eastAsia" w:ascii="宋体" w:hAnsi="宋体"/>
          <w:sz w:val="28"/>
          <w:szCs w:val="28"/>
        </w:rPr>
        <w:t>3.安装标准</w:t>
      </w:r>
    </w:p>
    <w:p w14:paraId="4EBF3C05">
      <w:pPr>
        <w:spacing w:line="520" w:lineRule="exact"/>
        <w:ind w:firstLine="490" w:firstLineChars="175"/>
        <w:rPr>
          <w:rFonts w:hint="eastAsia" w:ascii="宋体" w:hAnsi="宋体"/>
          <w:sz w:val="28"/>
          <w:szCs w:val="28"/>
        </w:rPr>
      </w:pPr>
      <w:r>
        <w:rPr>
          <w:rFonts w:hint="eastAsia" w:ascii="宋体" w:hAnsi="宋体"/>
          <w:sz w:val="28"/>
          <w:szCs w:val="28"/>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14:paraId="71E3B3E1">
      <w:pPr>
        <w:spacing w:line="520" w:lineRule="exact"/>
        <w:ind w:firstLine="490" w:firstLineChars="175"/>
        <w:rPr>
          <w:rFonts w:hint="eastAsia" w:ascii="宋体" w:hAnsi="宋体"/>
          <w:sz w:val="28"/>
          <w:szCs w:val="28"/>
        </w:rPr>
      </w:pPr>
      <w:r>
        <w:rPr>
          <w:rFonts w:hint="eastAsia" w:ascii="宋体" w:hAnsi="宋体"/>
          <w:sz w:val="28"/>
          <w:szCs w:val="28"/>
        </w:rPr>
        <w:t>4.调试与试运行</w:t>
      </w:r>
    </w:p>
    <w:p w14:paraId="52C032AA">
      <w:pPr>
        <w:spacing w:line="520" w:lineRule="exact"/>
        <w:ind w:firstLine="490" w:firstLineChars="175"/>
        <w:rPr>
          <w:rFonts w:hint="eastAsia" w:ascii="宋体" w:hAnsi="宋体"/>
          <w:sz w:val="28"/>
          <w:szCs w:val="28"/>
        </w:rPr>
      </w:pPr>
      <w:r>
        <w:rPr>
          <w:rFonts w:hint="eastAsia" w:ascii="宋体" w:hAnsi="宋体"/>
          <w:sz w:val="28"/>
          <w:szCs w:val="28"/>
        </w:rPr>
        <w:t>安装完成后，中标人应进行系统调试，确保各项功能、性能指标符合合同约定及投标承诺。试运行期7日，试运行期间，中标人应派技术人员现场跟班保障，及时处理运行中出现的问题。试运行正常后，方可进入正式验收程序。</w:t>
      </w:r>
    </w:p>
    <w:p w14:paraId="313AB601">
      <w:pPr>
        <w:numPr>
          <w:ilvl w:val="0"/>
          <w:numId w:val="1"/>
        </w:numPr>
        <w:tabs>
          <w:tab w:val="left" w:pos="320"/>
          <w:tab w:val="left" w:pos="480"/>
          <w:tab w:val="left" w:pos="846"/>
        </w:tabs>
        <w:spacing w:line="520" w:lineRule="exact"/>
        <w:ind w:firstLine="560" w:firstLineChars="200"/>
        <w:rPr>
          <w:rStyle w:val="13"/>
          <w:rFonts w:ascii="宋体" w:hAnsi="Calibri" w:eastAsia="宋体"/>
          <w:sz w:val="28"/>
          <w:szCs w:val="28"/>
        </w:rPr>
      </w:pPr>
      <w:bookmarkStart w:id="52" w:name="_Toc4533"/>
      <w:bookmarkStart w:id="53" w:name="_Toc17205"/>
      <w:bookmarkStart w:id="54" w:name="_Toc26987"/>
      <w:bookmarkStart w:id="55" w:name="_Toc10224"/>
      <w:bookmarkStart w:id="56" w:name="_Toc3727"/>
      <w:r>
        <w:rPr>
          <w:rStyle w:val="13"/>
          <w:rFonts w:hint="eastAsia" w:ascii="宋体" w:hAnsi="宋体" w:eastAsia="宋体"/>
          <w:sz w:val="28"/>
          <w:szCs w:val="28"/>
        </w:rPr>
        <w:t>包装和运输</w:t>
      </w:r>
    </w:p>
    <w:bookmarkEnd w:id="52"/>
    <w:bookmarkEnd w:id="53"/>
    <w:bookmarkEnd w:id="54"/>
    <w:bookmarkEnd w:id="55"/>
    <w:bookmarkEnd w:id="56"/>
    <w:p w14:paraId="26043770">
      <w:pPr>
        <w:spacing w:line="520" w:lineRule="exact"/>
        <w:ind w:firstLine="490" w:firstLineChars="175"/>
        <w:rPr>
          <w:rFonts w:hint="eastAsia" w:ascii="宋体" w:hAnsi="宋体"/>
          <w:sz w:val="28"/>
          <w:szCs w:val="28"/>
        </w:rPr>
      </w:pPr>
      <w:r>
        <w:rPr>
          <w:rFonts w:hint="eastAsia" w:ascii="宋体" w:hAnsi="宋体"/>
          <w:sz w:val="28"/>
          <w:szCs w:val="28"/>
        </w:rPr>
        <w:t>1.运输由中标人负责，运杂费已包含在合同总价内。</w:t>
      </w:r>
    </w:p>
    <w:p w14:paraId="74126335">
      <w:pPr>
        <w:spacing w:line="520" w:lineRule="exact"/>
        <w:ind w:firstLine="490" w:firstLineChars="175"/>
        <w:rPr>
          <w:rFonts w:hint="eastAsia" w:ascii="宋体" w:hAnsi="宋体"/>
          <w:sz w:val="28"/>
          <w:szCs w:val="28"/>
        </w:rPr>
      </w:pPr>
      <w:r>
        <w:rPr>
          <w:rFonts w:hint="eastAsia" w:ascii="宋体" w:hAnsi="宋体"/>
          <w:sz w:val="28"/>
          <w:szCs w:val="28"/>
        </w:rPr>
        <w:t>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14:paraId="03EEAF9D">
      <w:pPr>
        <w:spacing w:line="520" w:lineRule="exact"/>
        <w:ind w:firstLine="490" w:firstLineChars="175"/>
        <w:rPr>
          <w:rFonts w:hint="eastAsia" w:ascii="宋体" w:hAnsi="宋体"/>
          <w:sz w:val="28"/>
          <w:szCs w:val="28"/>
        </w:rPr>
      </w:pPr>
      <w:r>
        <w:rPr>
          <w:rFonts w:hint="eastAsia" w:ascii="宋体" w:hAnsi="宋体"/>
          <w:sz w:val="28"/>
          <w:szCs w:val="28"/>
        </w:rPr>
        <w:t>3.除合同另有规定外，中标人提供的全部货物，均应按标准保护措施进行包装。包装应适应于远距离运输、防潮、防震、防锈和防野蛮装卸，以确保货物安全无损运抵项目现场。</w:t>
      </w:r>
    </w:p>
    <w:p w14:paraId="37A84F4F">
      <w:pPr>
        <w:spacing w:line="520" w:lineRule="exact"/>
        <w:ind w:firstLine="490" w:firstLineChars="175"/>
        <w:rPr>
          <w:rFonts w:hint="eastAsia" w:ascii="宋体" w:hAnsi="宋体"/>
          <w:sz w:val="28"/>
          <w:szCs w:val="28"/>
        </w:rPr>
      </w:pPr>
      <w:r>
        <w:rPr>
          <w:rFonts w:hint="eastAsia" w:ascii="宋体" w:hAnsi="宋体"/>
          <w:sz w:val="28"/>
          <w:szCs w:val="28"/>
        </w:rPr>
        <w:t>4.中标人提供的产品及相关快递服务的包装要求，按照《商品包装政府采购需求标准（试行）》《快递包装政府采购需求标准（试行）》执行。</w:t>
      </w:r>
    </w:p>
    <w:p w14:paraId="0FC943F9">
      <w:pPr>
        <w:spacing w:line="520" w:lineRule="exact"/>
        <w:ind w:firstLine="490" w:firstLineChars="175"/>
        <w:rPr>
          <w:rFonts w:hint="eastAsia" w:ascii="宋体" w:hAnsi="宋体"/>
          <w:sz w:val="28"/>
          <w:szCs w:val="28"/>
        </w:rPr>
      </w:pPr>
      <w:r>
        <w:rPr>
          <w:rFonts w:hint="eastAsia" w:ascii="宋体" w:hAnsi="宋体"/>
          <w:sz w:val="28"/>
          <w:szCs w:val="28"/>
        </w:rPr>
        <w:t>保险要求</w:t>
      </w:r>
    </w:p>
    <w:p w14:paraId="52F14455">
      <w:pPr>
        <w:spacing w:line="520" w:lineRule="exact"/>
        <w:ind w:firstLine="490" w:firstLineChars="175"/>
        <w:rPr>
          <w:rFonts w:hint="eastAsia" w:ascii="宋体" w:hAnsi="宋体"/>
          <w:sz w:val="28"/>
          <w:szCs w:val="28"/>
        </w:rPr>
      </w:pPr>
      <w:r>
        <w:rPr>
          <w:rFonts w:hint="eastAsia" w:ascii="宋体" w:hAnsi="宋体"/>
          <w:sz w:val="28"/>
          <w:szCs w:val="28"/>
        </w:rPr>
        <w:t>1.风险承担</w:t>
      </w:r>
    </w:p>
    <w:p w14:paraId="1CCC9339">
      <w:pPr>
        <w:spacing w:line="520" w:lineRule="exact"/>
        <w:ind w:firstLine="490" w:firstLineChars="175"/>
        <w:rPr>
          <w:rFonts w:hint="eastAsia" w:ascii="宋体" w:hAnsi="宋体"/>
          <w:sz w:val="28"/>
          <w:szCs w:val="28"/>
        </w:rPr>
      </w:pPr>
      <w:r>
        <w:rPr>
          <w:rFonts w:hint="eastAsia" w:ascii="宋体" w:hAnsi="宋体"/>
          <w:sz w:val="28"/>
          <w:szCs w:val="28"/>
        </w:rPr>
        <w:t>在货物运抵采购人指定地点并经开箱验收合格前，货物毁损、灭失的风险由中标人承担。中标人应采取必要的防护措施，确保货物在运输、装卸及仓储过程中的安全。</w:t>
      </w:r>
    </w:p>
    <w:p w14:paraId="488D8DB9">
      <w:pPr>
        <w:spacing w:line="520" w:lineRule="exact"/>
        <w:ind w:firstLine="490" w:firstLineChars="175"/>
        <w:rPr>
          <w:rFonts w:hint="eastAsia" w:ascii="宋体" w:hAnsi="宋体"/>
          <w:sz w:val="28"/>
          <w:szCs w:val="28"/>
        </w:rPr>
      </w:pPr>
      <w:r>
        <w:rPr>
          <w:rFonts w:hint="eastAsia" w:ascii="宋体" w:hAnsi="宋体"/>
          <w:sz w:val="28"/>
          <w:szCs w:val="28"/>
        </w:rPr>
        <w:t>2.保险责任</w:t>
      </w:r>
    </w:p>
    <w:p w14:paraId="402D2B33">
      <w:pPr>
        <w:spacing w:line="520" w:lineRule="exact"/>
        <w:ind w:firstLine="490" w:firstLineChars="175"/>
        <w:rPr>
          <w:rFonts w:hint="eastAsia" w:ascii="宋体" w:hAnsi="宋体"/>
          <w:sz w:val="28"/>
          <w:szCs w:val="28"/>
        </w:rPr>
      </w:pPr>
      <w:r>
        <w:rPr>
          <w:rFonts w:hint="eastAsia" w:ascii="宋体" w:hAnsi="宋体"/>
          <w:sz w:val="28"/>
          <w:szCs w:val="28"/>
        </w:rPr>
        <w:t>（1）中标人负责办理货物从发货地至采购人指定交货地点的全程运输保险。</w:t>
      </w:r>
    </w:p>
    <w:p w14:paraId="0B212F4B">
      <w:pPr>
        <w:spacing w:line="520" w:lineRule="exact"/>
        <w:ind w:firstLine="490" w:firstLineChars="175"/>
        <w:rPr>
          <w:rFonts w:hint="eastAsia" w:ascii="宋体" w:hAnsi="宋体"/>
          <w:sz w:val="28"/>
          <w:szCs w:val="28"/>
        </w:rPr>
      </w:pPr>
      <w:r>
        <w:rPr>
          <w:rFonts w:hint="eastAsia" w:ascii="宋体" w:hAnsi="宋体"/>
          <w:sz w:val="28"/>
          <w:szCs w:val="28"/>
        </w:rPr>
        <w:t>（2）投保险种应至少包含货物运输一切险（或同等效力的险种），并根据货物特性附加必要的特殊险（如易碎品破碎险、防锈险等）。</w:t>
      </w:r>
    </w:p>
    <w:p w14:paraId="3EA42B42">
      <w:pPr>
        <w:spacing w:line="520" w:lineRule="exact"/>
        <w:ind w:firstLine="490" w:firstLineChars="175"/>
        <w:rPr>
          <w:rFonts w:hint="eastAsia" w:ascii="宋体" w:hAnsi="宋体"/>
          <w:sz w:val="28"/>
          <w:szCs w:val="28"/>
        </w:rPr>
      </w:pPr>
      <w:r>
        <w:rPr>
          <w:rFonts w:hint="eastAsia" w:ascii="宋体" w:hAnsi="宋体"/>
          <w:sz w:val="28"/>
          <w:szCs w:val="28"/>
        </w:rPr>
        <w:t>（3）保险金额应不低于合同总价款的100%，并以采购人为被保险人或共同受益人。</w:t>
      </w:r>
    </w:p>
    <w:p w14:paraId="4605171F">
      <w:pPr>
        <w:spacing w:line="520" w:lineRule="exact"/>
        <w:ind w:firstLine="490" w:firstLineChars="175"/>
        <w:rPr>
          <w:rFonts w:hint="eastAsia" w:ascii="宋体" w:hAnsi="宋体"/>
          <w:sz w:val="28"/>
          <w:szCs w:val="28"/>
        </w:rPr>
      </w:pPr>
      <w:r>
        <w:rPr>
          <w:rFonts w:hint="eastAsia" w:ascii="宋体" w:hAnsi="宋体"/>
          <w:sz w:val="28"/>
          <w:szCs w:val="28"/>
        </w:rPr>
        <w:t>（4）保险期间自货物离开中标人仓库或工厂起，至货物运抵采购人指定交货地点并由双方完成开箱外观检验止。</w:t>
      </w:r>
    </w:p>
    <w:p w14:paraId="2B3AFD4C">
      <w:pPr>
        <w:spacing w:line="520" w:lineRule="exact"/>
        <w:ind w:firstLine="490" w:firstLineChars="175"/>
        <w:rPr>
          <w:rFonts w:hint="eastAsia" w:ascii="宋体" w:hAnsi="宋体"/>
          <w:sz w:val="28"/>
          <w:szCs w:val="28"/>
        </w:rPr>
      </w:pPr>
      <w:r>
        <w:rPr>
          <w:rFonts w:hint="eastAsia" w:ascii="宋体" w:hAnsi="宋体"/>
          <w:sz w:val="28"/>
          <w:szCs w:val="28"/>
        </w:rPr>
        <w:t>索赔与理赔</w:t>
      </w:r>
    </w:p>
    <w:p w14:paraId="18FF5E49">
      <w:pPr>
        <w:spacing w:line="520" w:lineRule="exact"/>
        <w:ind w:firstLine="490" w:firstLineChars="175"/>
        <w:rPr>
          <w:rFonts w:hint="eastAsia" w:ascii="宋体" w:hAnsi="宋体"/>
          <w:sz w:val="28"/>
          <w:szCs w:val="28"/>
        </w:rPr>
      </w:pPr>
      <w:r>
        <w:rPr>
          <w:rFonts w:hint="eastAsia" w:ascii="宋体" w:hAnsi="宋体"/>
          <w:sz w:val="28"/>
          <w:szCs w:val="28"/>
        </w:rPr>
        <w:t>若在运输或保管过程中发生保险范围内的损失，中标人应负责立即向保险公司索赔。若因中标人未及时投保、投保金额不足或未正确填写被保险人，导致采购人无法获得足额赔偿的，由中标人承担全部赔偿责任。</w:t>
      </w:r>
    </w:p>
    <w:p w14:paraId="5E71A481">
      <w:pPr>
        <w:numPr>
          <w:ilvl w:val="0"/>
          <w:numId w:val="1"/>
        </w:numPr>
        <w:tabs>
          <w:tab w:val="left" w:pos="320"/>
          <w:tab w:val="left" w:pos="480"/>
          <w:tab w:val="left" w:pos="846"/>
        </w:tabs>
        <w:spacing w:line="520" w:lineRule="exact"/>
        <w:ind w:firstLine="560" w:firstLineChars="200"/>
        <w:rPr>
          <w:rStyle w:val="13"/>
          <w:rFonts w:ascii="宋体" w:hAnsi="Calibri" w:eastAsia="宋体"/>
          <w:sz w:val="28"/>
          <w:szCs w:val="28"/>
        </w:rPr>
      </w:pPr>
      <w:bookmarkStart w:id="57" w:name="_Toc4898"/>
      <w:bookmarkStart w:id="58" w:name="_Toc7496"/>
      <w:bookmarkStart w:id="59" w:name="_Toc19125"/>
      <w:bookmarkStart w:id="60" w:name="_Toc1417"/>
      <w:bookmarkStart w:id="61" w:name="_Toc6336"/>
      <w:r>
        <w:rPr>
          <w:rStyle w:val="13"/>
          <w:rFonts w:hint="eastAsia" w:ascii="宋体" w:hAnsi="宋体" w:eastAsia="宋体"/>
          <w:sz w:val="28"/>
          <w:szCs w:val="28"/>
        </w:rPr>
        <w:t>质量保证</w:t>
      </w:r>
    </w:p>
    <w:bookmarkEnd w:id="57"/>
    <w:bookmarkEnd w:id="58"/>
    <w:bookmarkEnd w:id="59"/>
    <w:bookmarkEnd w:id="60"/>
    <w:bookmarkEnd w:id="61"/>
    <w:p w14:paraId="2027961A">
      <w:pPr>
        <w:spacing w:line="520" w:lineRule="exact"/>
        <w:ind w:firstLine="490" w:firstLineChars="175"/>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39C1CC96">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47E65165">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489AE263">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44F073E1">
      <w:pPr>
        <w:tabs>
          <w:tab w:val="left" w:pos="320"/>
          <w:tab w:val="left" w:pos="480"/>
          <w:tab w:val="left" w:pos="846"/>
        </w:tabs>
        <w:spacing w:line="520" w:lineRule="exact"/>
        <w:rPr>
          <w:rFonts w:hint="eastAsia"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bookmarkStart w:id="62" w:name="_Toc8526"/>
      <w:bookmarkStart w:id="63" w:name="_Toc9757"/>
      <w:bookmarkStart w:id="64" w:name="_Toc15780"/>
      <w:bookmarkStart w:id="65" w:name="_Toc13552"/>
      <w:bookmarkStart w:id="66" w:name="_Toc27865"/>
    </w:p>
    <w:p w14:paraId="2F037C7D">
      <w:pPr>
        <w:tabs>
          <w:tab w:val="left" w:pos="320"/>
          <w:tab w:val="left" w:pos="480"/>
          <w:tab w:val="left" w:pos="846"/>
        </w:tabs>
        <w:spacing w:line="520" w:lineRule="exact"/>
        <w:rPr>
          <w:rStyle w:val="13"/>
          <w:rFonts w:ascii="宋体" w:hAnsi="Calibri" w:eastAsia="宋体"/>
          <w:sz w:val="28"/>
          <w:szCs w:val="28"/>
        </w:rPr>
      </w:pPr>
      <w:r>
        <w:rPr>
          <w:rStyle w:val="13"/>
          <w:rFonts w:hint="eastAsia" w:ascii="宋体" w:hAnsi="宋体" w:eastAsia="宋体"/>
          <w:sz w:val="28"/>
          <w:szCs w:val="28"/>
        </w:rPr>
        <w:t>七、质保期及售后服务</w:t>
      </w:r>
    </w:p>
    <w:bookmarkEnd w:id="62"/>
    <w:bookmarkEnd w:id="63"/>
    <w:bookmarkEnd w:id="64"/>
    <w:bookmarkEnd w:id="65"/>
    <w:bookmarkEnd w:id="66"/>
    <w:p w14:paraId="6D762C37">
      <w:pPr>
        <w:pStyle w:val="4"/>
        <w:spacing w:line="520" w:lineRule="exact"/>
        <w:rPr>
          <w:rFonts w:hint="eastAsia" w:ascii="宋体" w:hAnsi="宋体"/>
          <w:sz w:val="28"/>
          <w:szCs w:val="28"/>
        </w:rPr>
      </w:pPr>
      <w:r>
        <w:rPr>
          <w:rFonts w:hint="eastAsia" w:ascii="宋体" w:hAnsi="宋体"/>
          <w:sz w:val="28"/>
          <w:szCs w:val="28"/>
        </w:rPr>
        <w:t>（一）质保期为产品最终验收合格之日起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w:t>
      </w:r>
    </w:p>
    <w:p w14:paraId="6A1665D1">
      <w:pPr>
        <w:pStyle w:val="4"/>
        <w:spacing w:line="520" w:lineRule="exact"/>
        <w:rPr>
          <w:rFonts w:hint="eastAsia" w:ascii="宋体" w:hAnsi="宋体"/>
          <w:sz w:val="28"/>
          <w:szCs w:val="28"/>
        </w:rPr>
      </w:pPr>
      <w:r>
        <w:rPr>
          <w:rFonts w:hint="eastAsia" w:ascii="宋体" w:hAnsi="宋体"/>
          <w:sz w:val="28"/>
          <w:szCs w:val="28"/>
        </w:rPr>
        <w:t>（二）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w:t>
      </w:r>
    </w:p>
    <w:p w14:paraId="40C54799">
      <w:pPr>
        <w:pStyle w:val="4"/>
        <w:spacing w:line="520" w:lineRule="exact"/>
        <w:rPr>
          <w:rFonts w:hint="eastAsia" w:ascii="宋体" w:hAnsi="宋体"/>
          <w:sz w:val="28"/>
          <w:szCs w:val="28"/>
        </w:rPr>
      </w:pPr>
      <w:r>
        <w:rPr>
          <w:rFonts w:hint="eastAsia" w:ascii="宋体" w:hAnsi="宋体"/>
          <w:sz w:val="28"/>
          <w:szCs w:val="28"/>
        </w:rPr>
        <w:t>（三）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w:t>
      </w:r>
    </w:p>
    <w:p w14:paraId="65E346F0">
      <w:pPr>
        <w:pStyle w:val="4"/>
        <w:spacing w:line="520" w:lineRule="exact"/>
        <w:rPr>
          <w:rFonts w:ascii="宋体"/>
          <w:sz w:val="28"/>
          <w:szCs w:val="28"/>
        </w:rPr>
      </w:pPr>
      <w:r>
        <w:rPr>
          <w:rFonts w:hint="eastAsia" w:ascii="宋体" w:hAnsi="宋体"/>
          <w:sz w:val="28"/>
          <w:szCs w:val="28"/>
        </w:rPr>
        <w:t>（四）与使用设备相配套的软件5年由中标人负责免费更新升级。</w:t>
      </w:r>
    </w:p>
    <w:p w14:paraId="776BFC48">
      <w:pPr>
        <w:tabs>
          <w:tab w:val="left" w:pos="320"/>
          <w:tab w:val="left" w:pos="480"/>
          <w:tab w:val="left" w:pos="846"/>
        </w:tabs>
        <w:spacing w:line="520" w:lineRule="exact"/>
        <w:rPr>
          <w:rStyle w:val="13"/>
          <w:rFonts w:ascii="宋体" w:hAnsi="Calibri" w:eastAsia="宋体"/>
          <w:sz w:val="28"/>
          <w:szCs w:val="28"/>
        </w:rPr>
      </w:pPr>
      <w:bookmarkStart w:id="67" w:name="_Toc7405"/>
      <w:bookmarkStart w:id="68" w:name="_Toc28619"/>
      <w:bookmarkStart w:id="69" w:name="_Toc31591"/>
      <w:bookmarkStart w:id="70" w:name="_Toc22298"/>
      <w:bookmarkStart w:id="71" w:name="_Toc628"/>
      <w:r>
        <w:rPr>
          <w:rStyle w:val="13"/>
          <w:rFonts w:hint="eastAsia" w:ascii="宋体" w:hAnsi="宋体"/>
          <w:sz w:val="28"/>
          <w:szCs w:val="28"/>
        </w:rPr>
        <w:t>八、</w:t>
      </w:r>
      <w:r>
        <w:rPr>
          <w:rStyle w:val="13"/>
          <w:rFonts w:hint="eastAsia" w:ascii="宋体" w:hAnsi="宋体" w:eastAsia="宋体"/>
          <w:sz w:val="28"/>
          <w:szCs w:val="28"/>
        </w:rPr>
        <w:t>技术与服务</w:t>
      </w:r>
    </w:p>
    <w:bookmarkEnd w:id="67"/>
    <w:bookmarkEnd w:id="68"/>
    <w:bookmarkEnd w:id="69"/>
    <w:bookmarkEnd w:id="70"/>
    <w:bookmarkEnd w:id="71"/>
    <w:p w14:paraId="7F7116AC">
      <w:pPr>
        <w:spacing w:line="520" w:lineRule="exact"/>
        <w:ind w:firstLine="490" w:firstLineChars="175"/>
        <w:rPr>
          <w:rFonts w:ascii="宋体"/>
          <w:sz w:val="28"/>
          <w:szCs w:val="28"/>
        </w:rPr>
      </w:pPr>
      <w:r>
        <w:rPr>
          <w:rFonts w:hint="eastAsia" w:ascii="宋体" w:hAnsi="宋体"/>
          <w:sz w:val="28"/>
          <w:szCs w:val="28"/>
        </w:rPr>
        <w:t>（一）乙方应在交付货物同时向甲方交付以下技术资料：</w:t>
      </w:r>
    </w:p>
    <w:p w14:paraId="5E3F1E21">
      <w:pPr>
        <w:spacing w:line="520" w:lineRule="exact"/>
        <w:ind w:firstLine="490" w:firstLineChars="175"/>
        <w:rPr>
          <w:rFonts w:hint="eastAsia"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58F408AC">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642EB0C8">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0EBE94C2">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26CE9861">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41E8EEE9">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5FDE1C3F">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48036D45">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11720178">
      <w:pPr>
        <w:spacing w:line="520" w:lineRule="exact"/>
        <w:ind w:firstLine="490" w:firstLineChars="175"/>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72CF8986">
      <w:pPr>
        <w:pStyle w:val="4"/>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26DB38E4">
      <w:pPr>
        <w:tabs>
          <w:tab w:val="left" w:pos="320"/>
          <w:tab w:val="left" w:pos="480"/>
          <w:tab w:val="left" w:pos="846"/>
        </w:tabs>
        <w:spacing w:line="520" w:lineRule="exact"/>
        <w:rPr>
          <w:rStyle w:val="13"/>
          <w:rFonts w:ascii="宋体" w:hAnsi="Calibri" w:eastAsia="宋体"/>
          <w:sz w:val="28"/>
          <w:szCs w:val="28"/>
        </w:rPr>
      </w:pPr>
      <w:bookmarkStart w:id="72" w:name="_Toc3128"/>
      <w:bookmarkStart w:id="73" w:name="_Toc13467"/>
      <w:bookmarkStart w:id="74" w:name="_Toc27484"/>
      <w:bookmarkStart w:id="75" w:name="_Toc25817"/>
      <w:bookmarkStart w:id="76" w:name="_Toc14495"/>
      <w:r>
        <w:rPr>
          <w:rStyle w:val="13"/>
          <w:rFonts w:hint="eastAsia" w:ascii="宋体" w:hAnsi="宋体"/>
          <w:sz w:val="28"/>
          <w:szCs w:val="28"/>
        </w:rPr>
        <w:t>九、</w:t>
      </w:r>
      <w:r>
        <w:rPr>
          <w:rStyle w:val="13"/>
          <w:rFonts w:hint="eastAsia" w:ascii="宋体" w:hAnsi="宋体" w:eastAsia="宋体"/>
          <w:sz w:val="28"/>
          <w:szCs w:val="28"/>
        </w:rPr>
        <w:t>验收</w:t>
      </w:r>
      <w:bookmarkEnd w:id="72"/>
      <w:bookmarkEnd w:id="73"/>
      <w:bookmarkEnd w:id="74"/>
    </w:p>
    <w:bookmarkEnd w:id="75"/>
    <w:bookmarkEnd w:id="76"/>
    <w:p w14:paraId="68376021">
      <w:pPr>
        <w:spacing w:line="520" w:lineRule="exact"/>
        <w:ind w:firstLine="490" w:firstLineChars="175"/>
        <w:rPr>
          <w:rFonts w:hint="eastAsia" w:ascii="宋体" w:hAnsi="宋体"/>
          <w:sz w:val="28"/>
          <w:szCs w:val="28"/>
        </w:rPr>
      </w:pPr>
      <w:r>
        <w:rPr>
          <w:rFonts w:hint="eastAsia" w:ascii="宋体" w:hAnsi="宋体"/>
          <w:sz w:val="28"/>
          <w:szCs w:val="28"/>
        </w:rPr>
        <w:t>验收分初次开箱验收、采购人使用单位初步验收和采购人最终验收三个阶段，以最终验收为准。</w:t>
      </w:r>
    </w:p>
    <w:p w14:paraId="504F88AF">
      <w:pPr>
        <w:spacing w:line="520" w:lineRule="exact"/>
        <w:ind w:firstLine="490" w:firstLineChars="175"/>
        <w:rPr>
          <w:rFonts w:hint="eastAsia" w:ascii="宋体" w:hAnsi="宋体"/>
          <w:sz w:val="28"/>
          <w:szCs w:val="28"/>
        </w:rPr>
      </w:pPr>
      <w:r>
        <w:rPr>
          <w:rFonts w:hint="eastAsia" w:ascii="宋体" w:hAnsi="宋体"/>
          <w:sz w:val="28"/>
          <w:szCs w:val="28"/>
        </w:rPr>
        <w:t>1.初次开箱验收</w:t>
      </w:r>
    </w:p>
    <w:p w14:paraId="475288B7">
      <w:pPr>
        <w:spacing w:line="520" w:lineRule="exact"/>
        <w:ind w:firstLine="490" w:firstLineChars="175"/>
        <w:rPr>
          <w:rFonts w:hint="eastAsia" w:ascii="宋体" w:hAnsi="宋体"/>
          <w:sz w:val="28"/>
          <w:szCs w:val="28"/>
        </w:rPr>
      </w:pPr>
      <w:r>
        <w:rPr>
          <w:rFonts w:hint="eastAsia" w:ascii="宋体" w:hAnsi="宋体"/>
          <w:sz w:val="28"/>
          <w:szCs w:val="28"/>
        </w:rPr>
        <w:t>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w:t>
      </w:r>
    </w:p>
    <w:p w14:paraId="048CAD49">
      <w:pPr>
        <w:spacing w:line="520" w:lineRule="exact"/>
        <w:ind w:firstLine="490" w:firstLineChars="175"/>
        <w:rPr>
          <w:rFonts w:hint="eastAsia" w:ascii="宋体" w:hAnsi="宋体"/>
          <w:sz w:val="28"/>
          <w:szCs w:val="28"/>
        </w:rPr>
      </w:pPr>
      <w:r>
        <w:rPr>
          <w:rFonts w:hint="eastAsia" w:ascii="宋体" w:hAnsi="宋体"/>
          <w:sz w:val="28"/>
          <w:szCs w:val="28"/>
        </w:rPr>
        <w:t>2.采购人使用单位初步验收</w:t>
      </w:r>
    </w:p>
    <w:p w14:paraId="35377B59">
      <w:pPr>
        <w:spacing w:line="520" w:lineRule="exact"/>
        <w:ind w:firstLine="490" w:firstLineChars="175"/>
        <w:rPr>
          <w:rFonts w:hint="eastAsia" w:ascii="宋体" w:hAnsi="宋体"/>
          <w:sz w:val="28"/>
          <w:szCs w:val="28"/>
        </w:rPr>
      </w:pPr>
      <w:r>
        <w:rPr>
          <w:rFonts w:hint="eastAsia" w:ascii="宋体" w:hAnsi="宋体"/>
          <w:sz w:val="28"/>
          <w:szCs w:val="28"/>
        </w:rPr>
        <w:t>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w:t>
      </w:r>
    </w:p>
    <w:p w14:paraId="69F34B21">
      <w:pPr>
        <w:spacing w:line="520" w:lineRule="exact"/>
        <w:ind w:firstLine="490" w:firstLineChars="175"/>
        <w:rPr>
          <w:rFonts w:hint="eastAsia" w:ascii="宋体" w:hAnsi="宋体"/>
          <w:sz w:val="28"/>
          <w:szCs w:val="28"/>
        </w:rPr>
      </w:pPr>
      <w:r>
        <w:rPr>
          <w:rFonts w:hint="eastAsia" w:ascii="宋体" w:hAnsi="宋体"/>
          <w:sz w:val="28"/>
          <w:szCs w:val="28"/>
        </w:rPr>
        <w:t>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w:t>
      </w:r>
    </w:p>
    <w:p w14:paraId="3218668F">
      <w:pPr>
        <w:spacing w:line="520" w:lineRule="exact"/>
        <w:ind w:firstLine="490" w:firstLineChars="175"/>
        <w:rPr>
          <w:rFonts w:hint="eastAsia" w:ascii="宋体" w:hAnsi="宋体"/>
          <w:sz w:val="28"/>
          <w:szCs w:val="28"/>
        </w:rPr>
      </w:pPr>
      <w:r>
        <w:rPr>
          <w:rFonts w:hint="eastAsia" w:ascii="宋体" w:hAnsi="宋体"/>
          <w:sz w:val="28"/>
          <w:szCs w:val="28"/>
        </w:rPr>
        <w:t>3.采购人最终验收</w:t>
      </w:r>
    </w:p>
    <w:p w14:paraId="16B49A8B">
      <w:pPr>
        <w:spacing w:line="520" w:lineRule="exact"/>
        <w:ind w:firstLine="490" w:firstLineChars="175"/>
        <w:rPr>
          <w:rFonts w:ascii="宋体"/>
          <w:sz w:val="28"/>
          <w:szCs w:val="28"/>
        </w:rPr>
      </w:pPr>
      <w:r>
        <w:rPr>
          <w:rFonts w:hint="eastAsia" w:ascii="宋体" w:hAnsi="宋体"/>
          <w:sz w:val="28"/>
          <w:szCs w:val="28"/>
        </w:rPr>
        <w:t>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14:paraId="7F42835C">
      <w:pPr>
        <w:tabs>
          <w:tab w:val="left" w:pos="320"/>
          <w:tab w:val="left" w:pos="480"/>
          <w:tab w:val="left" w:pos="846"/>
        </w:tabs>
        <w:spacing w:line="520" w:lineRule="exact"/>
        <w:rPr>
          <w:rStyle w:val="13"/>
          <w:rFonts w:ascii="宋体" w:hAnsi="Calibri" w:eastAsia="宋体"/>
          <w:sz w:val="28"/>
          <w:szCs w:val="28"/>
        </w:rPr>
      </w:pPr>
      <w:bookmarkStart w:id="77" w:name="_Toc9050"/>
      <w:bookmarkStart w:id="78" w:name="_Toc27411"/>
      <w:bookmarkStart w:id="79" w:name="_Toc5522"/>
      <w:bookmarkStart w:id="80" w:name="_Toc1430"/>
      <w:bookmarkStart w:id="81" w:name="_Toc6380"/>
      <w:r>
        <w:rPr>
          <w:rStyle w:val="13"/>
          <w:rFonts w:hint="eastAsia" w:ascii="宋体" w:hAnsi="宋体"/>
          <w:sz w:val="28"/>
          <w:szCs w:val="28"/>
        </w:rPr>
        <w:t>十、</w:t>
      </w:r>
      <w:r>
        <w:rPr>
          <w:rStyle w:val="13"/>
          <w:rFonts w:hint="eastAsia" w:ascii="宋体" w:hAnsi="宋体" w:eastAsia="宋体"/>
          <w:sz w:val="28"/>
          <w:szCs w:val="28"/>
        </w:rPr>
        <w:t>违约责任</w:t>
      </w:r>
    </w:p>
    <w:bookmarkEnd w:id="77"/>
    <w:bookmarkEnd w:id="78"/>
    <w:bookmarkEnd w:id="79"/>
    <w:bookmarkEnd w:id="80"/>
    <w:bookmarkEnd w:id="81"/>
    <w:p w14:paraId="6236832C">
      <w:pPr>
        <w:spacing w:line="520" w:lineRule="exact"/>
        <w:ind w:firstLine="490" w:firstLineChars="175"/>
        <w:rPr>
          <w:rFonts w:ascii="宋体"/>
          <w:sz w:val="28"/>
          <w:szCs w:val="28"/>
        </w:rPr>
      </w:pPr>
      <w:r>
        <w:rPr>
          <w:rFonts w:hint="eastAsia" w:ascii="宋体" w:hAnsi="宋体"/>
          <w:sz w:val="28"/>
          <w:szCs w:val="28"/>
        </w:rPr>
        <w:t>（一）除本合同约定的违约责任之外，双方按《政府采购法》、《民法典》、《产品质量法》等相关法律法规规定执行。</w:t>
      </w:r>
    </w:p>
    <w:p w14:paraId="63F7FD97">
      <w:pPr>
        <w:spacing w:line="520" w:lineRule="exact"/>
        <w:ind w:firstLine="490" w:firstLineChars="175"/>
        <w:rPr>
          <w:rFonts w:ascii="宋体"/>
          <w:sz w:val="28"/>
          <w:szCs w:val="28"/>
        </w:rPr>
      </w:pPr>
      <w:r>
        <w:rPr>
          <w:rFonts w:hint="eastAsia" w:ascii="宋体" w:hAnsi="宋体"/>
          <w:sz w:val="28"/>
          <w:szCs w:val="28"/>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5415D86B">
      <w:pPr>
        <w:spacing w:line="520" w:lineRule="exact"/>
        <w:ind w:firstLine="490" w:firstLineChars="175"/>
        <w:rPr>
          <w:rFonts w:ascii="宋体"/>
          <w:sz w:val="28"/>
          <w:szCs w:val="28"/>
        </w:rPr>
      </w:pPr>
      <w:r>
        <w:rPr>
          <w:rFonts w:hint="eastAsia" w:ascii="宋体" w:hAnsi="宋体"/>
          <w:sz w:val="28"/>
          <w:szCs w:val="28"/>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205AB1C2">
      <w:pPr>
        <w:spacing w:line="520" w:lineRule="exact"/>
        <w:ind w:firstLine="490" w:firstLineChars="175"/>
        <w:rPr>
          <w:rFonts w:ascii="宋体"/>
          <w:sz w:val="28"/>
          <w:szCs w:val="28"/>
        </w:rPr>
      </w:pPr>
      <w:r>
        <w:rPr>
          <w:rFonts w:hint="eastAsia" w:ascii="宋体" w:hAnsi="宋体"/>
          <w:sz w:val="28"/>
          <w:szCs w:val="28"/>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w:t>
      </w:r>
      <w:r>
        <w:rPr>
          <w:rFonts w:ascii="宋体" w:hAnsi="宋体"/>
          <w:sz w:val="28"/>
          <w:szCs w:val="28"/>
        </w:rPr>
        <w:t xml:space="preserve"> %</w:t>
      </w:r>
      <w:r>
        <w:rPr>
          <w:rFonts w:hint="eastAsia" w:ascii="宋体" w:hAnsi="宋体"/>
          <w:sz w:val="28"/>
          <w:szCs w:val="28"/>
        </w:rPr>
        <w:t>的违约金，违约金不足以弥补甲方损失的，乙方还应赔偿甲方的全部损失。</w:t>
      </w:r>
    </w:p>
    <w:p w14:paraId="3712F2D8">
      <w:pPr>
        <w:spacing w:line="520" w:lineRule="exact"/>
        <w:ind w:firstLine="490" w:firstLineChars="175"/>
        <w:rPr>
          <w:rFonts w:hint="eastAsia" w:ascii="宋体" w:hAnsi="宋体"/>
          <w:sz w:val="28"/>
          <w:szCs w:val="28"/>
        </w:rPr>
      </w:pPr>
      <w:r>
        <w:rPr>
          <w:rFonts w:hint="eastAsia" w:ascii="宋体" w:hAnsi="宋体"/>
          <w:sz w:val="28"/>
          <w:szCs w:val="28"/>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2" w:name="_Toc25987"/>
      <w:bookmarkStart w:id="83" w:name="_Toc3011"/>
      <w:bookmarkStart w:id="84" w:name="_Toc9462"/>
      <w:bookmarkStart w:id="85" w:name="_Toc28511"/>
      <w:bookmarkStart w:id="86" w:name="_Toc4469"/>
    </w:p>
    <w:p w14:paraId="19927CB3">
      <w:pPr>
        <w:spacing w:line="520" w:lineRule="exact"/>
        <w:ind w:firstLine="490" w:firstLineChars="175"/>
        <w:rPr>
          <w:rStyle w:val="13"/>
          <w:rFonts w:hint="eastAsia" w:ascii="宋体" w:hAnsi="宋体" w:eastAsia="宋体"/>
          <w:b w:val="0"/>
          <w:sz w:val="28"/>
          <w:szCs w:val="28"/>
        </w:rPr>
      </w:pPr>
      <w:r>
        <w:rPr>
          <w:rStyle w:val="13"/>
          <w:rFonts w:hint="eastAsia" w:ascii="宋体" w:hAnsi="宋体" w:eastAsia="宋体"/>
          <w:sz w:val="28"/>
        </w:rPr>
        <w:t>十一、</w:t>
      </w:r>
      <w:r>
        <w:rPr>
          <w:rStyle w:val="13"/>
          <w:rFonts w:hint="eastAsia" w:ascii="宋体" w:hAnsi="宋体" w:eastAsia="宋体"/>
          <w:sz w:val="28"/>
          <w:szCs w:val="28"/>
        </w:rPr>
        <w:t>保密条款</w:t>
      </w:r>
    </w:p>
    <w:p w14:paraId="0FBB6836">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5E2DC81B">
      <w:pPr>
        <w:tabs>
          <w:tab w:val="left" w:pos="320"/>
          <w:tab w:val="left" w:pos="480"/>
          <w:tab w:val="left" w:pos="846"/>
        </w:tabs>
        <w:spacing w:line="520" w:lineRule="exact"/>
        <w:ind w:left="562"/>
        <w:rPr>
          <w:rStyle w:val="13"/>
          <w:rFonts w:ascii="宋体" w:hAnsi="Calibri" w:eastAsia="宋体"/>
          <w:sz w:val="28"/>
          <w:szCs w:val="28"/>
        </w:rPr>
      </w:pPr>
      <w:r>
        <w:rPr>
          <w:rStyle w:val="13"/>
          <w:rFonts w:hint="eastAsia" w:ascii="宋体" w:hAnsi="宋体" w:eastAsia="宋体"/>
          <w:sz w:val="28"/>
          <w:szCs w:val="28"/>
        </w:rPr>
        <w:t>十二、</w:t>
      </w:r>
      <w:bookmarkEnd w:id="82"/>
      <w:bookmarkEnd w:id="83"/>
      <w:bookmarkEnd w:id="84"/>
      <w:bookmarkEnd w:id="85"/>
      <w:bookmarkEnd w:id="86"/>
      <w:r>
        <w:rPr>
          <w:rStyle w:val="13"/>
          <w:rFonts w:hint="eastAsia" w:ascii="宋体" w:hAnsi="宋体" w:eastAsia="宋体"/>
          <w:sz w:val="28"/>
          <w:szCs w:val="28"/>
        </w:rPr>
        <w:t>合同争议解决的方式</w:t>
      </w:r>
    </w:p>
    <w:p w14:paraId="6B1B4BC5">
      <w:pPr>
        <w:spacing w:line="520" w:lineRule="exact"/>
        <w:ind w:firstLine="490" w:firstLineChars="175"/>
        <w:rPr>
          <w:rFonts w:ascii="宋体"/>
          <w:sz w:val="28"/>
          <w:szCs w:val="28"/>
        </w:rPr>
      </w:pPr>
      <w:r>
        <w:rPr>
          <w:rFonts w:hint="eastAsia" w:ascii="宋体" w:hAnsi="宋体"/>
          <w:sz w:val="28"/>
          <w:szCs w:val="28"/>
        </w:rPr>
        <w:t>本合同在履行过程中发生的争议，由甲、乙双方协商解决，协商不成的，提交甲方所在地有管辖权的人民法院裁决。</w:t>
      </w:r>
    </w:p>
    <w:p w14:paraId="64887E62">
      <w:pPr>
        <w:tabs>
          <w:tab w:val="left" w:pos="320"/>
          <w:tab w:val="left" w:pos="480"/>
          <w:tab w:val="left" w:pos="846"/>
        </w:tabs>
        <w:spacing w:line="520" w:lineRule="exact"/>
        <w:ind w:left="562"/>
        <w:rPr>
          <w:rStyle w:val="13"/>
          <w:rFonts w:ascii="宋体" w:hAnsi="Calibri" w:eastAsia="宋体"/>
          <w:sz w:val="28"/>
          <w:szCs w:val="28"/>
        </w:rPr>
      </w:pPr>
      <w:bookmarkStart w:id="87" w:name="_Toc7322"/>
      <w:bookmarkStart w:id="88" w:name="_Toc31037"/>
      <w:bookmarkStart w:id="89" w:name="_Toc27709"/>
      <w:bookmarkStart w:id="90" w:name="_Toc31635"/>
      <w:bookmarkStart w:id="91" w:name="_Toc10769"/>
      <w:r>
        <w:rPr>
          <w:rStyle w:val="13"/>
          <w:rFonts w:hint="eastAsia" w:ascii="宋体" w:hAnsi="宋体" w:eastAsia="宋体"/>
          <w:sz w:val="28"/>
          <w:szCs w:val="28"/>
        </w:rPr>
        <w:t>十三、其他事项</w:t>
      </w:r>
    </w:p>
    <w:bookmarkEnd w:id="87"/>
    <w:bookmarkEnd w:id="88"/>
    <w:bookmarkEnd w:id="89"/>
    <w:bookmarkEnd w:id="90"/>
    <w:bookmarkEnd w:id="91"/>
    <w:p w14:paraId="11C57ACB">
      <w:pPr>
        <w:spacing w:line="520" w:lineRule="exact"/>
        <w:ind w:firstLine="490" w:firstLineChars="175"/>
        <w:rPr>
          <w:rFonts w:ascii="宋体"/>
          <w:sz w:val="28"/>
          <w:szCs w:val="28"/>
        </w:rPr>
      </w:pPr>
      <w:r>
        <w:rPr>
          <w:rFonts w:hint="eastAsia" w:ascii="宋体" w:hAnsi="宋体"/>
          <w:sz w:val="28"/>
          <w:szCs w:val="28"/>
        </w:rPr>
        <w:t>（一）招标文件、投标文件、澄清表（函）、中标通知书、合同附件均成为合同不可分割的部分。</w:t>
      </w:r>
    </w:p>
    <w:p w14:paraId="581F90F8">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7759662B">
      <w:pPr>
        <w:spacing w:line="520" w:lineRule="exact"/>
        <w:ind w:firstLine="490" w:firstLineChars="175"/>
        <w:rPr>
          <w:rFonts w:ascii="宋体"/>
          <w:sz w:val="28"/>
          <w:szCs w:val="28"/>
        </w:rPr>
      </w:pPr>
    </w:p>
    <w:p w14:paraId="056D6EC4">
      <w:pPr>
        <w:spacing w:line="520" w:lineRule="exact"/>
        <w:ind w:firstLine="490" w:firstLineChars="175"/>
        <w:rPr>
          <w:rFonts w:ascii="宋体"/>
          <w:sz w:val="28"/>
          <w:szCs w:val="28"/>
        </w:rPr>
      </w:pPr>
    </w:p>
    <w:p w14:paraId="72B5744F">
      <w:pPr>
        <w:tabs>
          <w:tab w:val="left" w:pos="320"/>
          <w:tab w:val="left" w:pos="480"/>
          <w:tab w:val="left" w:pos="846"/>
        </w:tabs>
        <w:spacing w:line="520" w:lineRule="exact"/>
        <w:ind w:left="562"/>
        <w:rPr>
          <w:rStyle w:val="13"/>
          <w:rFonts w:ascii="宋体" w:hAnsi="Calibri" w:eastAsia="宋体"/>
          <w:sz w:val="28"/>
          <w:szCs w:val="28"/>
        </w:rPr>
      </w:pPr>
      <w:bookmarkStart w:id="92" w:name="_Toc2128"/>
      <w:bookmarkStart w:id="93" w:name="_Toc26214"/>
      <w:bookmarkStart w:id="94" w:name="_Toc24532"/>
      <w:bookmarkStart w:id="95" w:name="_Toc26525"/>
      <w:bookmarkStart w:id="96" w:name="_Toc29072"/>
      <w:r>
        <w:rPr>
          <w:rStyle w:val="13"/>
          <w:rFonts w:hint="eastAsia" w:ascii="宋体" w:hAnsi="宋体" w:eastAsia="宋体"/>
          <w:sz w:val="28"/>
          <w:szCs w:val="28"/>
        </w:rPr>
        <w:t>十四、合同生效</w:t>
      </w:r>
    </w:p>
    <w:bookmarkEnd w:id="92"/>
    <w:bookmarkEnd w:id="93"/>
    <w:bookmarkEnd w:id="94"/>
    <w:bookmarkEnd w:id="95"/>
    <w:bookmarkEnd w:id="96"/>
    <w:p w14:paraId="5F5CE151">
      <w:pPr>
        <w:pStyle w:val="4"/>
        <w:spacing w:line="520" w:lineRule="exact"/>
      </w:pPr>
      <w:r>
        <w:rPr>
          <w:rFonts w:hint="eastAsia" w:ascii="宋体" w:hAnsi="宋体"/>
          <w:sz w:val="28"/>
          <w:szCs w:val="28"/>
        </w:rPr>
        <w:t>本合同一式玖份，甲方陆份，乙方贰份、鉴证方壹份，甲、乙双方签字盖章后生效。（合同的服务承诺则长期有效）。</w:t>
      </w:r>
    </w:p>
    <w:p w14:paraId="17872EEF">
      <w:pPr>
        <w:spacing w:line="520" w:lineRule="exact"/>
        <w:ind w:firstLine="490" w:firstLineChars="175"/>
        <w:rPr>
          <w:rFonts w:ascii="宋体"/>
          <w:sz w:val="28"/>
          <w:szCs w:val="28"/>
        </w:rPr>
      </w:pPr>
    </w:p>
    <w:tbl>
      <w:tblPr>
        <w:tblStyle w:val="8"/>
        <w:tblW w:w="9363" w:type="dxa"/>
        <w:jc w:val="center"/>
        <w:tblLayout w:type="fixed"/>
        <w:tblCellMar>
          <w:top w:w="0" w:type="dxa"/>
          <w:left w:w="108" w:type="dxa"/>
          <w:bottom w:w="0" w:type="dxa"/>
          <w:right w:w="108" w:type="dxa"/>
        </w:tblCellMar>
      </w:tblPr>
      <w:tblGrid>
        <w:gridCol w:w="3780"/>
        <w:gridCol w:w="2837"/>
        <w:gridCol w:w="2746"/>
      </w:tblGrid>
      <w:tr w14:paraId="41B73AFA">
        <w:tblPrEx>
          <w:tblCellMar>
            <w:top w:w="0" w:type="dxa"/>
            <w:left w:w="108" w:type="dxa"/>
            <w:bottom w:w="0" w:type="dxa"/>
            <w:right w:w="108" w:type="dxa"/>
          </w:tblCellMar>
        </w:tblPrEx>
        <w:trPr>
          <w:jc w:val="center"/>
        </w:trPr>
        <w:tc>
          <w:tcPr>
            <w:tcW w:w="3780" w:type="dxa"/>
            <w:vAlign w:val="center"/>
          </w:tcPr>
          <w:p w14:paraId="72AAE040">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2A34F04F">
            <w:pPr>
              <w:spacing w:line="520" w:lineRule="exact"/>
              <w:rPr>
                <w:rFonts w:ascii="宋体"/>
                <w:sz w:val="24"/>
              </w:rPr>
            </w:pPr>
            <w:r>
              <w:rPr>
                <w:rFonts w:hint="eastAsia" w:ascii="宋体" w:hAnsi="宋体"/>
                <w:b/>
                <w:bCs/>
                <w:sz w:val="24"/>
              </w:rPr>
              <w:t>乙方：XXXXXXXX（盖章）</w:t>
            </w:r>
          </w:p>
        </w:tc>
        <w:tc>
          <w:tcPr>
            <w:tcW w:w="2746" w:type="dxa"/>
            <w:vMerge w:val="restart"/>
          </w:tcPr>
          <w:p w14:paraId="56EA78E0">
            <w:pPr>
              <w:spacing w:line="520" w:lineRule="exact"/>
              <w:rPr>
                <w:rFonts w:ascii="宋体"/>
                <w:sz w:val="24"/>
              </w:rPr>
            </w:pPr>
            <w:r>
              <w:rPr>
                <w:rFonts w:hint="eastAsia" w:ascii="宋体" w:hAnsi="宋体"/>
                <w:b/>
                <w:bCs/>
                <w:sz w:val="24"/>
              </w:rPr>
              <w:t>鉴证方：XXXXXXXX（盖章）</w:t>
            </w:r>
          </w:p>
        </w:tc>
      </w:tr>
      <w:tr w14:paraId="42892529">
        <w:tblPrEx>
          <w:tblCellMar>
            <w:top w:w="0" w:type="dxa"/>
            <w:left w:w="108" w:type="dxa"/>
            <w:bottom w:w="0" w:type="dxa"/>
            <w:right w:w="108" w:type="dxa"/>
          </w:tblCellMar>
        </w:tblPrEx>
        <w:trPr>
          <w:jc w:val="center"/>
        </w:trPr>
        <w:tc>
          <w:tcPr>
            <w:tcW w:w="3780" w:type="dxa"/>
            <w:vAlign w:val="center"/>
          </w:tcPr>
          <w:p w14:paraId="44E88580">
            <w:pPr>
              <w:spacing w:line="520" w:lineRule="exact"/>
              <w:rPr>
                <w:rFonts w:ascii="宋体"/>
                <w:sz w:val="24"/>
              </w:rPr>
            </w:pPr>
            <w:r>
              <w:rPr>
                <w:rFonts w:hint="eastAsia" w:ascii="宋体" w:hAnsi="宋体"/>
                <w:b/>
                <w:bCs/>
                <w:sz w:val="24"/>
              </w:rPr>
              <w:t>法人或委托代理人：</w:t>
            </w:r>
          </w:p>
        </w:tc>
        <w:tc>
          <w:tcPr>
            <w:tcW w:w="2837" w:type="dxa"/>
            <w:vAlign w:val="center"/>
          </w:tcPr>
          <w:p w14:paraId="2E80944F">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4ABC97AD">
            <w:pPr>
              <w:spacing w:line="520" w:lineRule="exact"/>
              <w:rPr>
                <w:rFonts w:ascii="宋体"/>
                <w:sz w:val="24"/>
              </w:rPr>
            </w:pPr>
          </w:p>
        </w:tc>
      </w:tr>
      <w:tr w14:paraId="64405EEE">
        <w:tblPrEx>
          <w:tblCellMar>
            <w:top w:w="0" w:type="dxa"/>
            <w:left w:w="108" w:type="dxa"/>
            <w:bottom w:w="0" w:type="dxa"/>
            <w:right w:w="108" w:type="dxa"/>
          </w:tblCellMar>
        </w:tblPrEx>
        <w:trPr>
          <w:jc w:val="center"/>
        </w:trPr>
        <w:tc>
          <w:tcPr>
            <w:tcW w:w="3780" w:type="dxa"/>
            <w:vAlign w:val="center"/>
          </w:tcPr>
          <w:p w14:paraId="723D0B9A">
            <w:pPr>
              <w:spacing w:line="520" w:lineRule="exact"/>
              <w:rPr>
                <w:rFonts w:ascii="宋体"/>
                <w:sz w:val="24"/>
              </w:rPr>
            </w:pPr>
            <w:r>
              <w:rPr>
                <w:rFonts w:hint="eastAsia" w:ascii="宋体" w:hAnsi="宋体"/>
                <w:b/>
                <w:bCs/>
                <w:sz w:val="24"/>
              </w:rPr>
              <w:t>户名：西安外国语大学</w:t>
            </w:r>
          </w:p>
        </w:tc>
        <w:tc>
          <w:tcPr>
            <w:tcW w:w="2837" w:type="dxa"/>
            <w:vAlign w:val="center"/>
          </w:tcPr>
          <w:p w14:paraId="522373D1">
            <w:pPr>
              <w:spacing w:line="520" w:lineRule="exact"/>
              <w:rPr>
                <w:rFonts w:ascii="宋体"/>
                <w:sz w:val="24"/>
              </w:rPr>
            </w:pPr>
            <w:r>
              <w:rPr>
                <w:rFonts w:hint="eastAsia" w:ascii="宋体" w:hAnsi="宋体"/>
                <w:b/>
                <w:bCs/>
                <w:sz w:val="24"/>
              </w:rPr>
              <w:t>户名：</w:t>
            </w:r>
          </w:p>
        </w:tc>
        <w:tc>
          <w:tcPr>
            <w:tcW w:w="2746" w:type="dxa"/>
            <w:vMerge w:val="continue"/>
            <w:vAlign w:val="center"/>
          </w:tcPr>
          <w:p w14:paraId="41416B06">
            <w:pPr>
              <w:spacing w:line="520" w:lineRule="exact"/>
              <w:rPr>
                <w:rFonts w:ascii="宋体"/>
                <w:sz w:val="24"/>
              </w:rPr>
            </w:pPr>
          </w:p>
        </w:tc>
      </w:tr>
      <w:tr w14:paraId="286F9783">
        <w:tblPrEx>
          <w:tblCellMar>
            <w:top w:w="0" w:type="dxa"/>
            <w:left w:w="108" w:type="dxa"/>
            <w:bottom w:w="0" w:type="dxa"/>
            <w:right w:w="108" w:type="dxa"/>
          </w:tblCellMar>
        </w:tblPrEx>
        <w:trPr>
          <w:jc w:val="center"/>
        </w:trPr>
        <w:tc>
          <w:tcPr>
            <w:tcW w:w="3780" w:type="dxa"/>
            <w:vAlign w:val="center"/>
          </w:tcPr>
          <w:p w14:paraId="438E1FF5">
            <w:pPr>
              <w:spacing w:line="520" w:lineRule="exact"/>
              <w:rPr>
                <w:rFonts w:hint="eastAsia" w:ascii="宋体" w:hAnsi="宋体"/>
                <w:sz w:val="24"/>
              </w:rPr>
            </w:pPr>
            <w:r>
              <w:rPr>
                <w:rFonts w:hint="eastAsia" w:ascii="宋体" w:hAnsi="宋体"/>
                <w:b/>
                <w:bCs/>
                <w:sz w:val="24"/>
              </w:rPr>
              <w:t>开户行：</w:t>
            </w:r>
          </w:p>
        </w:tc>
        <w:tc>
          <w:tcPr>
            <w:tcW w:w="2837" w:type="dxa"/>
            <w:vAlign w:val="center"/>
          </w:tcPr>
          <w:p w14:paraId="5E97405A">
            <w:pPr>
              <w:spacing w:line="520" w:lineRule="exact"/>
              <w:rPr>
                <w:rFonts w:ascii="宋体"/>
                <w:sz w:val="24"/>
              </w:rPr>
            </w:pPr>
            <w:r>
              <w:rPr>
                <w:rFonts w:hint="eastAsia" w:ascii="宋体" w:hAnsi="宋体"/>
                <w:b/>
                <w:bCs/>
                <w:sz w:val="24"/>
              </w:rPr>
              <w:t>开户行：</w:t>
            </w:r>
          </w:p>
        </w:tc>
        <w:tc>
          <w:tcPr>
            <w:tcW w:w="2746" w:type="dxa"/>
            <w:vAlign w:val="center"/>
          </w:tcPr>
          <w:p w14:paraId="4CB6EDDF">
            <w:pPr>
              <w:spacing w:line="520" w:lineRule="exact"/>
              <w:rPr>
                <w:rFonts w:ascii="宋体"/>
                <w:sz w:val="24"/>
              </w:rPr>
            </w:pPr>
            <w:r>
              <w:rPr>
                <w:rFonts w:hint="eastAsia" w:ascii="宋体" w:hAnsi="宋体"/>
                <w:b/>
                <w:bCs/>
                <w:sz w:val="24"/>
              </w:rPr>
              <w:t>代表签字：</w:t>
            </w:r>
          </w:p>
        </w:tc>
      </w:tr>
      <w:tr w14:paraId="1CDABDF7">
        <w:tblPrEx>
          <w:tblCellMar>
            <w:top w:w="0" w:type="dxa"/>
            <w:left w:w="108" w:type="dxa"/>
            <w:bottom w:w="0" w:type="dxa"/>
            <w:right w:w="108" w:type="dxa"/>
          </w:tblCellMar>
        </w:tblPrEx>
        <w:trPr>
          <w:jc w:val="center"/>
        </w:trPr>
        <w:tc>
          <w:tcPr>
            <w:tcW w:w="3780" w:type="dxa"/>
            <w:vAlign w:val="center"/>
          </w:tcPr>
          <w:p w14:paraId="5AE2A01A">
            <w:pPr>
              <w:spacing w:line="520" w:lineRule="exact"/>
              <w:rPr>
                <w:rFonts w:ascii="宋体"/>
                <w:sz w:val="24"/>
              </w:rPr>
            </w:pPr>
            <w:r>
              <w:rPr>
                <w:rFonts w:hint="eastAsia" w:ascii="宋体" w:hAnsi="宋体"/>
                <w:b/>
                <w:bCs/>
                <w:sz w:val="24"/>
              </w:rPr>
              <w:t>账号：</w:t>
            </w:r>
          </w:p>
        </w:tc>
        <w:tc>
          <w:tcPr>
            <w:tcW w:w="2837" w:type="dxa"/>
            <w:vAlign w:val="center"/>
          </w:tcPr>
          <w:p w14:paraId="3811BB4C">
            <w:pPr>
              <w:spacing w:line="520" w:lineRule="exact"/>
              <w:rPr>
                <w:rFonts w:ascii="宋体"/>
                <w:sz w:val="24"/>
              </w:rPr>
            </w:pPr>
            <w:r>
              <w:rPr>
                <w:rFonts w:hint="eastAsia" w:ascii="宋体" w:hAnsi="宋体"/>
                <w:b/>
                <w:bCs/>
                <w:sz w:val="24"/>
              </w:rPr>
              <w:t>账号：</w:t>
            </w:r>
          </w:p>
        </w:tc>
        <w:tc>
          <w:tcPr>
            <w:tcW w:w="2746" w:type="dxa"/>
            <w:vAlign w:val="center"/>
          </w:tcPr>
          <w:p w14:paraId="55443A23">
            <w:pPr>
              <w:spacing w:line="520" w:lineRule="exact"/>
              <w:rPr>
                <w:rFonts w:ascii="宋体"/>
                <w:sz w:val="24"/>
              </w:rPr>
            </w:pPr>
          </w:p>
        </w:tc>
      </w:tr>
      <w:tr w14:paraId="6E677226">
        <w:tblPrEx>
          <w:tblCellMar>
            <w:top w:w="0" w:type="dxa"/>
            <w:left w:w="108" w:type="dxa"/>
            <w:bottom w:w="0" w:type="dxa"/>
            <w:right w:w="108" w:type="dxa"/>
          </w:tblCellMar>
        </w:tblPrEx>
        <w:trPr>
          <w:jc w:val="center"/>
        </w:trPr>
        <w:tc>
          <w:tcPr>
            <w:tcW w:w="3780" w:type="dxa"/>
            <w:vAlign w:val="center"/>
          </w:tcPr>
          <w:p w14:paraId="1FD19F20">
            <w:pPr>
              <w:spacing w:line="520" w:lineRule="exact"/>
              <w:rPr>
                <w:rFonts w:ascii="宋体"/>
                <w:sz w:val="24"/>
              </w:rPr>
            </w:pPr>
            <w:r>
              <w:rPr>
                <w:rFonts w:hint="eastAsia" w:ascii="宋体" w:hAnsi="宋体"/>
                <w:b/>
                <w:bCs/>
                <w:sz w:val="24"/>
              </w:rPr>
              <w:t>电话：</w:t>
            </w:r>
          </w:p>
        </w:tc>
        <w:tc>
          <w:tcPr>
            <w:tcW w:w="2837" w:type="dxa"/>
            <w:vAlign w:val="center"/>
          </w:tcPr>
          <w:p w14:paraId="6AF23B84">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46EB7B16">
            <w:pPr>
              <w:spacing w:line="520" w:lineRule="exact"/>
              <w:rPr>
                <w:rFonts w:ascii="宋体"/>
                <w:sz w:val="24"/>
              </w:rPr>
            </w:pPr>
            <w:r>
              <w:rPr>
                <w:rFonts w:hint="eastAsia" w:ascii="宋体" w:hAnsi="宋体"/>
                <w:b/>
                <w:bCs/>
                <w:sz w:val="24"/>
              </w:rPr>
              <w:t>电话：</w:t>
            </w:r>
          </w:p>
        </w:tc>
      </w:tr>
      <w:tr w14:paraId="2E17A5EB">
        <w:tblPrEx>
          <w:tblCellMar>
            <w:top w:w="0" w:type="dxa"/>
            <w:left w:w="108" w:type="dxa"/>
            <w:bottom w:w="0" w:type="dxa"/>
            <w:right w:w="108" w:type="dxa"/>
          </w:tblCellMar>
        </w:tblPrEx>
        <w:trPr>
          <w:jc w:val="center"/>
        </w:trPr>
        <w:tc>
          <w:tcPr>
            <w:tcW w:w="3780" w:type="dxa"/>
            <w:vAlign w:val="center"/>
          </w:tcPr>
          <w:p w14:paraId="1745AEFF">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6C984871">
            <w:pPr>
              <w:spacing w:line="520" w:lineRule="exact"/>
              <w:rPr>
                <w:rFonts w:ascii="宋体"/>
                <w:sz w:val="24"/>
              </w:rPr>
            </w:pPr>
            <w:r>
              <w:rPr>
                <w:rFonts w:hint="eastAsia" w:ascii="宋体" w:hAnsi="宋体"/>
                <w:b/>
                <w:bCs/>
                <w:sz w:val="24"/>
              </w:rPr>
              <w:t>地址：</w:t>
            </w:r>
          </w:p>
        </w:tc>
        <w:tc>
          <w:tcPr>
            <w:tcW w:w="2746" w:type="dxa"/>
            <w:vAlign w:val="center"/>
          </w:tcPr>
          <w:p w14:paraId="1F3BA5CB">
            <w:pPr>
              <w:spacing w:line="520" w:lineRule="exact"/>
              <w:rPr>
                <w:rFonts w:ascii="宋体"/>
                <w:sz w:val="24"/>
              </w:rPr>
            </w:pPr>
            <w:r>
              <w:rPr>
                <w:rFonts w:hint="eastAsia" w:ascii="宋体" w:hAnsi="宋体"/>
                <w:b/>
                <w:bCs/>
                <w:sz w:val="24"/>
              </w:rPr>
              <w:t>地址：</w:t>
            </w:r>
          </w:p>
        </w:tc>
      </w:tr>
      <w:tr w14:paraId="3EB586E4">
        <w:tblPrEx>
          <w:tblCellMar>
            <w:top w:w="0" w:type="dxa"/>
            <w:left w:w="108" w:type="dxa"/>
            <w:bottom w:w="0" w:type="dxa"/>
            <w:right w:w="108" w:type="dxa"/>
          </w:tblCellMar>
        </w:tblPrEx>
        <w:trPr>
          <w:jc w:val="center"/>
        </w:trPr>
        <w:tc>
          <w:tcPr>
            <w:tcW w:w="3780" w:type="dxa"/>
            <w:vAlign w:val="center"/>
          </w:tcPr>
          <w:p w14:paraId="69666A3D">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6CA79976">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1DCE6641">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7C64B9E1">
      <w:pPr>
        <w:spacing w:line="520" w:lineRule="exact"/>
        <w:ind w:firstLine="490" w:firstLineChars="175"/>
        <w:rPr>
          <w:rFonts w:ascii="宋体"/>
          <w:sz w:val="28"/>
          <w:szCs w:val="28"/>
        </w:rPr>
        <w:sectPr>
          <w:headerReference r:id="rId3" w:type="default"/>
          <w:footerReference r:id="rId4" w:type="default"/>
          <w:footerReference r:id="rId5" w:type="even"/>
          <w:pgSz w:w="11906" w:h="16838"/>
          <w:pgMar w:top="1270" w:right="1701" w:bottom="850" w:left="1701" w:header="851" w:footer="992" w:gutter="0"/>
          <w:pgNumType w:start="1"/>
          <w:cols w:space="720" w:num="1"/>
          <w:titlePg/>
          <w:docGrid w:type="linesAndChars" w:linePitch="498" w:charSpace="0"/>
        </w:sectPr>
      </w:pPr>
    </w:p>
    <w:p w14:paraId="0EB94827">
      <w:pPr>
        <w:tabs>
          <w:tab w:val="left" w:pos="320"/>
          <w:tab w:val="left" w:pos="480"/>
          <w:tab w:val="left" w:pos="846"/>
        </w:tabs>
        <w:spacing w:line="520" w:lineRule="exact"/>
        <w:ind w:left="420" w:leftChars="200"/>
      </w:pPr>
      <w:bookmarkStart w:id="97" w:name="_Toc30979"/>
      <w:r>
        <w:rPr>
          <w:rStyle w:val="13"/>
          <w:rFonts w:hint="eastAsia"/>
          <w:szCs w:val="22"/>
        </w:rPr>
        <w:t>附件：</w:t>
      </w:r>
      <w:bookmarkEnd w:id="97"/>
    </w:p>
    <w:p w14:paraId="55625162">
      <w:pPr>
        <w:pStyle w:val="11"/>
        <w:rPr>
          <w:rFonts w:hint="default"/>
        </w:rPr>
      </w:pPr>
    </w:p>
    <w:p w14:paraId="79005E74">
      <w:bookmarkStart w:id="98" w:name="_GoBack"/>
      <w:bookmarkEnd w:id="9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9145D">
    <w:pPr>
      <w:pStyle w:val="6"/>
      <w:pBdr>
        <w:top w:val="single" w:color="auto" w:sz="4" w:space="0"/>
      </w:pBdr>
      <w:jc w:val="both"/>
      <w:rPr>
        <w:rFonts w:ascii="宋体"/>
      </w:rPr>
    </w:pPr>
  </w:p>
  <w:p w14:paraId="72E030B1">
    <w:pPr>
      <w:pStyle w:val="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993E6">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5AFCE3DF">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483C6">
    <w:pPr>
      <w:pStyle w:val="7"/>
      <w:pBdr>
        <w:bottom w:val="none" w:color="auto" w:sz="0" w:space="0"/>
      </w:pBdr>
      <w:jc w:val="lef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1A01D0"/>
    <w:rsid w:val="271A01D0"/>
    <w:rsid w:val="6F356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仿宋_GB2312" w:cs="Times New Roman"/>
      <w:b/>
      <w:kern w:val="44"/>
      <w:sz w:val="44"/>
    </w:rPr>
  </w:style>
  <w:style w:type="paragraph" w:styleId="3">
    <w:name w:val="heading 2"/>
    <w:basedOn w:val="1"/>
    <w:next w:val="1"/>
    <w:link w:val="13"/>
    <w:qFormat/>
    <w:uiPriority w:val="99"/>
    <w:pPr>
      <w:keepNext/>
      <w:keepLines/>
      <w:spacing w:line="413" w:lineRule="auto"/>
      <w:outlineLvl w:val="1"/>
    </w:pPr>
    <w:rPr>
      <w:rFonts w:ascii="Arial" w:hAnsi="Arial" w:eastAsia="黑体"/>
      <w:b/>
      <w:kern w:val="0"/>
      <w:sz w:val="32"/>
      <w:szCs w:val="20"/>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5">
    <w:name w:val="Plain Text"/>
    <w:basedOn w:val="1"/>
    <w:qFormat/>
    <w:uiPriority w:val="99"/>
    <w:rPr>
      <w:rFonts w:ascii="宋体" w:hAnsi="Courier New"/>
      <w:szCs w:val="2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99"/>
    <w:rPr>
      <w:rFonts w:cs="Times New Roman"/>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13">
    <w:name w:val="标题 2 字符"/>
    <w:basedOn w:val="9"/>
    <w:link w:val="3"/>
    <w:qFormat/>
    <w:uiPriority w:val="99"/>
    <w:rPr>
      <w:rFonts w:ascii="Arial" w:hAnsi="Arial" w:eastAsia="黑体"/>
      <w:b/>
      <w:kern w:val="0"/>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2026-08-14T10:39:00Z</dcterms:created>
  <dc:creator>123</dc:creator>
  <cp:lastModifiedBy>123</cp:lastModifiedBy>
  <dcterms:modified xsi:type="dcterms:W3CDTF">2026-08-14T10:39:36Z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A4D7EC11500B423AB143ECB7C5E420B4_11</vt:lpwstr>
  </property>
  <property fmtid="{D5CDD505-2E9C-101B-9397-08002B2CF9AE}" pid="4" name="KSOTemplateDocerSaveRecord">
    <vt:lpwstr>eyJoZGlkIjoiOGFlZDBjMTkxMjAyY2VhMDJmNjJkYjY5NWY5ZGZmNGMiLCJ1c2VySWQiOiI0NTE5NDQwNTQifQ==</vt:lpwstr>
  </property>
</Properties>
</file>