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版本号：JXRC-26071420260812001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JXRC-260714</w:t>
      </w:r>
      <w:r>
        <w:br/>
      </w:r>
      <w:r>
        <w:br/>
      </w:r>
      <w:r>
        <w:br/>
      </w:r>
    </w:p>
    <w:p>
      <w:pPr>
        <w:pStyle w:val="null3"/>
        <w:jc w:val="center"/>
        <w:outlineLvl w:val="2"/>
      </w:pPr>
      <w:r>
        <w:rPr>
          <w:rFonts w:ascii="仿宋_GB2312" w:hAnsi="仿宋_GB2312" w:cs="仿宋_GB2312" w:eastAsia="仿宋_GB2312"/>
          <w:sz w:val="28"/>
          <w:b/>
        </w:rPr>
        <w:t>西安市中医医院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西安市中医医院</w:t>
      </w:r>
      <w:r>
        <w:rPr>
          <w:rFonts w:ascii="仿宋_GB2312" w:hAnsi="仿宋_GB2312" w:cs="仿宋_GB2312" w:eastAsia="仿宋_GB2312"/>
        </w:rPr>
        <w:t>委托，拟对</w:t>
      </w:r>
      <w:r>
        <w:rPr>
          <w:rFonts w:ascii="仿宋_GB2312" w:hAnsi="仿宋_GB2312" w:cs="仿宋_GB2312" w:eastAsia="仿宋_GB2312"/>
        </w:rPr>
        <w:t>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JXRC-260714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中医医院改造提升项目由康复护理能力提升项目与病房改造及能力提升项目两部分组成，两部分需分别提供建设实施方案、项目建议书及可行性研究报告编制服务，其中康复护理能力提升项目预算金额140000元，病房改造及能力提升项目预算金额200000元。均依托医院现有场地实施，不新增建设用地。其中，康复护理能力提升项目改造床位 100 张，改造总面积约 5000 平方米，投资概算 3000 万元，资金来源为中央预算内投资 2550 万元、医院自筹 450 万元；项目通过空间优化、设施更新、功能完善、系统升级，重点实施康复空间优化改造、功能分区升级、无障碍康复设施建设、安全保障能力提升，增设外挂电梯，全面强化康复专科诊疗护理承载能力。病房改造及能力提升项目改造床位 1350 张，主要将 4—5 人间及以上病房优化为 3 人间，改造面积约 2.61 万平方米，投资概算约 21517 万元，资金来源为超长期特别国债投资 18289.45 万元、专项债或医院自筹 3227.55 万元；改造内容涵盖各单体空间改善、厕所改造、无障碍建设、安全保障能力提升，增设外挂电梯、连廊等，同步升级新风系统、物流小车等配套设施，整体提升住院环境品质与医疗服务保障水平。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财务状况报告：提供会计师事务所出具的完整的2025年度合法有效赋码的审计报告（成立时间至提交投标文件截止时间不足一年的可提供成立后任意时段的资产负债表)，或开标前3个月内开户银行出具的资信证明，或信用担保机构出具的投标担保函（以上三种形式的资料提供任何一种即可)；其他组织和自然人提供银行出具的资信证明或财务报表；并进行电子签章；</w:t>
      </w:r>
    </w:p>
    <w:p>
      <w:pPr>
        <w:pStyle w:val="null3"/>
      </w:pPr>
      <w:r>
        <w:rPr>
          <w:rFonts w:ascii="仿宋_GB2312" w:hAnsi="仿宋_GB2312" w:cs="仿宋_GB2312" w:eastAsia="仿宋_GB2312"/>
        </w:rPr>
        <w:t>3、税收缴纳证明：提供自2026年2月1日以来至少一个月的纳税证明或完税证明，纳税证明或完税证明上应有代收机构或税务机关的公章或业务专用章；其他组织和自然人提供自2026年2月1日以来至少一个月缴纳税收的凭据；依法免税的供应商应提供相关文件证明；并进行电子签章；</w:t>
      </w:r>
    </w:p>
    <w:p>
      <w:pPr>
        <w:pStyle w:val="null3"/>
      </w:pPr>
      <w:r>
        <w:rPr>
          <w:rFonts w:ascii="仿宋_GB2312" w:hAnsi="仿宋_GB2312" w:cs="仿宋_GB2312" w:eastAsia="仿宋_GB2312"/>
        </w:rPr>
        <w:t>4、社会保障资金缴纳证明：提供自2026年2月1日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法定代表人/负责人授权书：法定代表人/负责人直接参加投标的，须递交《法定代表人/负责人身份证明书》；法定代表人/负责人授权代表参加投标的，须递交《法定代表人/负责人授权委托书》及授权代表在本单位2026年5月1日以后任意一个月（不含开标当月）的社会保险缴纳证明；并进行电子签章；</w:t>
      </w:r>
    </w:p>
    <w:p>
      <w:pPr>
        <w:pStyle w:val="null3"/>
      </w:pPr>
      <w:r>
        <w:rPr>
          <w:rFonts w:ascii="仿宋_GB2312" w:hAnsi="仿宋_GB2312" w:cs="仿宋_GB2312" w:eastAsia="仿宋_GB2312"/>
        </w:rPr>
        <w:t>6、无重大违法记录：参加本次政府采购活动前三年内，在经营活动中没有重大违法记录，提供《无重大违法记录声明》；并进行电子签章；</w:t>
      </w:r>
    </w:p>
    <w:p>
      <w:pPr>
        <w:pStyle w:val="null3"/>
      </w:pPr>
      <w:r>
        <w:rPr>
          <w:rFonts w:ascii="仿宋_GB2312" w:hAnsi="仿宋_GB2312" w:cs="仿宋_GB2312" w:eastAsia="仿宋_GB2312"/>
        </w:rPr>
        <w:t>7、履约能力声明：提供《具有履行合同所必需的设备和专业技术能力的承诺书》；并进行电子签章；</w:t>
      </w:r>
    </w:p>
    <w:p>
      <w:pPr>
        <w:pStyle w:val="null3"/>
      </w:pPr>
      <w:r>
        <w:rPr>
          <w:rFonts w:ascii="仿宋_GB2312" w:hAnsi="仿宋_GB2312" w:cs="仿宋_GB2312" w:eastAsia="仿宋_GB2312"/>
        </w:rPr>
        <w:t>8、工程咨询资信：供应商须具备工程咨询乙级及以上资信；并进行电子签章。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029-89626819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踏勘时间：2026-08-20 09:30:00</w:t>
            </w:r>
          </w:p>
          <w:p>
            <w:pPr>
              <w:pStyle w:val="null3"/>
              <w:ind w:firstLine="975"/>
            </w:pPr>
            <w:r>
              <w:rPr>
                <w:rFonts w:ascii="仿宋_GB2312" w:hAnsi="仿宋_GB2312" w:cs="仿宋_GB2312" w:eastAsia="仿宋_GB2312"/>
              </w:rPr>
              <w:t>踏勘地点：西安市中医医院凤城八路６9号行政楼</w:t>
            </w:r>
          </w:p>
          <w:p>
            <w:pPr>
              <w:pStyle w:val="null3"/>
              <w:ind w:firstLine="975"/>
            </w:pPr>
            <w:r>
              <w:rPr>
                <w:rFonts w:ascii="仿宋_GB2312" w:hAnsi="仿宋_GB2312" w:cs="仿宋_GB2312" w:eastAsia="仿宋_GB2312"/>
              </w:rPr>
              <w:t>联系人：苏国敏</w:t>
            </w:r>
          </w:p>
          <w:p>
            <w:pPr>
              <w:pStyle w:val="null3"/>
              <w:ind w:firstLine="975"/>
            </w:pPr>
            <w:r>
              <w:rPr>
                <w:rFonts w:ascii="仿宋_GB2312" w:hAnsi="仿宋_GB2312" w:cs="仿宋_GB2312" w:eastAsia="仿宋_GB2312"/>
              </w:rPr>
              <w:t>联系电话号码：029-89626630、13201565058</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西安市中医医院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（一）项目验收：本次技术咨询服务采用立项报批方式，由上级相关主管部门出具审查意见。 （二）验收依据： 1.合同及附加文本； 2.磋商文件、供应商的响应文件及澄清（承诺）函；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医医院改造提升项目由康复护理能力提升项目与病房改造及能力提升项目两部分组成，两部分需分别提供建设实施方案、项目建议书及可行性研究报告编制服务，其中康复护理能力提升项目预算金额140000元，病房改造及能力提升项目预算金额200000元。均依托医院现有场地实施，不新增建设用地。其中，康复护理能力提升项目改造床位 100 张，改造总面积约 5000 平方米，投资概算 3000 万元，资金来源为中央预算内投资 2550 万元、医院自筹 450 万元；项目通过空间优化、设施更新、功能完善、系统升级，重点实施康复空间优化改造、功能分区升级、无障碍康复设施建设、安全保障能力提升，增设外挂电梯，全面强化康复专科诊疗护理承载能力。病房改造及能力提升项目改造床位 1350 张，主要将 4—5 人间及以上病房优化为 3 人间，改造面积约 2.61 万平方米，投资概算约 21517 万元，资金来源为超长期特别国债投资 18289.45 万元、专项债或医院自筹 3227.55 万元；改造内容涵盖各单体空间改善、厕所改造、无障碍建设、安全保障能力提升，增设外挂电梯、连廊等，同步升级新风系统、物流小车等配套设施，整体提升住院环境品质与医疗服务保障水平。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病房改造及能力提升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康复护理能力提升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标的名称：病房改造及能力提升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一、服务内容</w:t>
            </w:r>
          </w:p>
          <w:p>
            <w:pPr>
              <w:pStyle w:val="null3"/>
              <w:ind w:firstLine="480"/>
            </w:pPr>
            <w:r>
              <w:rPr>
                <w:rFonts w:ascii="仿宋_GB2312" w:hAnsi="仿宋_GB2312" w:cs="仿宋_GB2312" w:eastAsia="仿宋_GB2312"/>
                <w:sz w:val="24"/>
              </w:rPr>
              <w:t>（一）服务内容：西安市中医医院改造提升项目建设实施方案、项目建议书及可行性研究报告编制服务。</w:t>
            </w:r>
          </w:p>
          <w:p>
            <w:pPr>
              <w:pStyle w:val="null3"/>
              <w:ind w:firstLine="480"/>
            </w:pPr>
            <w:r>
              <w:rPr>
                <w:rFonts w:ascii="仿宋_GB2312" w:hAnsi="仿宋_GB2312" w:cs="仿宋_GB2312" w:eastAsia="仿宋_GB2312"/>
                <w:sz w:val="24"/>
              </w:rPr>
              <w:t>（二）计划工期：</w:t>
            </w:r>
          </w:p>
          <w:p>
            <w:pPr>
              <w:pStyle w:val="null3"/>
              <w:ind w:firstLine="480"/>
            </w:pPr>
            <w:r>
              <w:rPr>
                <w:rFonts w:ascii="仿宋_GB2312" w:hAnsi="仿宋_GB2312" w:cs="仿宋_GB2312" w:eastAsia="仿宋_GB2312"/>
                <w:sz w:val="24"/>
              </w:rPr>
              <w:t>1.20</w:t>
            </w:r>
            <w:r>
              <w:rPr>
                <w:rFonts w:ascii="仿宋_GB2312" w:hAnsi="仿宋_GB2312" w:cs="仿宋_GB2312" w:eastAsia="仿宋_GB2312"/>
                <w:sz w:val="24"/>
              </w:rPr>
              <w:t>26</w:t>
            </w:r>
            <w:r>
              <w:rPr>
                <w:rFonts w:ascii="仿宋_GB2312" w:hAnsi="仿宋_GB2312" w:cs="仿宋_GB2312" w:eastAsia="仿宋_GB2312"/>
                <w:sz w:val="24"/>
              </w:rPr>
              <w:t>年</w:t>
            </w:r>
            <w:r>
              <w:rPr>
                <w:rFonts w:ascii="仿宋_GB2312" w:hAnsi="仿宋_GB2312" w:cs="仿宋_GB2312" w:eastAsia="仿宋_GB2312"/>
                <w:sz w:val="24"/>
              </w:rPr>
              <w:t>9</w:t>
            </w:r>
            <w:r>
              <w:rPr>
                <w:rFonts w:ascii="仿宋_GB2312" w:hAnsi="仿宋_GB2312" w:cs="仿宋_GB2312" w:eastAsia="仿宋_GB2312"/>
                <w:sz w:val="24"/>
              </w:rPr>
              <w:t>月</w:t>
            </w:r>
            <w:r>
              <w:rPr>
                <w:rFonts w:ascii="仿宋_GB2312" w:hAnsi="仿宋_GB2312" w:cs="仿宋_GB2312" w:eastAsia="仿宋_GB2312"/>
                <w:sz w:val="24"/>
              </w:rPr>
              <w:t>20</w:t>
            </w:r>
            <w:r>
              <w:rPr>
                <w:rFonts w:ascii="仿宋_GB2312" w:hAnsi="仿宋_GB2312" w:cs="仿宋_GB2312" w:eastAsia="仿宋_GB2312"/>
                <w:sz w:val="24"/>
              </w:rPr>
              <w:t>日前完成《西安市中医医院康复护理能力提升项目建设实施方案》、《西安市中医医院康复护理能力提升项目建议书》、《西安市中医医院康复护理能力提升项目可行性研究报告》及《西安市中医医院病房改造及能力提升项目建设实施方案》、《西安市中医医院病房改造及能力提升项目建议书》、《西安市中医医院病房改造及能力提升项目可行性研究报告》的编制。</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根据市发改委评审会相关意见修改完善并提交正式成果</w:t>
            </w:r>
            <w:r>
              <w:rPr>
                <w:rFonts w:ascii="仿宋_GB2312" w:hAnsi="仿宋_GB2312" w:cs="仿宋_GB2312" w:eastAsia="仿宋_GB2312"/>
                <w:sz w:val="24"/>
              </w:rPr>
              <w:t>,</w:t>
            </w:r>
            <w:r>
              <w:rPr>
                <w:rFonts w:ascii="仿宋_GB2312" w:hAnsi="仿宋_GB2312" w:cs="仿宋_GB2312" w:eastAsia="仿宋_GB2312"/>
                <w:sz w:val="24"/>
              </w:rPr>
              <w:t>正式咨询成果于</w:t>
            </w:r>
            <w:r>
              <w:rPr>
                <w:rFonts w:ascii="仿宋_GB2312" w:hAnsi="仿宋_GB2312" w:cs="仿宋_GB2312" w:eastAsia="仿宋_GB2312"/>
                <w:sz w:val="24"/>
              </w:rPr>
              <w:t>30</w:t>
            </w:r>
            <w:r>
              <w:rPr>
                <w:rFonts w:ascii="仿宋_GB2312" w:hAnsi="仿宋_GB2312" w:cs="仿宋_GB2312" w:eastAsia="仿宋_GB2312"/>
                <w:sz w:val="24"/>
              </w:rPr>
              <w:t>日内完成，具体以项目审批流程要求为准。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pPr>
            <w:r>
              <w:rPr>
                <w:rFonts w:ascii="仿宋_GB2312" w:hAnsi="仿宋_GB2312" w:cs="仿宋_GB2312" w:eastAsia="仿宋_GB2312"/>
                <w:sz w:val="24"/>
              </w:rPr>
              <w:t>二、技术要求</w:t>
            </w:r>
          </w:p>
          <w:p>
            <w:pPr>
              <w:pStyle w:val="null3"/>
              <w:ind w:firstLine="480"/>
              <w:jc w:val="left"/>
            </w:pPr>
            <w:r>
              <w:rPr>
                <w:rFonts w:ascii="仿宋_GB2312" w:hAnsi="仿宋_GB2312" w:cs="仿宋_GB2312" w:eastAsia="仿宋_GB2312"/>
                <w:sz w:val="24"/>
              </w:rPr>
              <w:t>严格执行国家、地方和行业项目建议书、可行性研究报告编制相关法律、法规和规范，需满足主要标准规范及技术规程（不限于以下规范）</w:t>
            </w:r>
          </w:p>
          <w:p>
            <w:pPr>
              <w:pStyle w:val="null3"/>
            </w:pPr>
            <w:r>
              <w:rPr>
                <w:rFonts w:ascii="仿宋_GB2312" w:hAnsi="仿宋_GB2312" w:cs="仿宋_GB2312" w:eastAsia="仿宋_GB2312"/>
                <w:sz w:val="24"/>
              </w:rPr>
              <w:t>符合项目建议书、可行性研究报告编制相关主管单位的要求，并达到《国家发展改革委关于印发投资项目可行性研究报告编写大纲及说明的通知》（发改投资规〔</w:t>
            </w:r>
            <w:r>
              <w:rPr>
                <w:rFonts w:ascii="仿宋_GB2312" w:hAnsi="仿宋_GB2312" w:cs="仿宋_GB2312" w:eastAsia="仿宋_GB2312"/>
                <w:sz w:val="24"/>
              </w:rPr>
              <w:t>2023</w:t>
            </w:r>
            <w:r>
              <w:rPr>
                <w:rFonts w:ascii="仿宋_GB2312" w:hAnsi="仿宋_GB2312" w:cs="仿宋_GB2312" w:eastAsia="仿宋_GB2312"/>
                <w:sz w:val="24"/>
              </w:rPr>
              <w:t>〕</w:t>
            </w:r>
            <w:r>
              <w:rPr>
                <w:rFonts w:ascii="仿宋_GB2312" w:hAnsi="仿宋_GB2312" w:cs="仿宋_GB2312" w:eastAsia="仿宋_GB2312"/>
                <w:sz w:val="24"/>
              </w:rPr>
              <w:t>304</w:t>
            </w:r>
            <w:r>
              <w:rPr>
                <w:rFonts w:ascii="仿宋_GB2312" w:hAnsi="仿宋_GB2312" w:cs="仿宋_GB2312" w:eastAsia="仿宋_GB2312"/>
                <w:sz w:val="24"/>
              </w:rPr>
              <w:t>号）报告编制深度。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供应商依据国家、地方和行业项目建议书、可行性研究报告编制相关法律、法规和规范开展工作，主要开展如下工作：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、根据《国家发展改革委关于印发投资项目可行性研究报告编写大纲及说明的通知》（发改投资规〔</w:t>
            </w:r>
            <w:r>
              <w:rPr>
                <w:rFonts w:ascii="仿宋_GB2312" w:hAnsi="仿宋_GB2312" w:cs="仿宋_GB2312" w:eastAsia="仿宋_GB2312"/>
                <w:sz w:val="24"/>
              </w:rPr>
              <w:t>2023</w:t>
            </w:r>
            <w:r>
              <w:rPr>
                <w:rFonts w:ascii="仿宋_GB2312" w:hAnsi="仿宋_GB2312" w:cs="仿宋_GB2312" w:eastAsia="仿宋_GB2312"/>
                <w:sz w:val="24"/>
              </w:rPr>
              <w:t>〕</w:t>
            </w:r>
            <w:r>
              <w:rPr>
                <w:rFonts w:ascii="仿宋_GB2312" w:hAnsi="仿宋_GB2312" w:cs="仿宋_GB2312" w:eastAsia="仿宋_GB2312"/>
                <w:sz w:val="24"/>
              </w:rPr>
              <w:t>304</w:t>
            </w:r>
            <w:r>
              <w:rPr>
                <w:rFonts w:ascii="仿宋_GB2312" w:hAnsi="仿宋_GB2312" w:cs="仿宋_GB2312" w:eastAsia="仿宋_GB2312"/>
                <w:sz w:val="24"/>
              </w:rPr>
              <w:t>号）的深度要求编制项目建议书和可行性研究报告，并根据我院意见修改完善后报相关主管部门取得批复。</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、参加报告有关评审会议，负责技术答辩；根据评审会相关意见修改完善并提交正式成果，配合完善项目立项资料。</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、要制定和建立严格的质量保证措施和管理制度，确保项目建议书和可行性研究报告按时、按质完成。</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、应对其所提供的咨询成果负责，对其咨询报告中的原始数据、计算方法、工艺方法、经济评价、社会评价的科学性和可行性负责；无条件对报告出现的遗漏或错误负责修改或补充完善。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应集合技术力量强、经验丰富的技术、经济和管理人员组成的工作团队，团队人数≥5人；病房改造项目负责人需要建筑专业咨询工程师（投资）执业资格或登记证书；设备更新项目负责人需要电子、信息工程专业咨询工程师（投资）执业资格或登记证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注：供应商须全部满足以上技术参数与性能指标，不允许负偏离，否则按无效文件处理。</w:t>
            </w:r>
          </w:p>
        </w:tc>
      </w:tr>
    </w:tbl>
    <w:p>
      <w:pPr>
        <w:pStyle w:val="null3"/>
      </w:pPr>
      <w:r>
        <w:rPr>
          <w:rFonts w:ascii="仿宋_GB2312" w:hAnsi="仿宋_GB2312" w:cs="仿宋_GB2312" w:eastAsia="仿宋_GB2312"/>
        </w:rPr>
        <w:t>标的名称：康复护理能力提升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一、服务内容</w:t>
            </w:r>
          </w:p>
          <w:p>
            <w:pPr>
              <w:pStyle w:val="null3"/>
              <w:ind w:firstLine="480"/>
            </w:pPr>
            <w:r>
              <w:rPr>
                <w:rFonts w:ascii="仿宋_GB2312" w:hAnsi="仿宋_GB2312" w:cs="仿宋_GB2312" w:eastAsia="仿宋_GB2312"/>
                <w:sz w:val="24"/>
              </w:rPr>
              <w:t>（一）服务内容：西安市中医医院改造提升项目建设实施方案、项目建议书及可行性研究报告编制服务。</w:t>
            </w:r>
          </w:p>
          <w:p>
            <w:pPr>
              <w:pStyle w:val="null3"/>
              <w:ind w:firstLine="480"/>
            </w:pPr>
            <w:r>
              <w:rPr>
                <w:rFonts w:ascii="仿宋_GB2312" w:hAnsi="仿宋_GB2312" w:cs="仿宋_GB2312" w:eastAsia="仿宋_GB2312"/>
                <w:sz w:val="24"/>
              </w:rPr>
              <w:t>（二）计划工期：</w:t>
            </w:r>
          </w:p>
          <w:p>
            <w:pPr>
              <w:pStyle w:val="null3"/>
              <w:ind w:firstLine="480"/>
            </w:pPr>
            <w:r>
              <w:rPr>
                <w:rFonts w:ascii="仿宋_GB2312" w:hAnsi="仿宋_GB2312" w:cs="仿宋_GB2312" w:eastAsia="仿宋_GB2312"/>
                <w:sz w:val="24"/>
              </w:rPr>
              <w:t>1.20</w:t>
            </w:r>
            <w:r>
              <w:rPr>
                <w:rFonts w:ascii="仿宋_GB2312" w:hAnsi="仿宋_GB2312" w:cs="仿宋_GB2312" w:eastAsia="仿宋_GB2312"/>
                <w:sz w:val="24"/>
              </w:rPr>
              <w:t>26</w:t>
            </w:r>
            <w:r>
              <w:rPr>
                <w:rFonts w:ascii="仿宋_GB2312" w:hAnsi="仿宋_GB2312" w:cs="仿宋_GB2312" w:eastAsia="仿宋_GB2312"/>
                <w:sz w:val="24"/>
              </w:rPr>
              <w:t>年</w:t>
            </w:r>
            <w:r>
              <w:rPr>
                <w:rFonts w:ascii="仿宋_GB2312" w:hAnsi="仿宋_GB2312" w:cs="仿宋_GB2312" w:eastAsia="仿宋_GB2312"/>
                <w:sz w:val="24"/>
              </w:rPr>
              <w:t>9</w:t>
            </w:r>
            <w:r>
              <w:rPr>
                <w:rFonts w:ascii="仿宋_GB2312" w:hAnsi="仿宋_GB2312" w:cs="仿宋_GB2312" w:eastAsia="仿宋_GB2312"/>
                <w:sz w:val="24"/>
              </w:rPr>
              <w:t>月</w:t>
            </w:r>
            <w:r>
              <w:rPr>
                <w:rFonts w:ascii="仿宋_GB2312" w:hAnsi="仿宋_GB2312" w:cs="仿宋_GB2312" w:eastAsia="仿宋_GB2312"/>
                <w:sz w:val="24"/>
              </w:rPr>
              <w:t>20</w:t>
            </w:r>
            <w:r>
              <w:rPr>
                <w:rFonts w:ascii="仿宋_GB2312" w:hAnsi="仿宋_GB2312" w:cs="仿宋_GB2312" w:eastAsia="仿宋_GB2312"/>
                <w:sz w:val="24"/>
              </w:rPr>
              <w:t>日前完成《西安市中医医院康复护理能力提升项目建设实施方案》、《西安市中医医院康复护理能力提升项目建议书》、《西安市中医医院康复护理能力提升项目可行性研究报告》及《西安市中医医院病房改造及能力提升项目建设实施方案》、《西安市中医医院病房改造及能力提升项目建议书》、《西安市中医医院病房改造及能力提升项目可行性研究报告》的编制。</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根据市发改委评审会相关意见修改完善并提交正式成果</w:t>
            </w:r>
            <w:r>
              <w:rPr>
                <w:rFonts w:ascii="仿宋_GB2312" w:hAnsi="仿宋_GB2312" w:cs="仿宋_GB2312" w:eastAsia="仿宋_GB2312"/>
                <w:sz w:val="24"/>
              </w:rPr>
              <w:t>,</w:t>
            </w:r>
            <w:r>
              <w:rPr>
                <w:rFonts w:ascii="仿宋_GB2312" w:hAnsi="仿宋_GB2312" w:cs="仿宋_GB2312" w:eastAsia="仿宋_GB2312"/>
                <w:sz w:val="24"/>
              </w:rPr>
              <w:t>正式咨询成果于</w:t>
            </w:r>
            <w:r>
              <w:rPr>
                <w:rFonts w:ascii="仿宋_GB2312" w:hAnsi="仿宋_GB2312" w:cs="仿宋_GB2312" w:eastAsia="仿宋_GB2312"/>
                <w:sz w:val="24"/>
              </w:rPr>
              <w:t>30</w:t>
            </w:r>
            <w:r>
              <w:rPr>
                <w:rFonts w:ascii="仿宋_GB2312" w:hAnsi="仿宋_GB2312" w:cs="仿宋_GB2312" w:eastAsia="仿宋_GB2312"/>
                <w:sz w:val="24"/>
              </w:rPr>
              <w:t>日内完成，具体以项目审批流程要求为准。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pPr>
            <w:r>
              <w:rPr>
                <w:rFonts w:ascii="仿宋_GB2312" w:hAnsi="仿宋_GB2312" w:cs="仿宋_GB2312" w:eastAsia="仿宋_GB2312"/>
                <w:sz w:val="24"/>
              </w:rPr>
              <w:t>二、技术要求</w:t>
            </w:r>
          </w:p>
          <w:p>
            <w:pPr>
              <w:pStyle w:val="null3"/>
              <w:ind w:firstLine="480"/>
              <w:jc w:val="left"/>
            </w:pPr>
            <w:r>
              <w:rPr>
                <w:rFonts w:ascii="仿宋_GB2312" w:hAnsi="仿宋_GB2312" w:cs="仿宋_GB2312" w:eastAsia="仿宋_GB2312"/>
                <w:sz w:val="24"/>
              </w:rPr>
              <w:t>严格执行国家、地方和行业项目建议书、可行性研究报告编制相关法律、法规和规范，需满足主要标准规范及技术规程（不限于以下规范）</w:t>
            </w:r>
          </w:p>
          <w:p>
            <w:pPr>
              <w:pStyle w:val="null3"/>
            </w:pPr>
            <w:r>
              <w:rPr>
                <w:rFonts w:ascii="仿宋_GB2312" w:hAnsi="仿宋_GB2312" w:cs="仿宋_GB2312" w:eastAsia="仿宋_GB2312"/>
                <w:sz w:val="24"/>
              </w:rPr>
              <w:t>符合项目建议书、可行性研究报告编制相关主管单位的要求，并达到《国家发展改革委关于印发投资项目可行性研究报告编写大纲及说明的通知》（发改投资规〔</w:t>
            </w:r>
            <w:r>
              <w:rPr>
                <w:rFonts w:ascii="仿宋_GB2312" w:hAnsi="仿宋_GB2312" w:cs="仿宋_GB2312" w:eastAsia="仿宋_GB2312"/>
                <w:sz w:val="24"/>
              </w:rPr>
              <w:t>2023</w:t>
            </w:r>
            <w:r>
              <w:rPr>
                <w:rFonts w:ascii="仿宋_GB2312" w:hAnsi="仿宋_GB2312" w:cs="仿宋_GB2312" w:eastAsia="仿宋_GB2312"/>
                <w:sz w:val="24"/>
              </w:rPr>
              <w:t>〕</w:t>
            </w:r>
            <w:r>
              <w:rPr>
                <w:rFonts w:ascii="仿宋_GB2312" w:hAnsi="仿宋_GB2312" w:cs="仿宋_GB2312" w:eastAsia="仿宋_GB2312"/>
                <w:sz w:val="24"/>
              </w:rPr>
              <w:t>304</w:t>
            </w:r>
            <w:r>
              <w:rPr>
                <w:rFonts w:ascii="仿宋_GB2312" w:hAnsi="仿宋_GB2312" w:cs="仿宋_GB2312" w:eastAsia="仿宋_GB2312"/>
                <w:sz w:val="24"/>
              </w:rPr>
              <w:t>号）报告编制深度。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供应商依据国家、地方和行业项目建议书、可行性研究报告编制相关法律、法规和规范开展工作，主要开展如下工作：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、根据《国家发展改革委关于印发投资项目可行性研究报告编写大纲及说明的通知》（发改投资规〔</w:t>
            </w:r>
            <w:r>
              <w:rPr>
                <w:rFonts w:ascii="仿宋_GB2312" w:hAnsi="仿宋_GB2312" w:cs="仿宋_GB2312" w:eastAsia="仿宋_GB2312"/>
                <w:sz w:val="24"/>
              </w:rPr>
              <w:t>2023</w:t>
            </w:r>
            <w:r>
              <w:rPr>
                <w:rFonts w:ascii="仿宋_GB2312" w:hAnsi="仿宋_GB2312" w:cs="仿宋_GB2312" w:eastAsia="仿宋_GB2312"/>
                <w:sz w:val="24"/>
              </w:rPr>
              <w:t>〕</w:t>
            </w:r>
            <w:r>
              <w:rPr>
                <w:rFonts w:ascii="仿宋_GB2312" w:hAnsi="仿宋_GB2312" w:cs="仿宋_GB2312" w:eastAsia="仿宋_GB2312"/>
                <w:sz w:val="24"/>
              </w:rPr>
              <w:t>304</w:t>
            </w:r>
            <w:r>
              <w:rPr>
                <w:rFonts w:ascii="仿宋_GB2312" w:hAnsi="仿宋_GB2312" w:cs="仿宋_GB2312" w:eastAsia="仿宋_GB2312"/>
                <w:sz w:val="24"/>
              </w:rPr>
              <w:t>号）的深度要求编制项目建议书和可行性研究报告，并根据我院意见修改完善后报相关主管部门取得批复。</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、参加报告有关评审会议，负责技术答辩；根据评审会相关意见修改完善并提交正式成果，配合完善项目立项资料。</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、要制定和建立严格的质量保证措施和管理制度，确保项目建议书和可行性研究报告按时、按质完成。</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、应对其所提供的咨询成果负责，对其咨询报告中的原始数据、计算方法、工艺方法、经济评价、社会评价的科学性和可行性负责；无条件对报告出现的遗漏或错误负责修改或补充完善。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应集合技术力量强、经验丰富的技术、经济和管理人员组成的工作团队，团队人数≥5人；病房改造项目负责人需要建筑专业咨询工程师（投资）执业资格或登记证书；设备更新项目负责人需要电子、信息工程专业咨询工程师（投资）执业资格或登记证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注：供应商须全部满足以上技术参数与性能指标，不允许负偏离，否则按无效文件处理。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成果交付要求：取得项目建设实施方案、项目建议书及可行性研究报告批复。</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自合同生效之日起至供应商提供正式的咨询成果文件并立项审批通过后止。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西安市未央区凤城八路69号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（一）项目验收：本次技术咨询服务采用立项报批方式，由上级相关主管部门出具审查意见。 （二）验收依据： 1.合同及附加文本； 2.磋商文件、供应商的响应文件及澄清（承诺）函；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按工期完成提交康复护理能力提升项目相关《西安市中医医院康复护理能力提升项目建设实施方案》、《西安市中医医院康复护理能力提升项目建议书》、《西安市中医医院康复护理能力提升项目可行性研究报告》及病房改造及能力提升项目相关《西安市中医医院病房改造及能力提升项目建设实施方案》、《西安市中医医院病房改造及能力提升项目建议书》、《西安市中医医院病房改造及能力提升项目可行性研究报告》正式咨询成果文件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康复护理能力提升项目或病房改造及能力提升项目其中任一子项目成果文件，且该子项目立项审批通过后，30日内，支付该子项目合同剩余款项；两个子项目剩余款项按照各自审批通过时间分别结算、依次支付，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1、供应商未按照合同约定时间完成相应工作，每延期1天，扣除合同价款的5‰，延期超过30天的，采购人有权解除合同。采购人解除合同的，供应商应返还甲方已付报酬。 2、如供应商的申报未一次通过评审和审批，供应商应再次补充相关资料重新申报，因此所发生的费用由供应商负责，采购人不再支付费用。 3、若因供应商原因导致无法取得上级相关主管部门批复，采购人有权拒付咨询费用，供应商应返还采购人已付报酬。 4、供应商对咨询报告的正确性负责，如因供应商报告内容导致采购人遭受损失的，供应商承担赔偿责任。供应商故意或重大过失，提供错误或不合格信息而导致采购人损失的，供应商有责任采取补救措施，并按实际情况赔偿采购人因此而造成的直接损失，同时，向采购人赔偿该合同金额的30%，作为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 成果交付要求 取得项目建设实施方案、项目项目建议书及可行性研究报告批复。 2. 付款方式（因系统编制受限，采购文件中关于付款方式的描述有不一致的地方以此处为准）： 1）供应商按工期完成提交康复护理能力提升项目相关《西安市中医医院康复护理能力提升项目建设实施方案》、《西安市中医医院康复护理能力提升项目建议书》、《西安市中医医院康复护理能力提升项目可行性研究报告》及病房改造及能力提升项目相关《西安市中医医院病房改造及能力提升项目建设实施方案》、《西安市中医医院病房改造及能力提升项目建议书》、《西安市中医医院病房改造及能力提升项目可行性研究报告》正式咨询成果文件后，支付供应商合同总价50%； 2）供应商完成康复护理能力提升项目或病房改造及能力提升项目其中任一子项目成果文件，且该子项目立项审批通过后，30日内，支付该子项目合同剩余款项；两个子项目剩余款项按照各自审批通过时间分别结算、依次支付。 结算方式：供应商持成交通知书、合同、正式发票与采购人进行结算。供应商未提供发票的，采购人有权暂不付款且不承担违约责任。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会计师事务所出具的完整的2025年度合法有效赋码的审计报告（成立时间至提交投标文件截止时间不足一年的可提供成立后任意时段的资产负债表)，或开标前3个月内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2026年2月1日以来至少一个月的纳税证明或完税证明，纳税证明或完税证明上应有代收机构或税务机关的公章或业务专用章；其他组织和自然人提供自2026年2月1日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2026年2月1日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投标的，须递交《法定代表人/负责人身份证明书》；法定代表人/负责人授权代表参加投标的，须递交《法定代表人/负责人授权委托书》及授权代表在本单位2026年5月1日以后任意一个月（不含开标当月）的社会保险缴纳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工程咨询资信</w:t>
            </w:r>
          </w:p>
        </w:tc>
        <w:tc>
          <w:tcPr>
            <w:tcW w:type="dxa" w:w="3322"/>
          </w:tcPr>
          <w:p>
            <w:pPr>
              <w:pStyle w:val="null3"/>
            </w:pPr>
            <w:r>
              <w:rPr>
                <w:rFonts w:ascii="仿宋_GB2312" w:hAnsi="仿宋_GB2312" w:cs="仿宋_GB2312" w:eastAsia="仿宋_GB2312"/>
              </w:rPr>
              <w:t>供应商须具备工程咨询乙级及以上资信；并进行电子签章。</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服务响应偏离表 响应文件封面 分项报价表 其他材料 供应商企业关联关系声明函 供应商基本信息 二次报价表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供应商须提供承诺书（格式见投标文件格式附件）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第一次报价是否唯一、有效，无选择性报价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实质性要求响应</w:t>
            </w:r>
          </w:p>
        </w:tc>
        <w:tc>
          <w:tcPr>
            <w:tcW w:type="dxa" w:w="3322"/>
          </w:tcPr>
          <w:p>
            <w:pPr>
              <w:pStyle w:val="null3"/>
            </w:pPr>
            <w:r>
              <w:rPr>
                <w:rFonts w:ascii="仿宋_GB2312" w:hAnsi="仿宋_GB2312" w:cs="仿宋_GB2312" w:eastAsia="仿宋_GB2312"/>
              </w:rPr>
              <w:t>供应商必须满足采购文件的所有实质性条款</w:t>
            </w:r>
          </w:p>
        </w:tc>
        <w:tc>
          <w:tcPr>
            <w:tcW w:type="dxa" w:w="1661"/>
          </w:tcPr>
          <w:p>
            <w:pPr>
              <w:pStyle w:val="null3"/>
            </w:pPr>
            <w:r>
              <w:rPr>
                <w:rFonts w:ascii="仿宋_GB2312" w:hAnsi="仿宋_GB2312" w:cs="仿宋_GB2312" w:eastAsia="仿宋_GB2312"/>
              </w:rPr>
              <w:t>服务响应偏离表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需求制订切实可行的整体服务方案，包括但不限于工作大纲编制内容的总体思路、工作内容说明等，方案思路清晰、科学合理、可行性强、完全满足采购人需求得10分；方案思路清晰、科学合理、可行性较强、满足采购人需求得8分；方案合理完善、可行性较强、基本满足采购人需求得6分；方案有缺漏项、可行性一般得4分；方案内容粗略、可行性较差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供应商针对本项目服务内容有明确的编制进度安排，合理的成果交付时限且服务计划保证措施得当。工作进度计划科学合理，工作进度计划与实际需求的契合度高，时间节点把控准确，对工作推进指导性强得10分；工作进度计划较为科学合理，工作进度计划与实际需求的契合度较高，时间节点把控准确，对工作推进指导性强得8分；工作进度计划比较符合实际需求，有相关时间节点的把控要求，对工作推进有一定的指导性得6分；工作进度计划基本符合实际需求，相关时间节点的把控要求基本准确，对工作推进相对有指导性得4分；工作进度计划基本符合实际需求，相关时间节点的把控要求较准确，对工作推进缺乏指导性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具有完善的工作质量控制制度、分工明确、流程完整合理，能保证报告质量，能达到国家规定的可行性研究报告编制深度要求，为项目实施可行性做出决策依据。质量控制制度全面、合理、规范，可操作性强得10分；质量控制制度比较合理和规范，有一定的可操作性得8分；质量控制制度基本合理，可操作性一般得6分；质量控制制度简略，可操作性较差得4分；质量控制制度有缺漏，可操作性差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对本项目的重难点进行分析。重难点把握深刻、突出，应对措施针对性强得10分；重难点把握突出，应对措施针对性强得8分；重难点把握较突出，应对措施针对性较强得6分； 重难点把握基本到位，应对措施有一定针对性得4分；重难点理解错误，应对措施针对性差得2分；未提供得0分。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1.项目团队（项目负责人除外）中具有注册咨询工程师（投资），每提供1人得2分，满分6 分。 2.项目团队（项目负责人除外）每具有一个高级职称的得1 分，中级工程师得0.5 分，满分5 分。 3.团队人员总数≥5人（5人不得分），每增加1人，得1分，满分2分。 4.项目负责人具有中级及以上职称得1分，满分1分（须提供近1年内任意三个月在本单位的社保缴纳证明）。</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（2分）供应商应提供优质的售后服务承诺。承诺内容科学合理、响应时间短得2分；未提供计0分。 （2分）供应商针对本项目咨询关键点提出的合理化建议得2分；未提供得0分。 （6分）供应商应配合相关验收工作，达到有关主管部门审批要求，负责配合采购人将成果上报有关主管部门并获得批准通过。提供承诺书得6分，格式自拟，未提供得0分。 （5分）供应商每提前1天完成项目建设实施方案、项目建议书及可行性研究报告编制，得0.5分，满分5分。须提供承诺书，格式自拟。未提供得0分。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供应商提供2023年8月1日以来完成的类似项目业绩，每提供1份得2分，最高得12分。 注：需提供合同关键页（包括但不限于首页、内容页、金额页、盖章等）复印件并加盖供应商公章。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供应商提供项目负责人2023年8月1日以来完成的类似项目业绩（与供应商业绩不重复计分），每提供1份得1分，最高得4分。 注：需提供合同关键页，并在合同中体现项目负责人姓名（包括但不限于首页、内容页、金额页、盖章等）复印件并加盖供应商公章。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价格分统一采用低价优先法计算，即满足磋商文件要求且投标价格最低的投标报价为评标基准价，其价格分为满分。其他供应商的价格分统一按照下列公式计算：价格分=(评标基准价／投标报价)×15。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详见附件：二次报价表</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详见附件：项目负责人业绩</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